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Default Extension="emf" ContentType="image/x-emf"/>
  <Override PartName="/word/footer6.xml" ContentType="application/vnd.openxmlformats-officedocument.wordprocessingml.footer+xml"/>
  <Override PartName="/word/header14.xml" ContentType="application/vnd.openxmlformats-officedocument.wordprocessingml.header+xml"/>
  <Override PartName="/word/footer7.xml" ContentType="application/vnd.openxmlformats-officedocument.wordprocessingml.footer+xml"/>
  <Override PartName="/word/header15.xml" ContentType="application/vnd.openxmlformats-officedocument.wordprocessingml.header+xml"/>
  <Override PartName="/word/header24.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20.xml" ContentType="application/vnd.openxmlformats-officedocument.wordprocessingml.head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charts/chart2.xml" ContentType="application/vnd.openxmlformats-officedocument.drawingml.chart+xml"/>
  <Override PartName="/word/charts/chart3.xml" ContentType="application/vnd.openxmlformats-officedocument.drawingml.chart+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Default Extension="png" ContentType="image/png"/>
  <Override PartName="/word/header19.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64514" w:rsidRDefault="00964514" w:rsidP="002A0CD0">
      <w:pPr>
        <w:spacing w:after="0" w:line="240" w:lineRule="auto"/>
        <w:rPr>
          <w:rFonts w:ascii="Times New Roman" w:hAnsi="Times New Roman"/>
          <w:b/>
          <w:sz w:val="28"/>
          <w:szCs w:val="28"/>
        </w:rPr>
      </w:pPr>
    </w:p>
    <w:p w:rsidR="00964514" w:rsidRDefault="00964514" w:rsidP="002A0CD0">
      <w:pPr>
        <w:spacing w:after="0" w:line="240" w:lineRule="auto"/>
        <w:rPr>
          <w:rFonts w:ascii="Times New Roman" w:hAnsi="Times New Roman"/>
          <w:b/>
          <w:sz w:val="28"/>
          <w:szCs w:val="28"/>
        </w:rPr>
      </w:pPr>
    </w:p>
    <w:p w:rsidR="00FC67F9" w:rsidRDefault="00FC67F9" w:rsidP="002A0CD0">
      <w:pPr>
        <w:autoSpaceDE w:val="0"/>
        <w:autoSpaceDN w:val="0"/>
        <w:adjustRightInd w:val="0"/>
        <w:spacing w:after="0" w:line="240" w:lineRule="auto"/>
        <w:jc w:val="center"/>
        <w:rPr>
          <w:rFonts w:ascii="Times New Roman" w:hAnsi="Times New Roman"/>
          <w:b/>
          <w:bCs/>
          <w:color w:val="000080"/>
          <w:sz w:val="44"/>
          <w:szCs w:val="28"/>
        </w:rPr>
      </w:pPr>
    </w:p>
    <w:p w:rsidR="00FC67F9" w:rsidRPr="00ED7E20" w:rsidRDefault="00FC67F9" w:rsidP="002A0CD0">
      <w:pPr>
        <w:autoSpaceDE w:val="0"/>
        <w:autoSpaceDN w:val="0"/>
        <w:adjustRightInd w:val="0"/>
        <w:spacing w:after="0" w:line="240" w:lineRule="auto"/>
        <w:jc w:val="center"/>
        <w:rPr>
          <w:rFonts w:ascii="Times New Roman" w:hAnsi="Times New Roman"/>
          <w:b/>
          <w:bCs/>
          <w:color w:val="000080"/>
          <w:sz w:val="44"/>
          <w:szCs w:val="28"/>
        </w:rPr>
      </w:pPr>
      <w:r w:rsidRPr="00ED7E20">
        <w:rPr>
          <w:rFonts w:ascii="Times New Roman" w:hAnsi="Times New Roman"/>
          <w:b/>
          <w:bCs/>
          <w:color w:val="000080"/>
          <w:sz w:val="44"/>
          <w:szCs w:val="28"/>
        </w:rPr>
        <w:t>Environmental Compliance Strategy</w:t>
      </w:r>
    </w:p>
    <w:p w:rsidR="00FC67F9" w:rsidRPr="00ED7E20" w:rsidRDefault="00FC67F9" w:rsidP="002A0CD0">
      <w:pPr>
        <w:autoSpaceDE w:val="0"/>
        <w:autoSpaceDN w:val="0"/>
        <w:adjustRightInd w:val="0"/>
        <w:spacing w:after="0" w:line="240" w:lineRule="auto"/>
        <w:jc w:val="center"/>
        <w:rPr>
          <w:rFonts w:ascii="Times New Roman" w:hAnsi="Times New Roman"/>
          <w:b/>
          <w:bCs/>
          <w:color w:val="000080"/>
          <w:sz w:val="44"/>
          <w:szCs w:val="28"/>
        </w:rPr>
      </w:pPr>
    </w:p>
    <w:p w:rsidR="00FC67F9" w:rsidRPr="00ED7E20" w:rsidRDefault="00FC67F9" w:rsidP="002A0CD0">
      <w:pPr>
        <w:autoSpaceDE w:val="0"/>
        <w:autoSpaceDN w:val="0"/>
        <w:adjustRightInd w:val="0"/>
        <w:spacing w:after="0" w:line="240" w:lineRule="auto"/>
        <w:jc w:val="center"/>
        <w:rPr>
          <w:rFonts w:ascii="Times New Roman" w:hAnsi="Times New Roman"/>
          <w:b/>
          <w:bCs/>
          <w:color w:val="000080"/>
          <w:sz w:val="36"/>
          <w:szCs w:val="28"/>
        </w:rPr>
      </w:pPr>
      <w:r w:rsidRPr="00ED7E20">
        <w:rPr>
          <w:rFonts w:ascii="Times New Roman" w:hAnsi="Times New Roman"/>
          <w:b/>
          <w:bCs/>
          <w:color w:val="000080"/>
          <w:sz w:val="36"/>
          <w:szCs w:val="28"/>
        </w:rPr>
        <w:t>Update for 201</w:t>
      </w:r>
      <w:r w:rsidR="007533EB">
        <w:rPr>
          <w:rFonts w:ascii="Times New Roman" w:hAnsi="Times New Roman"/>
          <w:b/>
          <w:bCs/>
          <w:color w:val="000080"/>
          <w:sz w:val="36"/>
          <w:szCs w:val="28"/>
        </w:rPr>
        <w:t>3</w:t>
      </w:r>
    </w:p>
    <w:p w:rsidR="00FC67F9" w:rsidRPr="00ED7E20" w:rsidRDefault="00FC67F9" w:rsidP="002A0CD0">
      <w:pPr>
        <w:spacing w:after="0" w:line="240" w:lineRule="auto"/>
        <w:jc w:val="center"/>
        <w:rPr>
          <w:rFonts w:ascii="Times New Roman" w:hAnsi="Times New Roman"/>
          <w:sz w:val="24"/>
          <w:szCs w:val="24"/>
        </w:rPr>
      </w:pPr>
    </w:p>
    <w:p w:rsidR="00FC67F9" w:rsidRPr="00ED7E20" w:rsidRDefault="00FC67F9" w:rsidP="002A0CD0">
      <w:pPr>
        <w:spacing w:after="0" w:line="240" w:lineRule="auto"/>
        <w:jc w:val="center"/>
        <w:rPr>
          <w:rFonts w:ascii="Times New Roman" w:hAnsi="Times New Roman"/>
          <w:sz w:val="28"/>
          <w:szCs w:val="28"/>
        </w:rPr>
      </w:pPr>
    </w:p>
    <w:p w:rsidR="00FC67F9" w:rsidRPr="00ED7E20" w:rsidRDefault="00FC67F9" w:rsidP="002A0CD0">
      <w:pPr>
        <w:spacing w:after="0" w:line="240" w:lineRule="auto"/>
        <w:jc w:val="center"/>
        <w:rPr>
          <w:rFonts w:ascii="Times New Roman" w:hAnsi="Times New Roman"/>
          <w:sz w:val="36"/>
          <w:szCs w:val="40"/>
        </w:rPr>
      </w:pPr>
      <w:r w:rsidRPr="00ED7E20">
        <w:rPr>
          <w:rFonts w:ascii="Times New Roman" w:hAnsi="Times New Roman"/>
          <w:sz w:val="36"/>
          <w:szCs w:val="40"/>
        </w:rPr>
        <w:t>Georgia Power Company</w:t>
      </w:r>
    </w:p>
    <w:p w:rsidR="00FC67F9" w:rsidRPr="00ED7E20" w:rsidRDefault="00FC67F9" w:rsidP="002A0CD0">
      <w:pPr>
        <w:spacing w:after="0" w:line="240" w:lineRule="auto"/>
        <w:jc w:val="center"/>
        <w:rPr>
          <w:rFonts w:ascii="Arial" w:hAnsi="Arial"/>
          <w:b/>
          <w:bCs/>
          <w:sz w:val="24"/>
          <w:szCs w:val="24"/>
        </w:rPr>
      </w:pPr>
    </w:p>
    <w:p w:rsidR="00FC67F9" w:rsidRPr="00ED7E20" w:rsidRDefault="00FC67F9" w:rsidP="002A0CD0">
      <w:pPr>
        <w:spacing w:after="0" w:line="240" w:lineRule="auto"/>
        <w:jc w:val="center"/>
        <w:rPr>
          <w:rFonts w:ascii="Arial" w:hAnsi="Arial"/>
          <w:b/>
          <w:bCs/>
          <w:sz w:val="24"/>
          <w:szCs w:val="24"/>
        </w:rPr>
      </w:pPr>
    </w:p>
    <w:p w:rsidR="00FC67F9" w:rsidRPr="00ED7E20" w:rsidRDefault="00FC67F9" w:rsidP="002A0CD0">
      <w:pPr>
        <w:pBdr>
          <w:bottom w:val="single" w:sz="18" w:space="1" w:color="CC0000"/>
        </w:pBdr>
        <w:tabs>
          <w:tab w:val="left" w:pos="900"/>
        </w:tabs>
        <w:spacing w:after="0" w:line="240" w:lineRule="auto"/>
        <w:ind w:left="540" w:right="540"/>
        <w:jc w:val="center"/>
        <w:rPr>
          <w:rFonts w:ascii="Arial" w:hAnsi="Arial" w:cs="Arial"/>
          <w:b/>
          <w:bCs/>
          <w:kern w:val="28"/>
          <w:sz w:val="24"/>
          <w:szCs w:val="32"/>
        </w:rPr>
      </w:pPr>
    </w:p>
    <w:p w:rsidR="00FC67F9" w:rsidRPr="00ED7E20" w:rsidRDefault="00FC67F9" w:rsidP="002A0CD0">
      <w:pPr>
        <w:tabs>
          <w:tab w:val="left" w:pos="360"/>
          <w:tab w:val="left" w:pos="900"/>
        </w:tabs>
        <w:spacing w:after="0" w:line="240" w:lineRule="auto"/>
        <w:jc w:val="center"/>
        <w:rPr>
          <w:rFonts w:ascii="Arial" w:hAnsi="Arial" w:cs="Arial"/>
          <w:b/>
          <w:bCs/>
          <w:kern w:val="28"/>
          <w:sz w:val="24"/>
          <w:szCs w:val="32"/>
        </w:rPr>
      </w:pPr>
    </w:p>
    <w:p w:rsidR="00FC67F9" w:rsidRPr="00ED7E20" w:rsidRDefault="00FC67F9" w:rsidP="002A0CD0">
      <w:pPr>
        <w:spacing w:after="0" w:line="240" w:lineRule="auto"/>
        <w:jc w:val="center"/>
        <w:rPr>
          <w:rFonts w:ascii="Arial" w:hAnsi="Arial" w:cs="Arial"/>
          <w:b/>
          <w:iCs/>
          <w:sz w:val="24"/>
          <w:szCs w:val="24"/>
        </w:rPr>
      </w:pPr>
    </w:p>
    <w:p w:rsidR="00FC67F9" w:rsidRPr="00ED7E20" w:rsidRDefault="00FC67F9" w:rsidP="002A0CD0">
      <w:pPr>
        <w:spacing w:after="0" w:line="240" w:lineRule="auto"/>
        <w:jc w:val="center"/>
        <w:rPr>
          <w:rFonts w:ascii="Arial" w:hAnsi="Arial" w:cs="Arial"/>
          <w:b/>
          <w:iCs/>
          <w:sz w:val="24"/>
          <w:szCs w:val="24"/>
        </w:rPr>
      </w:pPr>
    </w:p>
    <w:p w:rsidR="00FC67F9" w:rsidRPr="00ED7E20" w:rsidRDefault="00FC67F9" w:rsidP="002A0CD0">
      <w:pPr>
        <w:tabs>
          <w:tab w:val="left" w:pos="2520"/>
          <w:tab w:val="left" w:pos="8190"/>
        </w:tabs>
        <w:spacing w:after="0" w:line="240" w:lineRule="auto"/>
        <w:ind w:right="-72"/>
        <w:jc w:val="center"/>
        <w:rPr>
          <w:rFonts w:ascii="Arial" w:hAnsi="Arial"/>
          <w:sz w:val="24"/>
          <w:szCs w:val="24"/>
        </w:rPr>
      </w:pPr>
    </w:p>
    <w:p w:rsidR="00FC67F9" w:rsidRPr="00ED7E20" w:rsidRDefault="00FC67F9" w:rsidP="002A0CD0">
      <w:pPr>
        <w:tabs>
          <w:tab w:val="left" w:pos="2520"/>
          <w:tab w:val="left" w:pos="8190"/>
        </w:tabs>
        <w:spacing w:after="0" w:line="240" w:lineRule="auto"/>
        <w:ind w:right="-72"/>
        <w:jc w:val="center"/>
        <w:rPr>
          <w:rFonts w:ascii="Arial" w:hAnsi="Arial"/>
          <w:sz w:val="24"/>
          <w:szCs w:val="24"/>
        </w:rPr>
      </w:pPr>
    </w:p>
    <w:p w:rsidR="00FC67F9" w:rsidRPr="00ED7E20" w:rsidRDefault="00FC67F9" w:rsidP="002A0CD0">
      <w:pPr>
        <w:tabs>
          <w:tab w:val="left" w:pos="2520"/>
          <w:tab w:val="left" w:pos="8190"/>
        </w:tabs>
        <w:spacing w:after="0" w:line="240" w:lineRule="auto"/>
        <w:ind w:right="-72"/>
        <w:jc w:val="center"/>
        <w:rPr>
          <w:rFonts w:ascii="Arial" w:hAnsi="Arial"/>
          <w:sz w:val="24"/>
          <w:szCs w:val="24"/>
        </w:rPr>
      </w:pPr>
    </w:p>
    <w:p w:rsidR="00FC67F9" w:rsidRPr="00ED7E20" w:rsidRDefault="00FC67F9" w:rsidP="002A0CD0">
      <w:pPr>
        <w:tabs>
          <w:tab w:val="left" w:pos="2520"/>
          <w:tab w:val="left" w:pos="8190"/>
        </w:tabs>
        <w:spacing w:after="0" w:line="240" w:lineRule="auto"/>
        <w:ind w:right="-72"/>
        <w:jc w:val="center"/>
        <w:rPr>
          <w:rFonts w:ascii="Arial" w:hAnsi="Arial"/>
          <w:sz w:val="24"/>
          <w:szCs w:val="24"/>
        </w:rPr>
      </w:pPr>
    </w:p>
    <w:p w:rsidR="00FC67F9" w:rsidRPr="00FE4210" w:rsidRDefault="000E6BE6" w:rsidP="002A0CD0">
      <w:pPr>
        <w:spacing w:after="0" w:line="240" w:lineRule="auto"/>
        <w:jc w:val="center"/>
        <w:rPr>
          <w:rFonts w:ascii="Times New Roman" w:hAnsi="Times New Roman"/>
          <w:i/>
          <w:sz w:val="36"/>
          <w:szCs w:val="36"/>
        </w:rPr>
      </w:pPr>
      <w:r>
        <w:rPr>
          <w:rFonts w:ascii="Times New Roman" w:hAnsi="Times New Roman"/>
          <w:i/>
          <w:sz w:val="36"/>
          <w:szCs w:val="36"/>
        </w:rPr>
        <w:t>January</w:t>
      </w:r>
      <w:r w:rsidR="00A9311F" w:rsidRPr="00FE4210">
        <w:rPr>
          <w:rFonts w:ascii="Times New Roman" w:hAnsi="Times New Roman"/>
          <w:i/>
          <w:sz w:val="36"/>
          <w:szCs w:val="36"/>
        </w:rPr>
        <w:t xml:space="preserve"> </w:t>
      </w:r>
      <w:r w:rsidR="00FC67F9" w:rsidRPr="00FE4210">
        <w:rPr>
          <w:rFonts w:ascii="Times New Roman" w:hAnsi="Times New Roman"/>
          <w:i/>
          <w:sz w:val="36"/>
          <w:szCs w:val="36"/>
        </w:rPr>
        <w:t>201</w:t>
      </w:r>
      <w:r>
        <w:rPr>
          <w:rFonts w:ascii="Times New Roman" w:hAnsi="Times New Roman"/>
          <w:i/>
          <w:sz w:val="36"/>
          <w:szCs w:val="36"/>
        </w:rPr>
        <w:t>3</w:t>
      </w:r>
    </w:p>
    <w:p w:rsidR="00FC67F9" w:rsidRPr="00ED7E20" w:rsidRDefault="00FC67F9" w:rsidP="002A0CD0">
      <w:pPr>
        <w:spacing w:after="0" w:line="240" w:lineRule="auto"/>
        <w:jc w:val="center"/>
        <w:rPr>
          <w:rFonts w:ascii="Times New Roman" w:hAnsi="Times New Roman"/>
          <w:sz w:val="24"/>
          <w:szCs w:val="24"/>
        </w:rPr>
      </w:pPr>
    </w:p>
    <w:p w:rsidR="00FC67F9" w:rsidRPr="00ED7E20" w:rsidRDefault="00FC67F9" w:rsidP="002A0CD0">
      <w:pPr>
        <w:spacing w:after="0" w:line="240" w:lineRule="auto"/>
        <w:rPr>
          <w:rFonts w:ascii="Times New Roman" w:hAnsi="Times New Roman"/>
          <w:sz w:val="24"/>
          <w:szCs w:val="24"/>
        </w:rPr>
      </w:pPr>
    </w:p>
    <w:p w:rsidR="00FC67F9" w:rsidRPr="00ED7E20" w:rsidRDefault="00FC67F9" w:rsidP="002A0CD0">
      <w:pPr>
        <w:spacing w:after="0" w:line="240" w:lineRule="auto"/>
        <w:jc w:val="center"/>
        <w:rPr>
          <w:rFonts w:ascii="Times New Roman" w:hAnsi="Times New Roman"/>
          <w:sz w:val="24"/>
          <w:szCs w:val="24"/>
        </w:rPr>
        <w:sectPr w:rsidR="00FC67F9" w:rsidRPr="00ED7E20" w:rsidSect="00FC1156">
          <w:headerReference w:type="even" r:id="rId7"/>
          <w:headerReference w:type="default" r:id="rId8"/>
          <w:footerReference w:type="even" r:id="rId9"/>
          <w:footerReference w:type="default" r:id="rId10"/>
          <w:headerReference w:type="first" r:id="rId11"/>
          <w:footerReference w:type="first" r:id="rId12"/>
          <w:type w:val="nextColumn"/>
          <w:pgSz w:w="12240" w:h="15840" w:code="1"/>
          <w:pgMar w:top="1440" w:right="1440" w:bottom="1440" w:left="1440" w:header="720" w:footer="720" w:gutter="0"/>
          <w:pgNumType w:fmt="lowerRoman" w:start="1"/>
          <w:cols w:space="720"/>
        </w:sectPr>
      </w:pPr>
    </w:p>
    <w:p w:rsidR="00FC67F9" w:rsidRPr="00ED7E20" w:rsidRDefault="00FC67F9" w:rsidP="002A0CD0">
      <w:pPr>
        <w:spacing w:after="0" w:line="240" w:lineRule="auto"/>
        <w:rPr>
          <w:rFonts w:ascii="Times New Roman" w:hAnsi="Times New Roman"/>
          <w:b/>
          <w:color w:val="000080"/>
          <w:sz w:val="24"/>
          <w:szCs w:val="24"/>
        </w:rPr>
      </w:pPr>
    </w:p>
    <w:p w:rsidR="00FC67F9" w:rsidRPr="00ED7E20" w:rsidRDefault="00FC67F9" w:rsidP="002A0CD0">
      <w:pPr>
        <w:spacing w:after="0" w:line="240" w:lineRule="auto"/>
        <w:rPr>
          <w:rFonts w:ascii="Times New Roman" w:hAnsi="Times New Roman"/>
          <w:b/>
          <w:color w:val="000080"/>
          <w:sz w:val="24"/>
          <w:szCs w:val="24"/>
        </w:rPr>
      </w:pPr>
      <w:r w:rsidRPr="00ED7E20">
        <w:rPr>
          <w:rFonts w:ascii="Times New Roman" w:hAnsi="Times New Roman"/>
          <w:b/>
          <w:color w:val="000080"/>
          <w:sz w:val="24"/>
          <w:szCs w:val="24"/>
        </w:rPr>
        <w:t>FORWARD-LOOKING STATEMENT CAUTIONARY NOTE</w:t>
      </w:r>
    </w:p>
    <w:p w:rsidR="00FC67F9" w:rsidRPr="00ED7E20" w:rsidRDefault="00FC67F9" w:rsidP="002A0CD0">
      <w:pPr>
        <w:spacing w:after="0" w:line="240" w:lineRule="auto"/>
        <w:rPr>
          <w:rFonts w:ascii="Times New Roman" w:hAnsi="Times New Roman"/>
          <w:iCs/>
          <w:sz w:val="16"/>
          <w:szCs w:val="16"/>
        </w:rPr>
      </w:pPr>
    </w:p>
    <w:p w:rsidR="00FC67F9" w:rsidRPr="00ED7E20" w:rsidRDefault="00FC67F9" w:rsidP="002A0CD0">
      <w:pPr>
        <w:spacing w:after="0" w:line="240" w:lineRule="auto"/>
        <w:rPr>
          <w:rFonts w:ascii="Times New Roman" w:hAnsi="Times New Roman"/>
          <w:iCs/>
          <w:color w:val="000000"/>
          <w:sz w:val="24"/>
          <w:szCs w:val="24"/>
        </w:rPr>
      </w:pPr>
      <w:r w:rsidRPr="00ED7E20">
        <w:rPr>
          <w:rFonts w:ascii="Times New Roman" w:hAnsi="Times New Roman"/>
          <w:iCs/>
          <w:sz w:val="24"/>
          <w:szCs w:val="24"/>
        </w:rPr>
        <w:t>Much of the information contained in this report is forward-looking information based on current expectations and plans that involve risks and uncertainties</w:t>
      </w:r>
      <w:r w:rsidRPr="00ED7E20">
        <w:rPr>
          <w:rFonts w:ascii="Times New Roman" w:hAnsi="Times New Roman"/>
          <w:iCs/>
          <w:color w:val="000000"/>
          <w:sz w:val="24"/>
          <w:szCs w:val="24"/>
        </w:rPr>
        <w:t>.  Some of the forward-looking information relates to scenarios that seek to predict future environmental rules and regulations, Georgia Power Company’s (Georgia Power’s) ability to address those rules and regulations in a cost-effective manner, solutions for addressing such rules and regulations, costs involved in addressing those rules and regulations, and continued economic growth in Georgia Power’s service territory.  Georgia Power cautions that there are certain factors that can cause actual results to differ materially from the forward-looking information that has been provided.  The reader is cautioned not to put undue reliance on this forward-looking information, which is not a guarantee of future performance and is subject to a number of uncertainties and other factors, many of which are outside the control of Southern Company and its affiliates; accordingly, there can be no assurance that such suggested results will be realized.</w:t>
      </w:r>
    </w:p>
    <w:p w:rsidR="00FC67F9" w:rsidRPr="00ED7E20" w:rsidRDefault="00FC67F9" w:rsidP="002A0CD0">
      <w:pPr>
        <w:spacing w:after="0" w:line="240" w:lineRule="auto"/>
        <w:rPr>
          <w:rFonts w:ascii="Times New Roman" w:hAnsi="Times New Roman"/>
          <w:iCs/>
          <w:color w:val="000000"/>
          <w:sz w:val="16"/>
          <w:szCs w:val="16"/>
        </w:rPr>
      </w:pPr>
    </w:p>
    <w:p w:rsidR="00FC67F9" w:rsidRPr="00ED7E20" w:rsidRDefault="00FC67F9" w:rsidP="002A0CD0">
      <w:pPr>
        <w:spacing w:after="0" w:line="240" w:lineRule="auto"/>
        <w:rPr>
          <w:rFonts w:ascii="Times New Roman" w:hAnsi="Times New Roman"/>
          <w:iCs/>
          <w:color w:val="000000"/>
          <w:sz w:val="24"/>
          <w:szCs w:val="24"/>
        </w:rPr>
      </w:pPr>
      <w:r w:rsidRPr="00ED7E20">
        <w:rPr>
          <w:rFonts w:ascii="Times New Roman" w:hAnsi="Times New Roman"/>
          <w:iCs/>
          <w:color w:val="000000"/>
          <w:sz w:val="24"/>
          <w:szCs w:val="24"/>
        </w:rPr>
        <w:t>The following factors, in addition to those discussed in Georgia Power’s Annual Report on Form 10-K for the year ended December 31, 201</w:t>
      </w:r>
      <w:r w:rsidR="00A9311F">
        <w:rPr>
          <w:rFonts w:ascii="Times New Roman" w:hAnsi="Times New Roman"/>
          <w:iCs/>
          <w:color w:val="000000"/>
          <w:sz w:val="24"/>
          <w:szCs w:val="24"/>
        </w:rPr>
        <w:t>1</w:t>
      </w:r>
      <w:r w:rsidRPr="00ED7E20">
        <w:rPr>
          <w:rFonts w:ascii="Times New Roman" w:hAnsi="Times New Roman"/>
          <w:iCs/>
          <w:color w:val="000000"/>
          <w:sz w:val="24"/>
          <w:szCs w:val="24"/>
        </w:rPr>
        <w:t xml:space="preserve"> and subsequent securities filings, could cause results to differ materially from management expectations as suggested by such forward-looking information:  the impact of recent and future federal and state regulatory changes, including legislative and regulatory initiatives regarding deregulation and restructuring of the electric utility industry, and also changes in environmental, tax and other laws and regulations to which Georgia Power is subject, as well as changes in application of existing laws and regulations; current and future litigation, regulatory investigations, proceedings or inquiries, variations in demand for electricity and gas, including those relating to weather, the general economy, and population and business growth (and declines); available sources and costs of fuels; ability to control costs; advances in technology; state and federal rate regulations and the impact of pending and future rate cases and negotiations; internal restructuring or other restructuring options that may be pursued; potential business strategies, including acquisitions or dispositions of assets or businesses, which cannot be assured to be completed or beneficial to Georgia Power; the ability to obtain new short and long-term contracts with neighboring utilities; the direct or indirect effect on Georgia Power’s  business resulting from terrorist incidents and the threat of terrorist incidents; interest rate fluctuations and financial market conditions and the results of financing efforts, including Georgia Power’s  credit ratings; the ability to obtain additional generating capacity at competitive prices; and catastrophic events such as fires, floods, hurricanes, earthquakes or other similar occurrences.  Georgia Power expressly disclaims any</w:t>
      </w:r>
      <w:r w:rsidR="005E7882">
        <w:rPr>
          <w:rFonts w:ascii="Times New Roman" w:hAnsi="Times New Roman"/>
          <w:iCs/>
          <w:color w:val="000000"/>
          <w:sz w:val="24"/>
          <w:szCs w:val="24"/>
        </w:rPr>
        <w:t xml:space="preserve"> </w:t>
      </w:r>
      <w:r w:rsidRPr="00ED7E20">
        <w:rPr>
          <w:rFonts w:ascii="Times New Roman" w:hAnsi="Times New Roman"/>
          <w:iCs/>
          <w:color w:val="000000"/>
          <w:sz w:val="24"/>
          <w:szCs w:val="24"/>
        </w:rPr>
        <w:t>obligation to update any forward-looking information.</w:t>
      </w:r>
    </w:p>
    <w:p w:rsidR="00FC67F9" w:rsidRPr="00ED7E20" w:rsidRDefault="00FC67F9" w:rsidP="002A0CD0">
      <w:pPr>
        <w:spacing w:after="0" w:line="240" w:lineRule="auto"/>
        <w:rPr>
          <w:rFonts w:ascii="Times New Roman" w:hAnsi="Times New Roman"/>
          <w:iCs/>
          <w:color w:val="000000"/>
          <w:sz w:val="24"/>
          <w:szCs w:val="24"/>
        </w:rPr>
      </w:pPr>
      <w:r w:rsidRPr="00ED7E20">
        <w:rPr>
          <w:rFonts w:ascii="Times New Roman" w:hAnsi="Times New Roman"/>
          <w:iCs/>
          <w:color w:val="000000"/>
          <w:sz w:val="24"/>
          <w:szCs w:val="24"/>
        </w:rPr>
        <w:br w:type="page"/>
      </w:r>
    </w:p>
    <w:p w:rsidR="00594351" w:rsidRPr="00DA5DA1" w:rsidRDefault="00594351" w:rsidP="00594351">
      <w:pPr>
        <w:spacing w:after="0" w:line="240" w:lineRule="auto"/>
        <w:ind w:right="-270"/>
        <w:jc w:val="center"/>
        <w:rPr>
          <w:rFonts w:ascii="Times New Roman" w:hAnsi="Times New Roman"/>
          <w:b/>
          <w:color w:val="000080"/>
          <w:sz w:val="24"/>
          <w:szCs w:val="24"/>
        </w:rPr>
      </w:pPr>
      <w:r w:rsidRPr="00DA5DA1">
        <w:rPr>
          <w:rFonts w:ascii="Times New Roman" w:hAnsi="Times New Roman"/>
          <w:b/>
          <w:color w:val="000080"/>
          <w:sz w:val="24"/>
          <w:szCs w:val="24"/>
        </w:rPr>
        <w:lastRenderedPageBreak/>
        <w:t>ENVIRONMENTAL COMPLIANCE STRATEGY</w:t>
      </w:r>
    </w:p>
    <w:p w:rsidR="00594351" w:rsidRPr="00DA5DA1" w:rsidRDefault="00594351" w:rsidP="00594351">
      <w:pPr>
        <w:spacing w:after="0" w:line="240" w:lineRule="auto"/>
        <w:ind w:right="-270"/>
        <w:jc w:val="center"/>
        <w:rPr>
          <w:rFonts w:ascii="Times New Roman" w:hAnsi="Times New Roman"/>
          <w:b/>
          <w:color w:val="000080"/>
          <w:sz w:val="24"/>
          <w:szCs w:val="24"/>
        </w:rPr>
      </w:pPr>
      <w:r w:rsidRPr="00DA5DA1">
        <w:rPr>
          <w:rFonts w:ascii="Times New Roman Bold" w:hAnsi="Times New Roman Bold"/>
          <w:b/>
          <w:color w:val="000080"/>
          <w:sz w:val="24"/>
          <w:szCs w:val="24"/>
        </w:rPr>
        <w:t>TABLE</w:t>
      </w:r>
      <w:r w:rsidRPr="00DA5DA1">
        <w:rPr>
          <w:rFonts w:ascii="Times New Roman" w:hAnsi="Times New Roman"/>
          <w:b/>
          <w:color w:val="000080"/>
          <w:sz w:val="24"/>
          <w:szCs w:val="24"/>
        </w:rPr>
        <w:t xml:space="preserve"> OF CONTENTS</w:t>
      </w:r>
    </w:p>
    <w:p w:rsidR="00FC67F9" w:rsidRDefault="00FC67F9" w:rsidP="000E6BE6">
      <w:pPr>
        <w:spacing w:before="120" w:after="0" w:line="240" w:lineRule="auto"/>
        <w:ind w:right="-270"/>
        <w:jc w:val="center"/>
        <w:rPr>
          <w:rFonts w:ascii="Times New Roman" w:hAnsi="Times New Roman"/>
          <w:color w:val="000080"/>
          <w:sz w:val="16"/>
          <w:szCs w:val="16"/>
        </w:rPr>
      </w:pPr>
    </w:p>
    <w:p w:rsidR="00111EC6" w:rsidRDefault="00C650CE" w:rsidP="00111EC6">
      <w:pPr>
        <w:pStyle w:val="TOC1"/>
        <w:spacing w:before="0" w:after="120"/>
        <w:contextualSpacing/>
        <w:rPr>
          <w:rFonts w:asciiTheme="minorHAnsi" w:eastAsiaTheme="minorEastAsia" w:hAnsiTheme="minorHAnsi" w:cstheme="minorBidi"/>
          <w:noProof/>
        </w:rPr>
      </w:pPr>
      <w:r w:rsidRPr="000E6BE6">
        <w:rPr>
          <w:color w:val="000080"/>
          <w:sz w:val="24"/>
          <w:szCs w:val="24"/>
        </w:rPr>
        <w:fldChar w:fldCharType="begin"/>
      </w:r>
      <w:r w:rsidR="00594351" w:rsidRPr="000E6BE6">
        <w:rPr>
          <w:color w:val="000080"/>
          <w:sz w:val="24"/>
          <w:szCs w:val="24"/>
        </w:rPr>
        <w:instrText xml:space="preserve"> TOC \o "1-3" \h \z \u </w:instrText>
      </w:r>
      <w:r w:rsidRPr="000E6BE6">
        <w:rPr>
          <w:color w:val="000080"/>
          <w:sz w:val="24"/>
          <w:szCs w:val="24"/>
        </w:rPr>
        <w:fldChar w:fldCharType="separate"/>
      </w:r>
      <w:hyperlink w:anchor="_Toc347314830" w:history="1">
        <w:r w:rsidR="00111EC6" w:rsidRPr="00915BA0">
          <w:rPr>
            <w:rStyle w:val="Hyperlink"/>
            <w:rFonts w:ascii="Arial" w:hAnsi="Arial" w:cs="Arial"/>
            <w:b/>
            <w:bCs/>
            <w:noProof/>
            <w:kern w:val="28"/>
          </w:rPr>
          <w:t>1.0 Georgia Power Environmental Compliance  Strategy and Overview</w:t>
        </w:r>
        <w:r w:rsidR="00111EC6">
          <w:rPr>
            <w:noProof/>
            <w:webHidden/>
          </w:rPr>
          <w:tab/>
        </w:r>
        <w:r>
          <w:rPr>
            <w:noProof/>
            <w:webHidden/>
          </w:rPr>
          <w:fldChar w:fldCharType="begin"/>
        </w:r>
        <w:r w:rsidR="00111EC6">
          <w:rPr>
            <w:noProof/>
            <w:webHidden/>
          </w:rPr>
          <w:instrText xml:space="preserve"> PAGEREF _Toc347314830 \h </w:instrText>
        </w:r>
        <w:r>
          <w:rPr>
            <w:noProof/>
            <w:webHidden/>
          </w:rPr>
        </w:r>
        <w:r>
          <w:rPr>
            <w:noProof/>
            <w:webHidden/>
          </w:rPr>
          <w:fldChar w:fldCharType="separate"/>
        </w:r>
        <w:r w:rsidR="00111EC6">
          <w:rPr>
            <w:noProof/>
            <w:webHidden/>
          </w:rPr>
          <w:t>1</w:t>
        </w:r>
        <w:r>
          <w:rPr>
            <w:noProof/>
            <w:webHidden/>
          </w:rPr>
          <w:fldChar w:fldCharType="end"/>
        </w:r>
      </w:hyperlink>
    </w:p>
    <w:p w:rsidR="00111EC6" w:rsidRDefault="00C650CE" w:rsidP="00111EC6">
      <w:pPr>
        <w:pStyle w:val="TOC2"/>
        <w:spacing w:after="120"/>
        <w:contextualSpacing/>
        <w:rPr>
          <w:rFonts w:asciiTheme="minorHAnsi" w:eastAsiaTheme="minorEastAsia" w:hAnsiTheme="minorHAnsi" w:cstheme="minorBidi"/>
          <w:noProof/>
        </w:rPr>
      </w:pPr>
      <w:hyperlink w:anchor="_Toc347314831" w:history="1">
        <w:r w:rsidR="00111EC6" w:rsidRPr="00915BA0">
          <w:rPr>
            <w:rStyle w:val="Hyperlink"/>
            <w:b/>
            <w:bCs/>
            <w:noProof/>
          </w:rPr>
          <w:t>1.1</w:t>
        </w:r>
        <w:r w:rsidR="00111EC6">
          <w:rPr>
            <w:rFonts w:asciiTheme="minorHAnsi" w:eastAsiaTheme="minorEastAsia" w:hAnsiTheme="minorHAnsi" w:cstheme="minorBidi"/>
            <w:noProof/>
          </w:rPr>
          <w:tab/>
        </w:r>
        <w:r w:rsidR="00111EC6" w:rsidRPr="00915BA0">
          <w:rPr>
            <w:rStyle w:val="Hyperlink"/>
            <w:b/>
            <w:bCs/>
            <w:noProof/>
          </w:rPr>
          <w:t>Notable Regulatory-Related Events</w:t>
        </w:r>
        <w:r w:rsidR="00111EC6">
          <w:rPr>
            <w:noProof/>
            <w:webHidden/>
          </w:rPr>
          <w:tab/>
        </w:r>
        <w:r>
          <w:rPr>
            <w:noProof/>
            <w:webHidden/>
          </w:rPr>
          <w:fldChar w:fldCharType="begin"/>
        </w:r>
        <w:r w:rsidR="00111EC6">
          <w:rPr>
            <w:noProof/>
            <w:webHidden/>
          </w:rPr>
          <w:instrText xml:space="preserve"> PAGEREF _Toc347314831 \h </w:instrText>
        </w:r>
        <w:r>
          <w:rPr>
            <w:noProof/>
            <w:webHidden/>
          </w:rPr>
        </w:r>
        <w:r>
          <w:rPr>
            <w:noProof/>
            <w:webHidden/>
          </w:rPr>
          <w:fldChar w:fldCharType="separate"/>
        </w:r>
        <w:r w:rsidR="00111EC6">
          <w:rPr>
            <w:noProof/>
            <w:webHidden/>
          </w:rPr>
          <w:t>7</w:t>
        </w:r>
        <w:r>
          <w:rPr>
            <w:noProof/>
            <w:webHidden/>
          </w:rPr>
          <w:fldChar w:fldCharType="end"/>
        </w:r>
      </w:hyperlink>
    </w:p>
    <w:p w:rsidR="00111EC6" w:rsidRDefault="00C650CE" w:rsidP="00111EC6">
      <w:pPr>
        <w:pStyle w:val="TOC2"/>
        <w:spacing w:after="120"/>
        <w:contextualSpacing/>
        <w:rPr>
          <w:rFonts w:asciiTheme="minorHAnsi" w:eastAsiaTheme="minorEastAsia" w:hAnsiTheme="minorHAnsi" w:cstheme="minorBidi"/>
          <w:noProof/>
        </w:rPr>
      </w:pPr>
      <w:hyperlink w:anchor="_Toc347314832" w:history="1">
        <w:r w:rsidR="00111EC6" w:rsidRPr="00915BA0">
          <w:rPr>
            <w:rStyle w:val="Hyperlink"/>
            <w:b/>
            <w:bCs/>
            <w:noProof/>
          </w:rPr>
          <w:t>1.2</w:t>
        </w:r>
        <w:r w:rsidR="00111EC6">
          <w:rPr>
            <w:rFonts w:asciiTheme="minorHAnsi" w:eastAsiaTheme="minorEastAsia" w:hAnsiTheme="minorHAnsi" w:cstheme="minorBidi"/>
            <w:noProof/>
          </w:rPr>
          <w:tab/>
        </w:r>
        <w:r w:rsidR="00111EC6" w:rsidRPr="00915BA0">
          <w:rPr>
            <w:rStyle w:val="Hyperlink"/>
            <w:b/>
            <w:bCs/>
            <w:noProof/>
          </w:rPr>
          <w:t>Future Key Environmental Dates</w:t>
        </w:r>
        <w:r w:rsidR="00111EC6">
          <w:rPr>
            <w:noProof/>
            <w:webHidden/>
          </w:rPr>
          <w:tab/>
        </w:r>
        <w:r>
          <w:rPr>
            <w:noProof/>
            <w:webHidden/>
          </w:rPr>
          <w:fldChar w:fldCharType="begin"/>
        </w:r>
        <w:r w:rsidR="00111EC6">
          <w:rPr>
            <w:noProof/>
            <w:webHidden/>
          </w:rPr>
          <w:instrText xml:space="preserve"> PAGEREF _Toc347314832 \h </w:instrText>
        </w:r>
        <w:r>
          <w:rPr>
            <w:noProof/>
            <w:webHidden/>
          </w:rPr>
        </w:r>
        <w:r>
          <w:rPr>
            <w:noProof/>
            <w:webHidden/>
          </w:rPr>
          <w:fldChar w:fldCharType="separate"/>
        </w:r>
        <w:r w:rsidR="00111EC6">
          <w:rPr>
            <w:noProof/>
            <w:webHidden/>
          </w:rPr>
          <w:t>10</w:t>
        </w:r>
        <w:r>
          <w:rPr>
            <w:noProof/>
            <w:webHidden/>
          </w:rPr>
          <w:fldChar w:fldCharType="end"/>
        </w:r>
      </w:hyperlink>
    </w:p>
    <w:p w:rsidR="00111EC6" w:rsidRDefault="00C650CE" w:rsidP="00111EC6">
      <w:pPr>
        <w:pStyle w:val="TOC1"/>
        <w:spacing w:before="0" w:after="120"/>
        <w:contextualSpacing/>
        <w:rPr>
          <w:rFonts w:asciiTheme="minorHAnsi" w:eastAsiaTheme="minorEastAsia" w:hAnsiTheme="minorHAnsi" w:cstheme="minorBidi"/>
          <w:noProof/>
        </w:rPr>
      </w:pPr>
      <w:hyperlink w:anchor="_Toc347314833" w:history="1">
        <w:r w:rsidR="00111EC6" w:rsidRPr="00915BA0">
          <w:rPr>
            <w:rStyle w:val="Hyperlink"/>
            <w:rFonts w:ascii="Arial" w:hAnsi="Arial" w:cs="Arial"/>
            <w:b/>
            <w:bCs/>
            <w:noProof/>
            <w:kern w:val="28"/>
          </w:rPr>
          <w:t>2.0 Regulatory, Legislative, and Judicial Review</w:t>
        </w:r>
        <w:r w:rsidR="00111EC6">
          <w:rPr>
            <w:noProof/>
            <w:webHidden/>
          </w:rPr>
          <w:tab/>
        </w:r>
        <w:r>
          <w:rPr>
            <w:noProof/>
            <w:webHidden/>
          </w:rPr>
          <w:fldChar w:fldCharType="begin"/>
        </w:r>
        <w:r w:rsidR="00111EC6">
          <w:rPr>
            <w:noProof/>
            <w:webHidden/>
          </w:rPr>
          <w:instrText xml:space="preserve"> PAGEREF _Toc347314833 \h </w:instrText>
        </w:r>
        <w:r>
          <w:rPr>
            <w:noProof/>
            <w:webHidden/>
          </w:rPr>
        </w:r>
        <w:r>
          <w:rPr>
            <w:noProof/>
            <w:webHidden/>
          </w:rPr>
          <w:fldChar w:fldCharType="separate"/>
        </w:r>
        <w:r w:rsidR="00111EC6">
          <w:rPr>
            <w:noProof/>
            <w:webHidden/>
          </w:rPr>
          <w:t>11</w:t>
        </w:r>
        <w:r>
          <w:rPr>
            <w:noProof/>
            <w:webHidden/>
          </w:rPr>
          <w:fldChar w:fldCharType="end"/>
        </w:r>
      </w:hyperlink>
    </w:p>
    <w:p w:rsidR="00111EC6" w:rsidRDefault="00C650CE" w:rsidP="00111EC6">
      <w:pPr>
        <w:pStyle w:val="TOC2"/>
        <w:spacing w:after="120"/>
        <w:contextualSpacing/>
        <w:rPr>
          <w:rFonts w:asciiTheme="minorHAnsi" w:eastAsiaTheme="minorEastAsia" w:hAnsiTheme="minorHAnsi" w:cstheme="minorBidi"/>
          <w:noProof/>
        </w:rPr>
      </w:pPr>
      <w:hyperlink w:anchor="_Toc347314834" w:history="1">
        <w:r w:rsidR="00111EC6" w:rsidRPr="00915BA0">
          <w:rPr>
            <w:rStyle w:val="Hyperlink"/>
            <w:b/>
            <w:bCs/>
            <w:noProof/>
          </w:rPr>
          <w:t>2.1</w:t>
        </w:r>
        <w:r w:rsidR="00111EC6">
          <w:rPr>
            <w:rFonts w:asciiTheme="minorHAnsi" w:eastAsiaTheme="minorEastAsia" w:hAnsiTheme="minorHAnsi" w:cstheme="minorBidi"/>
            <w:noProof/>
          </w:rPr>
          <w:tab/>
        </w:r>
        <w:r w:rsidR="00111EC6" w:rsidRPr="00915BA0">
          <w:rPr>
            <w:rStyle w:val="Hyperlink"/>
            <w:b/>
            <w:bCs/>
            <w:noProof/>
          </w:rPr>
          <w:t xml:space="preserve">Major U.S. </w:t>
        </w:r>
        <w:r w:rsidR="00111EC6" w:rsidRPr="00915BA0">
          <w:rPr>
            <w:rStyle w:val="Hyperlink"/>
            <w:rFonts w:ascii="Times New Roman Bold" w:hAnsi="Times New Roman Bold"/>
            <w:b/>
            <w:bCs/>
            <w:noProof/>
          </w:rPr>
          <w:t>Environmental</w:t>
        </w:r>
        <w:r w:rsidR="00111EC6" w:rsidRPr="00915BA0">
          <w:rPr>
            <w:rStyle w:val="Hyperlink"/>
            <w:b/>
            <w:bCs/>
            <w:noProof/>
          </w:rPr>
          <w:t xml:space="preserve"> Laws</w:t>
        </w:r>
        <w:r w:rsidR="00111EC6">
          <w:rPr>
            <w:noProof/>
            <w:webHidden/>
          </w:rPr>
          <w:tab/>
        </w:r>
        <w:r>
          <w:rPr>
            <w:noProof/>
            <w:webHidden/>
          </w:rPr>
          <w:fldChar w:fldCharType="begin"/>
        </w:r>
        <w:r w:rsidR="00111EC6">
          <w:rPr>
            <w:noProof/>
            <w:webHidden/>
          </w:rPr>
          <w:instrText xml:space="preserve"> PAGEREF _Toc347314834 \h </w:instrText>
        </w:r>
        <w:r>
          <w:rPr>
            <w:noProof/>
            <w:webHidden/>
          </w:rPr>
        </w:r>
        <w:r>
          <w:rPr>
            <w:noProof/>
            <w:webHidden/>
          </w:rPr>
          <w:fldChar w:fldCharType="separate"/>
        </w:r>
        <w:r w:rsidR="00111EC6">
          <w:rPr>
            <w:noProof/>
            <w:webHidden/>
          </w:rPr>
          <w:t>11</w:t>
        </w:r>
        <w:r>
          <w:rPr>
            <w:noProof/>
            <w:webHidden/>
          </w:rPr>
          <w:fldChar w:fldCharType="end"/>
        </w:r>
      </w:hyperlink>
    </w:p>
    <w:p w:rsidR="00111EC6" w:rsidRDefault="00C650CE" w:rsidP="00111EC6">
      <w:pPr>
        <w:pStyle w:val="TOC2"/>
        <w:spacing w:after="120"/>
        <w:contextualSpacing/>
        <w:rPr>
          <w:rFonts w:asciiTheme="minorHAnsi" w:eastAsiaTheme="minorEastAsia" w:hAnsiTheme="minorHAnsi" w:cstheme="minorBidi"/>
          <w:noProof/>
        </w:rPr>
      </w:pPr>
      <w:hyperlink w:anchor="_Toc347314835" w:history="1">
        <w:r w:rsidR="00111EC6" w:rsidRPr="00915BA0">
          <w:rPr>
            <w:rStyle w:val="Hyperlink"/>
            <w:b/>
            <w:bCs/>
            <w:noProof/>
          </w:rPr>
          <w:t>2.2</w:t>
        </w:r>
        <w:r w:rsidR="00111EC6">
          <w:rPr>
            <w:rFonts w:asciiTheme="minorHAnsi" w:eastAsiaTheme="minorEastAsia" w:hAnsiTheme="minorHAnsi" w:cstheme="minorBidi"/>
            <w:noProof/>
          </w:rPr>
          <w:tab/>
        </w:r>
        <w:r w:rsidR="00111EC6" w:rsidRPr="00915BA0">
          <w:rPr>
            <w:rStyle w:val="Hyperlink"/>
            <w:b/>
            <w:bCs/>
            <w:noProof/>
          </w:rPr>
          <w:t>Acid Rain Program</w:t>
        </w:r>
        <w:r w:rsidR="00111EC6">
          <w:rPr>
            <w:noProof/>
            <w:webHidden/>
          </w:rPr>
          <w:tab/>
        </w:r>
        <w:r>
          <w:rPr>
            <w:noProof/>
            <w:webHidden/>
          </w:rPr>
          <w:fldChar w:fldCharType="begin"/>
        </w:r>
        <w:r w:rsidR="00111EC6">
          <w:rPr>
            <w:noProof/>
            <w:webHidden/>
          </w:rPr>
          <w:instrText xml:space="preserve"> PAGEREF _Toc347314835 \h </w:instrText>
        </w:r>
        <w:r>
          <w:rPr>
            <w:noProof/>
            <w:webHidden/>
          </w:rPr>
        </w:r>
        <w:r>
          <w:rPr>
            <w:noProof/>
            <w:webHidden/>
          </w:rPr>
          <w:fldChar w:fldCharType="separate"/>
        </w:r>
        <w:r w:rsidR="00111EC6">
          <w:rPr>
            <w:noProof/>
            <w:webHidden/>
          </w:rPr>
          <w:t>13</w:t>
        </w:r>
        <w:r>
          <w:rPr>
            <w:noProof/>
            <w:webHidden/>
          </w:rPr>
          <w:fldChar w:fldCharType="end"/>
        </w:r>
      </w:hyperlink>
    </w:p>
    <w:p w:rsidR="00111EC6" w:rsidRDefault="00C650CE" w:rsidP="00111EC6">
      <w:pPr>
        <w:pStyle w:val="TOC2"/>
        <w:spacing w:after="120"/>
        <w:contextualSpacing/>
        <w:rPr>
          <w:rFonts w:asciiTheme="minorHAnsi" w:eastAsiaTheme="minorEastAsia" w:hAnsiTheme="minorHAnsi" w:cstheme="minorBidi"/>
          <w:noProof/>
        </w:rPr>
      </w:pPr>
      <w:hyperlink w:anchor="_Toc347314836" w:history="1">
        <w:r w:rsidR="00111EC6" w:rsidRPr="00915BA0">
          <w:rPr>
            <w:rStyle w:val="Hyperlink"/>
            <w:b/>
            <w:bCs/>
            <w:noProof/>
          </w:rPr>
          <w:t>2.3</w:t>
        </w:r>
        <w:r w:rsidR="00111EC6">
          <w:rPr>
            <w:rFonts w:asciiTheme="minorHAnsi" w:eastAsiaTheme="minorEastAsia" w:hAnsiTheme="minorHAnsi" w:cstheme="minorBidi"/>
            <w:noProof/>
          </w:rPr>
          <w:tab/>
        </w:r>
        <w:r w:rsidR="00111EC6" w:rsidRPr="00915BA0">
          <w:rPr>
            <w:rStyle w:val="Hyperlink"/>
            <w:b/>
            <w:bCs/>
            <w:noProof/>
          </w:rPr>
          <w:t>Ambient Air Quality Standards</w:t>
        </w:r>
        <w:r w:rsidR="00111EC6">
          <w:rPr>
            <w:noProof/>
            <w:webHidden/>
          </w:rPr>
          <w:tab/>
        </w:r>
        <w:r>
          <w:rPr>
            <w:noProof/>
            <w:webHidden/>
          </w:rPr>
          <w:fldChar w:fldCharType="begin"/>
        </w:r>
        <w:r w:rsidR="00111EC6">
          <w:rPr>
            <w:noProof/>
            <w:webHidden/>
          </w:rPr>
          <w:instrText xml:space="preserve"> PAGEREF _Toc347314836 \h </w:instrText>
        </w:r>
        <w:r>
          <w:rPr>
            <w:noProof/>
            <w:webHidden/>
          </w:rPr>
        </w:r>
        <w:r>
          <w:rPr>
            <w:noProof/>
            <w:webHidden/>
          </w:rPr>
          <w:fldChar w:fldCharType="separate"/>
        </w:r>
        <w:r w:rsidR="00111EC6">
          <w:rPr>
            <w:noProof/>
            <w:webHidden/>
          </w:rPr>
          <w:t>13</w:t>
        </w:r>
        <w:r>
          <w:rPr>
            <w:noProof/>
            <w:webHidden/>
          </w:rPr>
          <w:fldChar w:fldCharType="end"/>
        </w:r>
      </w:hyperlink>
    </w:p>
    <w:p w:rsidR="00111EC6" w:rsidRDefault="00C650CE" w:rsidP="00111EC6">
      <w:pPr>
        <w:pStyle w:val="TOC2"/>
        <w:spacing w:after="120"/>
        <w:contextualSpacing/>
        <w:rPr>
          <w:rFonts w:asciiTheme="minorHAnsi" w:eastAsiaTheme="minorEastAsia" w:hAnsiTheme="minorHAnsi" w:cstheme="minorBidi"/>
          <w:noProof/>
        </w:rPr>
      </w:pPr>
      <w:hyperlink w:anchor="_Toc347314837" w:history="1">
        <w:r w:rsidR="00111EC6" w:rsidRPr="00915BA0">
          <w:rPr>
            <w:rStyle w:val="Hyperlink"/>
            <w:b/>
            <w:bCs/>
            <w:noProof/>
          </w:rPr>
          <w:t>2.4</w:t>
        </w:r>
        <w:r w:rsidR="00111EC6">
          <w:rPr>
            <w:rFonts w:asciiTheme="minorHAnsi" w:eastAsiaTheme="minorEastAsia" w:hAnsiTheme="minorHAnsi" w:cstheme="minorBidi"/>
            <w:noProof/>
          </w:rPr>
          <w:tab/>
        </w:r>
        <w:r w:rsidR="00111EC6" w:rsidRPr="00915BA0">
          <w:rPr>
            <w:rStyle w:val="Hyperlink"/>
            <w:b/>
            <w:bCs/>
            <w:noProof/>
          </w:rPr>
          <w:t>Regional NO</w:t>
        </w:r>
        <w:r w:rsidR="00111EC6" w:rsidRPr="00915BA0">
          <w:rPr>
            <w:rStyle w:val="Hyperlink"/>
            <w:b/>
            <w:bCs/>
            <w:noProof/>
            <w:vertAlign w:val="subscript"/>
          </w:rPr>
          <w:t>X</w:t>
        </w:r>
        <w:r w:rsidR="00111EC6" w:rsidRPr="00915BA0">
          <w:rPr>
            <w:rStyle w:val="Hyperlink"/>
            <w:b/>
            <w:bCs/>
            <w:noProof/>
          </w:rPr>
          <w:t xml:space="preserve"> SIP Call and Budget Trading Program</w:t>
        </w:r>
        <w:r w:rsidR="00111EC6">
          <w:rPr>
            <w:noProof/>
            <w:webHidden/>
          </w:rPr>
          <w:tab/>
        </w:r>
        <w:r>
          <w:rPr>
            <w:noProof/>
            <w:webHidden/>
          </w:rPr>
          <w:fldChar w:fldCharType="begin"/>
        </w:r>
        <w:r w:rsidR="00111EC6">
          <w:rPr>
            <w:noProof/>
            <w:webHidden/>
          </w:rPr>
          <w:instrText xml:space="preserve"> PAGEREF _Toc347314837 \h </w:instrText>
        </w:r>
        <w:r>
          <w:rPr>
            <w:noProof/>
            <w:webHidden/>
          </w:rPr>
        </w:r>
        <w:r>
          <w:rPr>
            <w:noProof/>
            <w:webHidden/>
          </w:rPr>
          <w:fldChar w:fldCharType="separate"/>
        </w:r>
        <w:r w:rsidR="00111EC6">
          <w:rPr>
            <w:noProof/>
            <w:webHidden/>
          </w:rPr>
          <w:t>17</w:t>
        </w:r>
        <w:r>
          <w:rPr>
            <w:noProof/>
            <w:webHidden/>
          </w:rPr>
          <w:fldChar w:fldCharType="end"/>
        </w:r>
      </w:hyperlink>
    </w:p>
    <w:p w:rsidR="00111EC6" w:rsidRDefault="00C650CE" w:rsidP="00111EC6">
      <w:pPr>
        <w:pStyle w:val="TOC2"/>
        <w:spacing w:after="120"/>
        <w:contextualSpacing/>
        <w:rPr>
          <w:rFonts w:asciiTheme="minorHAnsi" w:eastAsiaTheme="minorEastAsia" w:hAnsiTheme="minorHAnsi" w:cstheme="minorBidi"/>
          <w:noProof/>
        </w:rPr>
      </w:pPr>
      <w:hyperlink w:anchor="_Toc347314838" w:history="1">
        <w:r w:rsidR="00111EC6" w:rsidRPr="00915BA0">
          <w:rPr>
            <w:rStyle w:val="Hyperlink"/>
            <w:b/>
            <w:bCs/>
            <w:noProof/>
          </w:rPr>
          <w:t>2.5</w:t>
        </w:r>
        <w:r w:rsidR="00111EC6">
          <w:rPr>
            <w:rFonts w:asciiTheme="minorHAnsi" w:eastAsiaTheme="minorEastAsia" w:hAnsiTheme="minorHAnsi" w:cstheme="minorBidi"/>
            <w:noProof/>
          </w:rPr>
          <w:tab/>
        </w:r>
        <w:r w:rsidR="00111EC6" w:rsidRPr="00915BA0">
          <w:rPr>
            <w:rStyle w:val="Hyperlink"/>
            <w:b/>
            <w:bCs/>
            <w:noProof/>
          </w:rPr>
          <w:t>CAIR/CSAPR</w:t>
        </w:r>
        <w:r w:rsidR="00111EC6">
          <w:rPr>
            <w:noProof/>
            <w:webHidden/>
          </w:rPr>
          <w:tab/>
        </w:r>
        <w:r>
          <w:rPr>
            <w:noProof/>
            <w:webHidden/>
          </w:rPr>
          <w:fldChar w:fldCharType="begin"/>
        </w:r>
        <w:r w:rsidR="00111EC6">
          <w:rPr>
            <w:noProof/>
            <w:webHidden/>
          </w:rPr>
          <w:instrText xml:space="preserve"> PAGEREF _Toc347314838 \h </w:instrText>
        </w:r>
        <w:r>
          <w:rPr>
            <w:noProof/>
            <w:webHidden/>
          </w:rPr>
        </w:r>
        <w:r>
          <w:rPr>
            <w:noProof/>
            <w:webHidden/>
          </w:rPr>
          <w:fldChar w:fldCharType="separate"/>
        </w:r>
        <w:r w:rsidR="00111EC6">
          <w:rPr>
            <w:noProof/>
            <w:webHidden/>
          </w:rPr>
          <w:t>17</w:t>
        </w:r>
        <w:r>
          <w:rPr>
            <w:noProof/>
            <w:webHidden/>
          </w:rPr>
          <w:fldChar w:fldCharType="end"/>
        </w:r>
      </w:hyperlink>
    </w:p>
    <w:p w:rsidR="00111EC6" w:rsidRDefault="00C650CE" w:rsidP="00111EC6">
      <w:pPr>
        <w:pStyle w:val="TOC2"/>
        <w:spacing w:after="120"/>
        <w:contextualSpacing/>
        <w:rPr>
          <w:rFonts w:asciiTheme="minorHAnsi" w:eastAsiaTheme="minorEastAsia" w:hAnsiTheme="minorHAnsi" w:cstheme="minorBidi"/>
          <w:noProof/>
        </w:rPr>
      </w:pPr>
      <w:hyperlink w:anchor="_Toc347314839" w:history="1">
        <w:r w:rsidR="00111EC6" w:rsidRPr="00915BA0">
          <w:rPr>
            <w:rStyle w:val="Hyperlink"/>
            <w:b/>
            <w:bCs/>
            <w:noProof/>
          </w:rPr>
          <w:t>2.6</w:t>
        </w:r>
        <w:r w:rsidR="00111EC6">
          <w:rPr>
            <w:rFonts w:asciiTheme="minorHAnsi" w:eastAsiaTheme="minorEastAsia" w:hAnsiTheme="minorHAnsi" w:cstheme="minorBidi"/>
            <w:noProof/>
          </w:rPr>
          <w:tab/>
        </w:r>
        <w:r w:rsidR="00111EC6" w:rsidRPr="00915BA0">
          <w:rPr>
            <w:rStyle w:val="Hyperlink"/>
            <w:b/>
            <w:bCs/>
            <w:noProof/>
          </w:rPr>
          <w:t>Mercury and Air Toxics Standards Rule (MATS)</w:t>
        </w:r>
        <w:r w:rsidR="00111EC6">
          <w:rPr>
            <w:noProof/>
            <w:webHidden/>
          </w:rPr>
          <w:tab/>
        </w:r>
        <w:r>
          <w:rPr>
            <w:noProof/>
            <w:webHidden/>
          </w:rPr>
          <w:fldChar w:fldCharType="begin"/>
        </w:r>
        <w:r w:rsidR="00111EC6">
          <w:rPr>
            <w:noProof/>
            <w:webHidden/>
          </w:rPr>
          <w:instrText xml:space="preserve"> PAGEREF _Toc347314839 \h </w:instrText>
        </w:r>
        <w:r>
          <w:rPr>
            <w:noProof/>
            <w:webHidden/>
          </w:rPr>
        </w:r>
        <w:r>
          <w:rPr>
            <w:noProof/>
            <w:webHidden/>
          </w:rPr>
          <w:fldChar w:fldCharType="separate"/>
        </w:r>
        <w:r w:rsidR="00111EC6">
          <w:rPr>
            <w:noProof/>
            <w:webHidden/>
          </w:rPr>
          <w:t>20</w:t>
        </w:r>
        <w:r>
          <w:rPr>
            <w:noProof/>
            <w:webHidden/>
          </w:rPr>
          <w:fldChar w:fldCharType="end"/>
        </w:r>
      </w:hyperlink>
    </w:p>
    <w:p w:rsidR="00111EC6" w:rsidRDefault="00C650CE" w:rsidP="00111EC6">
      <w:pPr>
        <w:pStyle w:val="TOC2"/>
        <w:spacing w:after="120"/>
        <w:contextualSpacing/>
        <w:rPr>
          <w:rFonts w:asciiTheme="minorHAnsi" w:eastAsiaTheme="minorEastAsia" w:hAnsiTheme="minorHAnsi" w:cstheme="minorBidi"/>
          <w:noProof/>
        </w:rPr>
      </w:pPr>
      <w:hyperlink w:anchor="_Toc347314840" w:history="1">
        <w:r w:rsidR="00111EC6" w:rsidRPr="00915BA0">
          <w:rPr>
            <w:rStyle w:val="Hyperlink"/>
            <w:b/>
            <w:bCs/>
            <w:noProof/>
          </w:rPr>
          <w:t>2.7</w:t>
        </w:r>
        <w:r w:rsidR="00111EC6">
          <w:rPr>
            <w:rFonts w:asciiTheme="minorHAnsi" w:eastAsiaTheme="minorEastAsia" w:hAnsiTheme="minorHAnsi" w:cstheme="minorBidi"/>
            <w:noProof/>
          </w:rPr>
          <w:tab/>
        </w:r>
        <w:r w:rsidR="00111EC6" w:rsidRPr="00915BA0">
          <w:rPr>
            <w:rStyle w:val="Hyperlink"/>
            <w:b/>
            <w:bCs/>
            <w:noProof/>
          </w:rPr>
          <w:t>New Source Performance Standards for Criteria Pollutants</w:t>
        </w:r>
        <w:r w:rsidR="00111EC6">
          <w:rPr>
            <w:noProof/>
            <w:webHidden/>
          </w:rPr>
          <w:tab/>
        </w:r>
        <w:r>
          <w:rPr>
            <w:noProof/>
            <w:webHidden/>
          </w:rPr>
          <w:fldChar w:fldCharType="begin"/>
        </w:r>
        <w:r w:rsidR="00111EC6">
          <w:rPr>
            <w:noProof/>
            <w:webHidden/>
          </w:rPr>
          <w:instrText xml:space="preserve"> PAGEREF _Toc347314840 \h </w:instrText>
        </w:r>
        <w:r>
          <w:rPr>
            <w:noProof/>
            <w:webHidden/>
          </w:rPr>
        </w:r>
        <w:r>
          <w:rPr>
            <w:noProof/>
            <w:webHidden/>
          </w:rPr>
          <w:fldChar w:fldCharType="separate"/>
        </w:r>
        <w:r w:rsidR="00111EC6">
          <w:rPr>
            <w:noProof/>
            <w:webHidden/>
          </w:rPr>
          <w:t>22</w:t>
        </w:r>
        <w:r>
          <w:rPr>
            <w:noProof/>
            <w:webHidden/>
          </w:rPr>
          <w:fldChar w:fldCharType="end"/>
        </w:r>
      </w:hyperlink>
    </w:p>
    <w:p w:rsidR="00111EC6" w:rsidRDefault="00C650CE" w:rsidP="00111EC6">
      <w:pPr>
        <w:pStyle w:val="TOC2"/>
        <w:spacing w:after="120"/>
        <w:contextualSpacing/>
        <w:rPr>
          <w:rFonts w:asciiTheme="minorHAnsi" w:eastAsiaTheme="minorEastAsia" w:hAnsiTheme="minorHAnsi" w:cstheme="minorBidi"/>
          <w:noProof/>
        </w:rPr>
      </w:pPr>
      <w:hyperlink w:anchor="_Toc347314841" w:history="1">
        <w:r w:rsidR="00111EC6" w:rsidRPr="00915BA0">
          <w:rPr>
            <w:rStyle w:val="Hyperlink"/>
            <w:b/>
            <w:bCs/>
            <w:noProof/>
          </w:rPr>
          <w:t>2.8</w:t>
        </w:r>
        <w:r w:rsidR="00111EC6">
          <w:rPr>
            <w:rFonts w:asciiTheme="minorHAnsi" w:eastAsiaTheme="minorEastAsia" w:hAnsiTheme="minorHAnsi" w:cstheme="minorBidi"/>
            <w:noProof/>
          </w:rPr>
          <w:tab/>
        </w:r>
        <w:r w:rsidR="00111EC6" w:rsidRPr="00915BA0">
          <w:rPr>
            <w:rStyle w:val="Hyperlink"/>
            <w:b/>
            <w:bCs/>
            <w:noProof/>
          </w:rPr>
          <w:t>Industrial Boiler (IB) MACT</w:t>
        </w:r>
        <w:r w:rsidR="00111EC6">
          <w:rPr>
            <w:noProof/>
            <w:webHidden/>
          </w:rPr>
          <w:tab/>
        </w:r>
        <w:r>
          <w:rPr>
            <w:noProof/>
            <w:webHidden/>
          </w:rPr>
          <w:fldChar w:fldCharType="begin"/>
        </w:r>
        <w:r w:rsidR="00111EC6">
          <w:rPr>
            <w:noProof/>
            <w:webHidden/>
          </w:rPr>
          <w:instrText xml:space="preserve"> PAGEREF _Toc347314841 \h </w:instrText>
        </w:r>
        <w:r>
          <w:rPr>
            <w:noProof/>
            <w:webHidden/>
          </w:rPr>
        </w:r>
        <w:r>
          <w:rPr>
            <w:noProof/>
            <w:webHidden/>
          </w:rPr>
          <w:fldChar w:fldCharType="separate"/>
        </w:r>
        <w:r w:rsidR="00111EC6">
          <w:rPr>
            <w:noProof/>
            <w:webHidden/>
          </w:rPr>
          <w:t>22</w:t>
        </w:r>
        <w:r>
          <w:rPr>
            <w:noProof/>
            <w:webHidden/>
          </w:rPr>
          <w:fldChar w:fldCharType="end"/>
        </w:r>
      </w:hyperlink>
    </w:p>
    <w:p w:rsidR="00111EC6" w:rsidRDefault="00C650CE" w:rsidP="00111EC6">
      <w:pPr>
        <w:pStyle w:val="TOC2"/>
        <w:spacing w:after="120"/>
        <w:contextualSpacing/>
        <w:rPr>
          <w:rFonts w:asciiTheme="minorHAnsi" w:eastAsiaTheme="minorEastAsia" w:hAnsiTheme="minorHAnsi" w:cstheme="minorBidi"/>
          <w:noProof/>
        </w:rPr>
      </w:pPr>
      <w:hyperlink w:anchor="_Toc347314842" w:history="1">
        <w:r w:rsidR="00111EC6" w:rsidRPr="00915BA0">
          <w:rPr>
            <w:rStyle w:val="Hyperlink"/>
            <w:b/>
            <w:bCs/>
            <w:noProof/>
          </w:rPr>
          <w:t>2.9</w:t>
        </w:r>
        <w:r w:rsidR="00111EC6">
          <w:rPr>
            <w:rFonts w:asciiTheme="minorHAnsi" w:eastAsiaTheme="minorEastAsia" w:hAnsiTheme="minorHAnsi" w:cstheme="minorBidi"/>
            <w:noProof/>
          </w:rPr>
          <w:tab/>
        </w:r>
        <w:r w:rsidR="00111EC6" w:rsidRPr="00915BA0">
          <w:rPr>
            <w:rStyle w:val="Hyperlink"/>
            <w:b/>
            <w:bCs/>
            <w:noProof/>
          </w:rPr>
          <w:t>Clean Air Visibility Rule (CAVR)</w:t>
        </w:r>
        <w:r w:rsidR="00111EC6">
          <w:rPr>
            <w:noProof/>
            <w:webHidden/>
          </w:rPr>
          <w:tab/>
        </w:r>
        <w:r>
          <w:rPr>
            <w:noProof/>
            <w:webHidden/>
          </w:rPr>
          <w:fldChar w:fldCharType="begin"/>
        </w:r>
        <w:r w:rsidR="00111EC6">
          <w:rPr>
            <w:noProof/>
            <w:webHidden/>
          </w:rPr>
          <w:instrText xml:space="preserve"> PAGEREF _Toc347314842 \h </w:instrText>
        </w:r>
        <w:r>
          <w:rPr>
            <w:noProof/>
            <w:webHidden/>
          </w:rPr>
        </w:r>
        <w:r>
          <w:rPr>
            <w:noProof/>
            <w:webHidden/>
          </w:rPr>
          <w:fldChar w:fldCharType="separate"/>
        </w:r>
        <w:r w:rsidR="00111EC6">
          <w:rPr>
            <w:noProof/>
            <w:webHidden/>
          </w:rPr>
          <w:t>23</w:t>
        </w:r>
        <w:r>
          <w:rPr>
            <w:noProof/>
            <w:webHidden/>
          </w:rPr>
          <w:fldChar w:fldCharType="end"/>
        </w:r>
      </w:hyperlink>
    </w:p>
    <w:p w:rsidR="00111EC6" w:rsidRDefault="00C650CE" w:rsidP="00111EC6">
      <w:pPr>
        <w:pStyle w:val="TOC2"/>
        <w:spacing w:after="120"/>
        <w:contextualSpacing/>
        <w:rPr>
          <w:rFonts w:asciiTheme="minorHAnsi" w:eastAsiaTheme="minorEastAsia" w:hAnsiTheme="minorHAnsi" w:cstheme="minorBidi"/>
          <w:noProof/>
        </w:rPr>
      </w:pPr>
      <w:hyperlink w:anchor="_Toc347314843" w:history="1">
        <w:r w:rsidR="00111EC6" w:rsidRPr="00915BA0">
          <w:rPr>
            <w:rStyle w:val="Hyperlink"/>
            <w:b/>
            <w:bCs/>
            <w:noProof/>
          </w:rPr>
          <w:t>2.10</w:t>
        </w:r>
        <w:r w:rsidR="00111EC6">
          <w:rPr>
            <w:rFonts w:asciiTheme="minorHAnsi" w:eastAsiaTheme="minorEastAsia" w:hAnsiTheme="minorHAnsi" w:cstheme="minorBidi"/>
            <w:noProof/>
          </w:rPr>
          <w:tab/>
        </w:r>
        <w:r w:rsidR="00111EC6" w:rsidRPr="00915BA0">
          <w:rPr>
            <w:rStyle w:val="Hyperlink"/>
            <w:b/>
            <w:bCs/>
            <w:noProof/>
          </w:rPr>
          <w:t>Georgia Multipollutant Rule and Georgia SO</w:t>
        </w:r>
        <w:r w:rsidR="00111EC6" w:rsidRPr="00915BA0">
          <w:rPr>
            <w:rStyle w:val="Hyperlink"/>
            <w:b/>
            <w:bCs/>
            <w:noProof/>
            <w:vertAlign w:val="subscript"/>
          </w:rPr>
          <w:t>2</w:t>
        </w:r>
        <w:r w:rsidR="00111EC6" w:rsidRPr="00915BA0">
          <w:rPr>
            <w:rStyle w:val="Hyperlink"/>
            <w:b/>
            <w:bCs/>
            <w:noProof/>
          </w:rPr>
          <w:t xml:space="preserve"> Emissions Rule</w:t>
        </w:r>
        <w:r w:rsidR="00111EC6">
          <w:rPr>
            <w:noProof/>
            <w:webHidden/>
          </w:rPr>
          <w:tab/>
        </w:r>
        <w:r>
          <w:rPr>
            <w:noProof/>
            <w:webHidden/>
          </w:rPr>
          <w:fldChar w:fldCharType="begin"/>
        </w:r>
        <w:r w:rsidR="00111EC6">
          <w:rPr>
            <w:noProof/>
            <w:webHidden/>
          </w:rPr>
          <w:instrText xml:space="preserve"> PAGEREF _Toc347314843 \h </w:instrText>
        </w:r>
        <w:r>
          <w:rPr>
            <w:noProof/>
            <w:webHidden/>
          </w:rPr>
        </w:r>
        <w:r>
          <w:rPr>
            <w:noProof/>
            <w:webHidden/>
          </w:rPr>
          <w:fldChar w:fldCharType="separate"/>
        </w:r>
        <w:r w:rsidR="00111EC6">
          <w:rPr>
            <w:noProof/>
            <w:webHidden/>
          </w:rPr>
          <w:t>24</w:t>
        </w:r>
        <w:r>
          <w:rPr>
            <w:noProof/>
            <w:webHidden/>
          </w:rPr>
          <w:fldChar w:fldCharType="end"/>
        </w:r>
      </w:hyperlink>
    </w:p>
    <w:p w:rsidR="00111EC6" w:rsidRDefault="00C650CE" w:rsidP="00111EC6">
      <w:pPr>
        <w:pStyle w:val="TOC2"/>
        <w:spacing w:after="120"/>
        <w:contextualSpacing/>
        <w:rPr>
          <w:rFonts w:asciiTheme="minorHAnsi" w:eastAsiaTheme="minorEastAsia" w:hAnsiTheme="minorHAnsi" w:cstheme="minorBidi"/>
          <w:noProof/>
        </w:rPr>
      </w:pPr>
      <w:hyperlink w:anchor="_Toc347314844" w:history="1">
        <w:r w:rsidR="00111EC6" w:rsidRPr="00915BA0">
          <w:rPr>
            <w:rStyle w:val="Hyperlink"/>
            <w:b/>
            <w:bCs/>
            <w:noProof/>
          </w:rPr>
          <w:t>2.11</w:t>
        </w:r>
        <w:r w:rsidR="00111EC6">
          <w:rPr>
            <w:rFonts w:asciiTheme="minorHAnsi" w:eastAsiaTheme="minorEastAsia" w:hAnsiTheme="minorHAnsi" w:cstheme="minorBidi"/>
            <w:noProof/>
          </w:rPr>
          <w:tab/>
        </w:r>
        <w:r w:rsidR="00111EC6" w:rsidRPr="00915BA0">
          <w:rPr>
            <w:rStyle w:val="Hyperlink"/>
            <w:b/>
            <w:bCs/>
            <w:noProof/>
          </w:rPr>
          <w:t>Climate Change/Carbon Dioxide Emissions and Renewable Portfolio Standards</w:t>
        </w:r>
        <w:r w:rsidR="00111EC6">
          <w:rPr>
            <w:noProof/>
            <w:webHidden/>
          </w:rPr>
          <w:tab/>
        </w:r>
        <w:r>
          <w:rPr>
            <w:noProof/>
            <w:webHidden/>
          </w:rPr>
          <w:fldChar w:fldCharType="begin"/>
        </w:r>
        <w:r w:rsidR="00111EC6">
          <w:rPr>
            <w:noProof/>
            <w:webHidden/>
          </w:rPr>
          <w:instrText xml:space="preserve"> PAGEREF _Toc347314844 \h </w:instrText>
        </w:r>
        <w:r>
          <w:rPr>
            <w:noProof/>
            <w:webHidden/>
          </w:rPr>
        </w:r>
        <w:r>
          <w:rPr>
            <w:noProof/>
            <w:webHidden/>
          </w:rPr>
          <w:fldChar w:fldCharType="separate"/>
        </w:r>
        <w:r w:rsidR="00111EC6">
          <w:rPr>
            <w:noProof/>
            <w:webHidden/>
          </w:rPr>
          <w:t>26</w:t>
        </w:r>
        <w:r>
          <w:rPr>
            <w:noProof/>
            <w:webHidden/>
          </w:rPr>
          <w:fldChar w:fldCharType="end"/>
        </w:r>
      </w:hyperlink>
    </w:p>
    <w:p w:rsidR="00111EC6" w:rsidRDefault="00C650CE" w:rsidP="00111EC6">
      <w:pPr>
        <w:pStyle w:val="TOC2"/>
        <w:spacing w:after="120"/>
        <w:contextualSpacing/>
        <w:rPr>
          <w:rFonts w:asciiTheme="minorHAnsi" w:eastAsiaTheme="minorEastAsia" w:hAnsiTheme="minorHAnsi" w:cstheme="minorBidi"/>
          <w:noProof/>
        </w:rPr>
      </w:pPr>
      <w:hyperlink w:anchor="_Toc347314845" w:history="1">
        <w:r w:rsidR="00111EC6" w:rsidRPr="00915BA0">
          <w:rPr>
            <w:rStyle w:val="Hyperlink"/>
            <w:b/>
            <w:bCs/>
            <w:noProof/>
          </w:rPr>
          <w:t>2.12</w:t>
        </w:r>
        <w:r w:rsidR="00111EC6">
          <w:rPr>
            <w:rFonts w:asciiTheme="minorHAnsi" w:eastAsiaTheme="minorEastAsia" w:hAnsiTheme="minorHAnsi" w:cstheme="minorBidi"/>
            <w:noProof/>
          </w:rPr>
          <w:tab/>
        </w:r>
        <w:r w:rsidR="00111EC6" w:rsidRPr="00915BA0">
          <w:rPr>
            <w:rStyle w:val="Hyperlink"/>
            <w:b/>
            <w:bCs/>
            <w:noProof/>
          </w:rPr>
          <w:t>Water Issues</w:t>
        </w:r>
        <w:r w:rsidR="00111EC6">
          <w:rPr>
            <w:noProof/>
            <w:webHidden/>
          </w:rPr>
          <w:tab/>
        </w:r>
        <w:r>
          <w:rPr>
            <w:noProof/>
            <w:webHidden/>
          </w:rPr>
          <w:fldChar w:fldCharType="begin"/>
        </w:r>
        <w:r w:rsidR="00111EC6">
          <w:rPr>
            <w:noProof/>
            <w:webHidden/>
          </w:rPr>
          <w:instrText xml:space="preserve"> PAGEREF _Toc347314845 \h </w:instrText>
        </w:r>
        <w:r>
          <w:rPr>
            <w:noProof/>
            <w:webHidden/>
          </w:rPr>
        </w:r>
        <w:r>
          <w:rPr>
            <w:noProof/>
            <w:webHidden/>
          </w:rPr>
          <w:fldChar w:fldCharType="separate"/>
        </w:r>
        <w:r w:rsidR="00111EC6">
          <w:rPr>
            <w:noProof/>
            <w:webHidden/>
          </w:rPr>
          <w:t>29</w:t>
        </w:r>
        <w:r>
          <w:rPr>
            <w:noProof/>
            <w:webHidden/>
          </w:rPr>
          <w:fldChar w:fldCharType="end"/>
        </w:r>
      </w:hyperlink>
    </w:p>
    <w:p w:rsidR="00111EC6" w:rsidRDefault="00C650CE" w:rsidP="00111EC6">
      <w:pPr>
        <w:pStyle w:val="TOC2"/>
        <w:spacing w:after="120"/>
        <w:contextualSpacing/>
        <w:rPr>
          <w:rFonts w:asciiTheme="minorHAnsi" w:eastAsiaTheme="minorEastAsia" w:hAnsiTheme="minorHAnsi" w:cstheme="minorBidi"/>
          <w:noProof/>
        </w:rPr>
      </w:pPr>
      <w:hyperlink w:anchor="_Toc347314846" w:history="1">
        <w:r w:rsidR="00111EC6" w:rsidRPr="00915BA0">
          <w:rPr>
            <w:rStyle w:val="Hyperlink"/>
            <w:b/>
            <w:bCs/>
            <w:noProof/>
          </w:rPr>
          <w:t>2.13</w:t>
        </w:r>
        <w:r w:rsidR="00111EC6">
          <w:rPr>
            <w:rFonts w:asciiTheme="minorHAnsi" w:eastAsiaTheme="minorEastAsia" w:hAnsiTheme="minorHAnsi" w:cstheme="minorBidi"/>
            <w:noProof/>
          </w:rPr>
          <w:tab/>
        </w:r>
        <w:r w:rsidR="00111EC6" w:rsidRPr="00915BA0">
          <w:rPr>
            <w:rStyle w:val="Hyperlink"/>
            <w:b/>
            <w:bCs/>
            <w:noProof/>
          </w:rPr>
          <w:t>Land Issues</w:t>
        </w:r>
        <w:r w:rsidR="00111EC6">
          <w:rPr>
            <w:noProof/>
            <w:webHidden/>
          </w:rPr>
          <w:tab/>
        </w:r>
        <w:r>
          <w:rPr>
            <w:noProof/>
            <w:webHidden/>
          </w:rPr>
          <w:fldChar w:fldCharType="begin"/>
        </w:r>
        <w:r w:rsidR="00111EC6">
          <w:rPr>
            <w:noProof/>
            <w:webHidden/>
          </w:rPr>
          <w:instrText xml:space="preserve"> PAGEREF _Toc347314846 \h </w:instrText>
        </w:r>
        <w:r>
          <w:rPr>
            <w:noProof/>
            <w:webHidden/>
          </w:rPr>
        </w:r>
        <w:r>
          <w:rPr>
            <w:noProof/>
            <w:webHidden/>
          </w:rPr>
          <w:fldChar w:fldCharType="separate"/>
        </w:r>
        <w:r w:rsidR="00111EC6">
          <w:rPr>
            <w:noProof/>
            <w:webHidden/>
          </w:rPr>
          <w:t>31</w:t>
        </w:r>
        <w:r>
          <w:rPr>
            <w:noProof/>
            <w:webHidden/>
          </w:rPr>
          <w:fldChar w:fldCharType="end"/>
        </w:r>
      </w:hyperlink>
    </w:p>
    <w:p w:rsidR="00111EC6" w:rsidRDefault="00C650CE" w:rsidP="00111EC6">
      <w:pPr>
        <w:pStyle w:val="TOC2"/>
        <w:spacing w:after="120"/>
        <w:contextualSpacing/>
        <w:rPr>
          <w:rFonts w:asciiTheme="minorHAnsi" w:eastAsiaTheme="minorEastAsia" w:hAnsiTheme="minorHAnsi" w:cstheme="minorBidi"/>
          <w:noProof/>
        </w:rPr>
      </w:pPr>
      <w:hyperlink w:anchor="_Toc347314847" w:history="1">
        <w:r w:rsidR="00111EC6" w:rsidRPr="00915BA0">
          <w:rPr>
            <w:rStyle w:val="Hyperlink"/>
            <w:b/>
            <w:bCs/>
            <w:noProof/>
          </w:rPr>
          <w:t>2.14</w:t>
        </w:r>
        <w:r w:rsidR="00111EC6">
          <w:rPr>
            <w:rFonts w:asciiTheme="minorHAnsi" w:eastAsiaTheme="minorEastAsia" w:hAnsiTheme="minorHAnsi" w:cstheme="minorBidi"/>
            <w:noProof/>
          </w:rPr>
          <w:tab/>
        </w:r>
        <w:r w:rsidR="00111EC6" w:rsidRPr="00915BA0">
          <w:rPr>
            <w:rStyle w:val="Hyperlink"/>
            <w:b/>
            <w:bCs/>
            <w:noProof/>
          </w:rPr>
          <w:t>Major Litigation Matters</w:t>
        </w:r>
        <w:r w:rsidR="00111EC6">
          <w:rPr>
            <w:noProof/>
            <w:webHidden/>
          </w:rPr>
          <w:tab/>
        </w:r>
        <w:r>
          <w:rPr>
            <w:noProof/>
            <w:webHidden/>
          </w:rPr>
          <w:fldChar w:fldCharType="begin"/>
        </w:r>
        <w:r w:rsidR="00111EC6">
          <w:rPr>
            <w:noProof/>
            <w:webHidden/>
          </w:rPr>
          <w:instrText xml:space="preserve"> PAGEREF _Toc347314847 \h </w:instrText>
        </w:r>
        <w:r>
          <w:rPr>
            <w:noProof/>
            <w:webHidden/>
          </w:rPr>
        </w:r>
        <w:r>
          <w:rPr>
            <w:noProof/>
            <w:webHidden/>
          </w:rPr>
          <w:fldChar w:fldCharType="separate"/>
        </w:r>
        <w:r w:rsidR="00111EC6">
          <w:rPr>
            <w:noProof/>
            <w:webHidden/>
          </w:rPr>
          <w:t>32</w:t>
        </w:r>
        <w:r>
          <w:rPr>
            <w:noProof/>
            <w:webHidden/>
          </w:rPr>
          <w:fldChar w:fldCharType="end"/>
        </w:r>
      </w:hyperlink>
    </w:p>
    <w:p w:rsidR="00111EC6" w:rsidRDefault="00C650CE" w:rsidP="00111EC6">
      <w:pPr>
        <w:pStyle w:val="TOC2"/>
        <w:spacing w:after="120"/>
        <w:contextualSpacing/>
        <w:rPr>
          <w:rFonts w:asciiTheme="minorHAnsi" w:eastAsiaTheme="minorEastAsia" w:hAnsiTheme="minorHAnsi" w:cstheme="minorBidi"/>
          <w:noProof/>
        </w:rPr>
      </w:pPr>
      <w:hyperlink w:anchor="_Toc347314848" w:history="1">
        <w:r w:rsidR="00111EC6" w:rsidRPr="00915BA0">
          <w:rPr>
            <w:rStyle w:val="Hyperlink"/>
            <w:b/>
            <w:bCs/>
            <w:noProof/>
          </w:rPr>
          <w:t>2.15</w:t>
        </w:r>
        <w:r w:rsidR="00111EC6">
          <w:rPr>
            <w:rFonts w:asciiTheme="minorHAnsi" w:eastAsiaTheme="minorEastAsia" w:hAnsiTheme="minorHAnsi" w:cstheme="minorBidi"/>
            <w:noProof/>
          </w:rPr>
          <w:tab/>
        </w:r>
        <w:r w:rsidR="00111EC6" w:rsidRPr="00915BA0">
          <w:rPr>
            <w:rStyle w:val="Hyperlink"/>
            <w:b/>
            <w:bCs/>
            <w:noProof/>
          </w:rPr>
          <w:t>Other Considerations</w:t>
        </w:r>
        <w:r w:rsidR="00111EC6">
          <w:rPr>
            <w:noProof/>
            <w:webHidden/>
          </w:rPr>
          <w:tab/>
        </w:r>
        <w:r>
          <w:rPr>
            <w:noProof/>
            <w:webHidden/>
          </w:rPr>
          <w:fldChar w:fldCharType="begin"/>
        </w:r>
        <w:r w:rsidR="00111EC6">
          <w:rPr>
            <w:noProof/>
            <w:webHidden/>
          </w:rPr>
          <w:instrText xml:space="preserve"> PAGEREF _Toc347314848 \h </w:instrText>
        </w:r>
        <w:r>
          <w:rPr>
            <w:noProof/>
            <w:webHidden/>
          </w:rPr>
        </w:r>
        <w:r>
          <w:rPr>
            <w:noProof/>
            <w:webHidden/>
          </w:rPr>
          <w:fldChar w:fldCharType="separate"/>
        </w:r>
        <w:r w:rsidR="00111EC6">
          <w:rPr>
            <w:noProof/>
            <w:webHidden/>
          </w:rPr>
          <w:t>34</w:t>
        </w:r>
        <w:r>
          <w:rPr>
            <w:noProof/>
            <w:webHidden/>
          </w:rPr>
          <w:fldChar w:fldCharType="end"/>
        </w:r>
      </w:hyperlink>
    </w:p>
    <w:p w:rsidR="00111EC6" w:rsidRDefault="00C650CE" w:rsidP="00111EC6">
      <w:pPr>
        <w:pStyle w:val="TOC1"/>
        <w:spacing w:before="0" w:after="120"/>
        <w:contextualSpacing/>
        <w:rPr>
          <w:rFonts w:asciiTheme="minorHAnsi" w:eastAsiaTheme="minorEastAsia" w:hAnsiTheme="minorHAnsi" w:cstheme="minorBidi"/>
          <w:noProof/>
        </w:rPr>
      </w:pPr>
      <w:hyperlink w:anchor="_Toc347314849" w:history="1">
        <w:r w:rsidR="00111EC6" w:rsidRPr="00915BA0">
          <w:rPr>
            <w:rStyle w:val="Hyperlink"/>
            <w:rFonts w:ascii="Arial" w:hAnsi="Arial" w:cs="Arial"/>
            <w:b/>
            <w:bCs/>
            <w:noProof/>
            <w:kern w:val="28"/>
          </w:rPr>
          <w:t>3.0 Environmental Strategy</w:t>
        </w:r>
        <w:r w:rsidR="00111EC6">
          <w:rPr>
            <w:noProof/>
            <w:webHidden/>
          </w:rPr>
          <w:tab/>
        </w:r>
        <w:r>
          <w:rPr>
            <w:noProof/>
            <w:webHidden/>
          </w:rPr>
          <w:fldChar w:fldCharType="begin"/>
        </w:r>
        <w:r w:rsidR="00111EC6">
          <w:rPr>
            <w:noProof/>
            <w:webHidden/>
          </w:rPr>
          <w:instrText xml:space="preserve"> PAGEREF _Toc347314849 \h </w:instrText>
        </w:r>
        <w:r>
          <w:rPr>
            <w:noProof/>
            <w:webHidden/>
          </w:rPr>
        </w:r>
        <w:r>
          <w:rPr>
            <w:noProof/>
            <w:webHidden/>
          </w:rPr>
          <w:fldChar w:fldCharType="separate"/>
        </w:r>
        <w:r w:rsidR="00111EC6">
          <w:rPr>
            <w:noProof/>
            <w:webHidden/>
          </w:rPr>
          <w:t>35</w:t>
        </w:r>
        <w:r>
          <w:rPr>
            <w:noProof/>
            <w:webHidden/>
          </w:rPr>
          <w:fldChar w:fldCharType="end"/>
        </w:r>
      </w:hyperlink>
    </w:p>
    <w:p w:rsidR="00111EC6" w:rsidRDefault="00C650CE" w:rsidP="00111EC6">
      <w:pPr>
        <w:pStyle w:val="TOC2"/>
        <w:spacing w:after="120"/>
        <w:contextualSpacing/>
        <w:rPr>
          <w:rFonts w:asciiTheme="minorHAnsi" w:eastAsiaTheme="minorEastAsia" w:hAnsiTheme="minorHAnsi" w:cstheme="minorBidi"/>
          <w:noProof/>
        </w:rPr>
      </w:pPr>
      <w:hyperlink w:anchor="_Toc347314850" w:history="1">
        <w:r w:rsidR="00111EC6" w:rsidRPr="00915BA0">
          <w:rPr>
            <w:rStyle w:val="Hyperlink"/>
            <w:b/>
            <w:bCs/>
            <w:noProof/>
          </w:rPr>
          <w:t>3.1</w:t>
        </w:r>
        <w:r w:rsidR="00111EC6">
          <w:rPr>
            <w:rFonts w:asciiTheme="minorHAnsi" w:eastAsiaTheme="minorEastAsia" w:hAnsiTheme="minorHAnsi" w:cstheme="minorBidi"/>
            <w:noProof/>
          </w:rPr>
          <w:tab/>
        </w:r>
        <w:r w:rsidR="00111EC6" w:rsidRPr="00915BA0">
          <w:rPr>
            <w:rStyle w:val="Hyperlink"/>
            <w:b/>
            <w:bCs/>
            <w:noProof/>
          </w:rPr>
          <w:t>Strategy Process</w:t>
        </w:r>
        <w:r w:rsidR="00111EC6">
          <w:rPr>
            <w:noProof/>
            <w:webHidden/>
          </w:rPr>
          <w:tab/>
        </w:r>
        <w:r>
          <w:rPr>
            <w:noProof/>
            <w:webHidden/>
          </w:rPr>
          <w:fldChar w:fldCharType="begin"/>
        </w:r>
        <w:r w:rsidR="00111EC6">
          <w:rPr>
            <w:noProof/>
            <w:webHidden/>
          </w:rPr>
          <w:instrText xml:space="preserve"> PAGEREF _Toc347314850 \h </w:instrText>
        </w:r>
        <w:r>
          <w:rPr>
            <w:noProof/>
            <w:webHidden/>
          </w:rPr>
        </w:r>
        <w:r>
          <w:rPr>
            <w:noProof/>
            <w:webHidden/>
          </w:rPr>
          <w:fldChar w:fldCharType="separate"/>
        </w:r>
        <w:r w:rsidR="00111EC6">
          <w:rPr>
            <w:noProof/>
            <w:webHidden/>
          </w:rPr>
          <w:t>36</w:t>
        </w:r>
        <w:r>
          <w:rPr>
            <w:noProof/>
            <w:webHidden/>
          </w:rPr>
          <w:fldChar w:fldCharType="end"/>
        </w:r>
      </w:hyperlink>
    </w:p>
    <w:p w:rsidR="00111EC6" w:rsidRDefault="00C650CE" w:rsidP="00111EC6">
      <w:pPr>
        <w:pStyle w:val="TOC2"/>
        <w:spacing w:after="120"/>
        <w:contextualSpacing/>
        <w:rPr>
          <w:rFonts w:asciiTheme="minorHAnsi" w:eastAsiaTheme="minorEastAsia" w:hAnsiTheme="minorHAnsi" w:cstheme="minorBidi"/>
          <w:noProof/>
        </w:rPr>
      </w:pPr>
      <w:hyperlink w:anchor="_Toc347314851" w:history="1">
        <w:r w:rsidR="00111EC6" w:rsidRPr="00915BA0">
          <w:rPr>
            <w:rStyle w:val="Hyperlink"/>
            <w:b/>
            <w:bCs/>
            <w:noProof/>
          </w:rPr>
          <w:t>3.2</w:t>
        </w:r>
        <w:r w:rsidR="00111EC6">
          <w:rPr>
            <w:rFonts w:asciiTheme="minorHAnsi" w:eastAsiaTheme="minorEastAsia" w:hAnsiTheme="minorHAnsi" w:cstheme="minorBidi"/>
            <w:noProof/>
          </w:rPr>
          <w:tab/>
        </w:r>
        <w:r w:rsidR="00111EC6" w:rsidRPr="00915BA0">
          <w:rPr>
            <w:rStyle w:val="Hyperlink"/>
            <w:b/>
            <w:bCs/>
            <w:noProof/>
          </w:rPr>
          <w:t>Strategy Assumptions</w:t>
        </w:r>
        <w:r w:rsidR="00111EC6">
          <w:rPr>
            <w:noProof/>
            <w:webHidden/>
          </w:rPr>
          <w:tab/>
        </w:r>
        <w:r>
          <w:rPr>
            <w:noProof/>
            <w:webHidden/>
          </w:rPr>
          <w:fldChar w:fldCharType="begin"/>
        </w:r>
        <w:r w:rsidR="00111EC6">
          <w:rPr>
            <w:noProof/>
            <w:webHidden/>
          </w:rPr>
          <w:instrText xml:space="preserve"> PAGEREF _Toc347314851 \h </w:instrText>
        </w:r>
        <w:r>
          <w:rPr>
            <w:noProof/>
            <w:webHidden/>
          </w:rPr>
        </w:r>
        <w:r>
          <w:rPr>
            <w:noProof/>
            <w:webHidden/>
          </w:rPr>
          <w:fldChar w:fldCharType="separate"/>
        </w:r>
        <w:r w:rsidR="00111EC6">
          <w:rPr>
            <w:noProof/>
            <w:webHidden/>
          </w:rPr>
          <w:t>40</w:t>
        </w:r>
        <w:r>
          <w:rPr>
            <w:noProof/>
            <w:webHidden/>
          </w:rPr>
          <w:fldChar w:fldCharType="end"/>
        </w:r>
      </w:hyperlink>
    </w:p>
    <w:p w:rsidR="00111EC6" w:rsidRDefault="00C650CE" w:rsidP="00111EC6">
      <w:pPr>
        <w:pStyle w:val="TOC2"/>
        <w:spacing w:after="120"/>
        <w:contextualSpacing/>
        <w:rPr>
          <w:rFonts w:asciiTheme="minorHAnsi" w:eastAsiaTheme="minorEastAsia" w:hAnsiTheme="minorHAnsi" w:cstheme="minorBidi"/>
          <w:noProof/>
        </w:rPr>
      </w:pPr>
      <w:hyperlink w:anchor="_Toc347314852" w:history="1">
        <w:r w:rsidR="00111EC6" w:rsidRPr="00915BA0">
          <w:rPr>
            <w:rStyle w:val="Hyperlink"/>
            <w:b/>
            <w:bCs/>
            <w:noProof/>
          </w:rPr>
          <w:t>3.3</w:t>
        </w:r>
        <w:r w:rsidR="00111EC6">
          <w:rPr>
            <w:rFonts w:asciiTheme="minorHAnsi" w:eastAsiaTheme="minorEastAsia" w:hAnsiTheme="minorHAnsi" w:cstheme="minorBidi"/>
            <w:noProof/>
          </w:rPr>
          <w:tab/>
        </w:r>
        <w:r w:rsidR="00111EC6" w:rsidRPr="00915BA0">
          <w:rPr>
            <w:rStyle w:val="Hyperlink"/>
            <w:b/>
            <w:bCs/>
            <w:noProof/>
          </w:rPr>
          <w:t>Emission Control Technologies</w:t>
        </w:r>
        <w:r w:rsidR="00111EC6">
          <w:rPr>
            <w:noProof/>
            <w:webHidden/>
          </w:rPr>
          <w:tab/>
        </w:r>
        <w:r>
          <w:rPr>
            <w:noProof/>
            <w:webHidden/>
          </w:rPr>
          <w:fldChar w:fldCharType="begin"/>
        </w:r>
        <w:r w:rsidR="00111EC6">
          <w:rPr>
            <w:noProof/>
            <w:webHidden/>
          </w:rPr>
          <w:instrText xml:space="preserve"> PAGEREF _Toc347314852 \h </w:instrText>
        </w:r>
        <w:r>
          <w:rPr>
            <w:noProof/>
            <w:webHidden/>
          </w:rPr>
        </w:r>
        <w:r>
          <w:rPr>
            <w:noProof/>
            <w:webHidden/>
          </w:rPr>
          <w:fldChar w:fldCharType="separate"/>
        </w:r>
        <w:r w:rsidR="00111EC6">
          <w:rPr>
            <w:noProof/>
            <w:webHidden/>
          </w:rPr>
          <w:t>41</w:t>
        </w:r>
        <w:r>
          <w:rPr>
            <w:noProof/>
            <w:webHidden/>
          </w:rPr>
          <w:fldChar w:fldCharType="end"/>
        </w:r>
      </w:hyperlink>
    </w:p>
    <w:p w:rsidR="00111EC6" w:rsidRDefault="00C650CE" w:rsidP="00111EC6">
      <w:pPr>
        <w:pStyle w:val="TOC2"/>
        <w:spacing w:after="120"/>
        <w:contextualSpacing/>
        <w:rPr>
          <w:rFonts w:asciiTheme="minorHAnsi" w:eastAsiaTheme="minorEastAsia" w:hAnsiTheme="minorHAnsi" w:cstheme="minorBidi"/>
          <w:noProof/>
        </w:rPr>
      </w:pPr>
      <w:hyperlink w:anchor="_Toc347314853" w:history="1">
        <w:r w:rsidR="00111EC6" w:rsidRPr="00915BA0">
          <w:rPr>
            <w:rStyle w:val="Hyperlink"/>
            <w:b/>
            <w:bCs/>
            <w:noProof/>
          </w:rPr>
          <w:t>3.4</w:t>
        </w:r>
        <w:r w:rsidR="00111EC6">
          <w:rPr>
            <w:rFonts w:asciiTheme="minorHAnsi" w:eastAsiaTheme="minorEastAsia" w:hAnsiTheme="minorHAnsi" w:cstheme="minorBidi"/>
            <w:noProof/>
          </w:rPr>
          <w:tab/>
        </w:r>
        <w:r w:rsidR="00111EC6" w:rsidRPr="00915BA0">
          <w:rPr>
            <w:rStyle w:val="Hyperlink"/>
            <w:b/>
            <w:bCs/>
            <w:noProof/>
          </w:rPr>
          <w:t>Other Environmental Issues</w:t>
        </w:r>
        <w:r w:rsidR="00111EC6">
          <w:rPr>
            <w:noProof/>
            <w:webHidden/>
          </w:rPr>
          <w:tab/>
        </w:r>
        <w:r>
          <w:rPr>
            <w:noProof/>
            <w:webHidden/>
          </w:rPr>
          <w:fldChar w:fldCharType="begin"/>
        </w:r>
        <w:r w:rsidR="00111EC6">
          <w:rPr>
            <w:noProof/>
            <w:webHidden/>
          </w:rPr>
          <w:instrText xml:space="preserve"> PAGEREF _Toc347314853 \h </w:instrText>
        </w:r>
        <w:r>
          <w:rPr>
            <w:noProof/>
            <w:webHidden/>
          </w:rPr>
        </w:r>
        <w:r>
          <w:rPr>
            <w:noProof/>
            <w:webHidden/>
          </w:rPr>
          <w:fldChar w:fldCharType="separate"/>
        </w:r>
        <w:r w:rsidR="00111EC6">
          <w:rPr>
            <w:noProof/>
            <w:webHidden/>
          </w:rPr>
          <w:t>42</w:t>
        </w:r>
        <w:r>
          <w:rPr>
            <w:noProof/>
            <w:webHidden/>
          </w:rPr>
          <w:fldChar w:fldCharType="end"/>
        </w:r>
      </w:hyperlink>
    </w:p>
    <w:p w:rsidR="00111EC6" w:rsidRDefault="00C650CE" w:rsidP="00111EC6">
      <w:pPr>
        <w:pStyle w:val="TOC1"/>
        <w:spacing w:before="0" w:after="120"/>
        <w:contextualSpacing/>
        <w:rPr>
          <w:rFonts w:asciiTheme="minorHAnsi" w:eastAsiaTheme="minorEastAsia" w:hAnsiTheme="minorHAnsi" w:cstheme="minorBidi"/>
          <w:noProof/>
        </w:rPr>
      </w:pPr>
      <w:hyperlink w:anchor="_Toc347314854" w:history="1">
        <w:r w:rsidR="00111EC6" w:rsidRPr="00915BA0">
          <w:rPr>
            <w:rStyle w:val="Hyperlink"/>
            <w:rFonts w:ascii="Arial" w:hAnsi="Arial" w:cs="Arial"/>
            <w:b/>
            <w:bCs/>
            <w:noProof/>
            <w:kern w:val="28"/>
          </w:rPr>
          <w:t>4.0 Strategy Results and Financial Summary</w:t>
        </w:r>
        <w:r w:rsidR="00111EC6">
          <w:rPr>
            <w:noProof/>
            <w:webHidden/>
          </w:rPr>
          <w:tab/>
        </w:r>
        <w:r>
          <w:rPr>
            <w:noProof/>
            <w:webHidden/>
          </w:rPr>
          <w:fldChar w:fldCharType="begin"/>
        </w:r>
        <w:r w:rsidR="00111EC6">
          <w:rPr>
            <w:noProof/>
            <w:webHidden/>
          </w:rPr>
          <w:instrText xml:space="preserve"> PAGEREF _Toc347314854 \h </w:instrText>
        </w:r>
        <w:r>
          <w:rPr>
            <w:noProof/>
            <w:webHidden/>
          </w:rPr>
        </w:r>
        <w:r>
          <w:rPr>
            <w:noProof/>
            <w:webHidden/>
          </w:rPr>
          <w:fldChar w:fldCharType="separate"/>
        </w:r>
        <w:r w:rsidR="00111EC6">
          <w:rPr>
            <w:noProof/>
            <w:webHidden/>
          </w:rPr>
          <w:t>43</w:t>
        </w:r>
        <w:r>
          <w:rPr>
            <w:noProof/>
            <w:webHidden/>
          </w:rPr>
          <w:fldChar w:fldCharType="end"/>
        </w:r>
      </w:hyperlink>
    </w:p>
    <w:p w:rsidR="00111EC6" w:rsidRDefault="00C650CE" w:rsidP="00111EC6">
      <w:pPr>
        <w:pStyle w:val="TOC2"/>
        <w:spacing w:after="120"/>
        <w:contextualSpacing/>
        <w:rPr>
          <w:rFonts w:asciiTheme="minorHAnsi" w:eastAsiaTheme="minorEastAsia" w:hAnsiTheme="minorHAnsi" w:cstheme="minorBidi"/>
          <w:noProof/>
        </w:rPr>
      </w:pPr>
      <w:hyperlink w:anchor="_Toc347314855" w:history="1">
        <w:r w:rsidR="00111EC6" w:rsidRPr="00915BA0">
          <w:rPr>
            <w:rStyle w:val="Hyperlink"/>
            <w:b/>
            <w:bCs/>
            <w:noProof/>
          </w:rPr>
          <w:t>4.1</w:t>
        </w:r>
        <w:r w:rsidR="00111EC6">
          <w:rPr>
            <w:rFonts w:asciiTheme="minorHAnsi" w:eastAsiaTheme="minorEastAsia" w:hAnsiTheme="minorHAnsi" w:cstheme="minorBidi"/>
            <w:noProof/>
          </w:rPr>
          <w:tab/>
        </w:r>
        <w:r w:rsidR="00111EC6" w:rsidRPr="00915BA0">
          <w:rPr>
            <w:rStyle w:val="Hyperlink"/>
            <w:b/>
            <w:bCs/>
            <w:noProof/>
          </w:rPr>
          <w:t>Air Compliance Strategy Review</w:t>
        </w:r>
        <w:r w:rsidR="00111EC6">
          <w:rPr>
            <w:noProof/>
            <w:webHidden/>
          </w:rPr>
          <w:tab/>
        </w:r>
        <w:r>
          <w:rPr>
            <w:noProof/>
            <w:webHidden/>
          </w:rPr>
          <w:fldChar w:fldCharType="begin"/>
        </w:r>
        <w:r w:rsidR="00111EC6">
          <w:rPr>
            <w:noProof/>
            <w:webHidden/>
          </w:rPr>
          <w:instrText xml:space="preserve"> PAGEREF _Toc347314855 \h </w:instrText>
        </w:r>
        <w:r>
          <w:rPr>
            <w:noProof/>
            <w:webHidden/>
          </w:rPr>
        </w:r>
        <w:r>
          <w:rPr>
            <w:noProof/>
            <w:webHidden/>
          </w:rPr>
          <w:fldChar w:fldCharType="separate"/>
        </w:r>
        <w:r w:rsidR="00111EC6">
          <w:rPr>
            <w:noProof/>
            <w:webHidden/>
          </w:rPr>
          <w:t>43</w:t>
        </w:r>
        <w:r>
          <w:rPr>
            <w:noProof/>
            <w:webHidden/>
          </w:rPr>
          <w:fldChar w:fldCharType="end"/>
        </w:r>
      </w:hyperlink>
    </w:p>
    <w:p w:rsidR="00111EC6" w:rsidRDefault="00C650CE" w:rsidP="00111EC6">
      <w:pPr>
        <w:pStyle w:val="TOC2"/>
        <w:spacing w:after="120"/>
        <w:contextualSpacing/>
        <w:rPr>
          <w:rFonts w:asciiTheme="minorHAnsi" w:eastAsiaTheme="minorEastAsia" w:hAnsiTheme="minorHAnsi" w:cstheme="minorBidi"/>
          <w:noProof/>
        </w:rPr>
      </w:pPr>
      <w:hyperlink w:anchor="_Toc347314856" w:history="1">
        <w:r w:rsidR="00111EC6" w:rsidRPr="00915BA0">
          <w:rPr>
            <w:rStyle w:val="Hyperlink"/>
            <w:b/>
            <w:bCs/>
            <w:noProof/>
          </w:rPr>
          <w:t>4.2</w:t>
        </w:r>
        <w:r w:rsidR="00111EC6">
          <w:rPr>
            <w:rFonts w:asciiTheme="minorHAnsi" w:eastAsiaTheme="minorEastAsia" w:hAnsiTheme="minorHAnsi" w:cstheme="minorBidi"/>
            <w:noProof/>
          </w:rPr>
          <w:tab/>
        </w:r>
        <w:r w:rsidR="00111EC6" w:rsidRPr="00915BA0">
          <w:rPr>
            <w:rStyle w:val="Hyperlink"/>
            <w:b/>
            <w:bCs/>
            <w:noProof/>
          </w:rPr>
          <w:t>Water Compliance Strategy Review</w:t>
        </w:r>
        <w:r w:rsidR="00111EC6">
          <w:rPr>
            <w:noProof/>
            <w:webHidden/>
          </w:rPr>
          <w:tab/>
        </w:r>
        <w:r>
          <w:rPr>
            <w:noProof/>
            <w:webHidden/>
          </w:rPr>
          <w:fldChar w:fldCharType="begin"/>
        </w:r>
        <w:r w:rsidR="00111EC6">
          <w:rPr>
            <w:noProof/>
            <w:webHidden/>
          </w:rPr>
          <w:instrText xml:space="preserve"> PAGEREF _Toc347314856 \h </w:instrText>
        </w:r>
        <w:r>
          <w:rPr>
            <w:noProof/>
            <w:webHidden/>
          </w:rPr>
        </w:r>
        <w:r>
          <w:rPr>
            <w:noProof/>
            <w:webHidden/>
          </w:rPr>
          <w:fldChar w:fldCharType="separate"/>
        </w:r>
        <w:r w:rsidR="00111EC6">
          <w:rPr>
            <w:noProof/>
            <w:webHidden/>
          </w:rPr>
          <w:t>55</w:t>
        </w:r>
        <w:r>
          <w:rPr>
            <w:noProof/>
            <w:webHidden/>
          </w:rPr>
          <w:fldChar w:fldCharType="end"/>
        </w:r>
      </w:hyperlink>
    </w:p>
    <w:p w:rsidR="00111EC6" w:rsidRDefault="00C650CE" w:rsidP="00111EC6">
      <w:pPr>
        <w:pStyle w:val="TOC2"/>
        <w:spacing w:after="120"/>
        <w:contextualSpacing/>
        <w:rPr>
          <w:rFonts w:asciiTheme="minorHAnsi" w:eastAsiaTheme="minorEastAsia" w:hAnsiTheme="minorHAnsi" w:cstheme="minorBidi"/>
          <w:noProof/>
        </w:rPr>
      </w:pPr>
      <w:hyperlink w:anchor="_Toc347314857" w:history="1">
        <w:r w:rsidR="00111EC6" w:rsidRPr="00915BA0">
          <w:rPr>
            <w:rStyle w:val="Hyperlink"/>
            <w:b/>
            <w:bCs/>
            <w:noProof/>
          </w:rPr>
          <w:t>4.3</w:t>
        </w:r>
        <w:r w:rsidR="00111EC6">
          <w:rPr>
            <w:rFonts w:asciiTheme="minorHAnsi" w:eastAsiaTheme="minorEastAsia" w:hAnsiTheme="minorHAnsi" w:cstheme="minorBidi"/>
            <w:noProof/>
          </w:rPr>
          <w:tab/>
        </w:r>
        <w:r w:rsidR="00111EC6" w:rsidRPr="00915BA0">
          <w:rPr>
            <w:rStyle w:val="Hyperlink"/>
            <w:b/>
            <w:bCs/>
            <w:noProof/>
          </w:rPr>
          <w:t>Solid Waste Management</w:t>
        </w:r>
        <w:r w:rsidR="00111EC6">
          <w:rPr>
            <w:noProof/>
            <w:webHidden/>
          </w:rPr>
          <w:tab/>
        </w:r>
        <w:r>
          <w:rPr>
            <w:noProof/>
            <w:webHidden/>
          </w:rPr>
          <w:fldChar w:fldCharType="begin"/>
        </w:r>
        <w:r w:rsidR="00111EC6">
          <w:rPr>
            <w:noProof/>
            <w:webHidden/>
          </w:rPr>
          <w:instrText xml:space="preserve"> PAGEREF _Toc347314857 \h </w:instrText>
        </w:r>
        <w:r>
          <w:rPr>
            <w:noProof/>
            <w:webHidden/>
          </w:rPr>
        </w:r>
        <w:r>
          <w:rPr>
            <w:noProof/>
            <w:webHidden/>
          </w:rPr>
          <w:fldChar w:fldCharType="separate"/>
        </w:r>
        <w:r w:rsidR="00111EC6">
          <w:rPr>
            <w:noProof/>
            <w:webHidden/>
          </w:rPr>
          <w:t>56</w:t>
        </w:r>
        <w:r>
          <w:rPr>
            <w:noProof/>
            <w:webHidden/>
          </w:rPr>
          <w:fldChar w:fldCharType="end"/>
        </w:r>
      </w:hyperlink>
    </w:p>
    <w:p w:rsidR="00111EC6" w:rsidRDefault="00C650CE" w:rsidP="00111EC6">
      <w:pPr>
        <w:pStyle w:val="TOC2"/>
        <w:spacing w:after="120"/>
        <w:contextualSpacing/>
        <w:rPr>
          <w:rFonts w:asciiTheme="minorHAnsi" w:eastAsiaTheme="minorEastAsia" w:hAnsiTheme="minorHAnsi" w:cstheme="minorBidi"/>
          <w:noProof/>
        </w:rPr>
      </w:pPr>
      <w:hyperlink w:anchor="_Toc347314858" w:history="1">
        <w:r w:rsidR="00111EC6" w:rsidRPr="00915BA0">
          <w:rPr>
            <w:rStyle w:val="Hyperlink"/>
            <w:b/>
            <w:bCs/>
            <w:noProof/>
          </w:rPr>
          <w:t>4.4</w:t>
        </w:r>
        <w:r w:rsidR="00111EC6">
          <w:rPr>
            <w:rFonts w:asciiTheme="minorHAnsi" w:eastAsiaTheme="minorEastAsia" w:hAnsiTheme="minorHAnsi" w:cstheme="minorBidi"/>
            <w:noProof/>
          </w:rPr>
          <w:tab/>
        </w:r>
        <w:r w:rsidR="00111EC6" w:rsidRPr="00915BA0">
          <w:rPr>
            <w:rStyle w:val="Hyperlink"/>
            <w:b/>
            <w:bCs/>
            <w:noProof/>
          </w:rPr>
          <w:t>Strategy and Schedule</w:t>
        </w:r>
        <w:r w:rsidR="00111EC6">
          <w:rPr>
            <w:noProof/>
            <w:webHidden/>
          </w:rPr>
          <w:tab/>
        </w:r>
        <w:r>
          <w:rPr>
            <w:noProof/>
            <w:webHidden/>
          </w:rPr>
          <w:fldChar w:fldCharType="begin"/>
        </w:r>
        <w:r w:rsidR="00111EC6">
          <w:rPr>
            <w:noProof/>
            <w:webHidden/>
          </w:rPr>
          <w:instrText xml:space="preserve"> PAGEREF _Toc347314858 \h </w:instrText>
        </w:r>
        <w:r>
          <w:rPr>
            <w:noProof/>
            <w:webHidden/>
          </w:rPr>
        </w:r>
        <w:r>
          <w:rPr>
            <w:noProof/>
            <w:webHidden/>
          </w:rPr>
          <w:fldChar w:fldCharType="separate"/>
        </w:r>
        <w:r w:rsidR="00111EC6">
          <w:rPr>
            <w:noProof/>
            <w:webHidden/>
          </w:rPr>
          <w:t>57</w:t>
        </w:r>
        <w:r>
          <w:rPr>
            <w:noProof/>
            <w:webHidden/>
          </w:rPr>
          <w:fldChar w:fldCharType="end"/>
        </w:r>
      </w:hyperlink>
    </w:p>
    <w:p w:rsidR="00111EC6" w:rsidRDefault="00C650CE" w:rsidP="00111EC6">
      <w:pPr>
        <w:pStyle w:val="TOC2"/>
        <w:spacing w:after="120"/>
        <w:contextualSpacing/>
        <w:rPr>
          <w:rFonts w:asciiTheme="minorHAnsi" w:eastAsiaTheme="minorEastAsia" w:hAnsiTheme="minorHAnsi" w:cstheme="minorBidi"/>
          <w:noProof/>
        </w:rPr>
      </w:pPr>
      <w:hyperlink w:anchor="_Toc347314859" w:history="1">
        <w:r w:rsidR="00111EC6" w:rsidRPr="00915BA0">
          <w:rPr>
            <w:rStyle w:val="Hyperlink"/>
            <w:b/>
            <w:bCs/>
            <w:noProof/>
          </w:rPr>
          <w:t>4.5</w:t>
        </w:r>
        <w:r w:rsidR="00111EC6">
          <w:rPr>
            <w:rFonts w:asciiTheme="minorHAnsi" w:eastAsiaTheme="minorEastAsia" w:hAnsiTheme="minorHAnsi" w:cstheme="minorBidi"/>
            <w:noProof/>
          </w:rPr>
          <w:tab/>
        </w:r>
        <w:r w:rsidR="00111EC6" w:rsidRPr="00915BA0">
          <w:rPr>
            <w:rStyle w:val="Hyperlink"/>
            <w:b/>
            <w:bCs/>
            <w:noProof/>
          </w:rPr>
          <w:t>Financial Summary</w:t>
        </w:r>
        <w:r w:rsidR="00111EC6">
          <w:rPr>
            <w:noProof/>
            <w:webHidden/>
          </w:rPr>
          <w:tab/>
        </w:r>
        <w:r>
          <w:rPr>
            <w:noProof/>
            <w:webHidden/>
          </w:rPr>
          <w:fldChar w:fldCharType="begin"/>
        </w:r>
        <w:r w:rsidR="00111EC6">
          <w:rPr>
            <w:noProof/>
            <w:webHidden/>
          </w:rPr>
          <w:instrText xml:space="preserve"> PAGEREF _Toc347314859 \h </w:instrText>
        </w:r>
        <w:r>
          <w:rPr>
            <w:noProof/>
            <w:webHidden/>
          </w:rPr>
        </w:r>
        <w:r>
          <w:rPr>
            <w:noProof/>
            <w:webHidden/>
          </w:rPr>
          <w:fldChar w:fldCharType="separate"/>
        </w:r>
        <w:r w:rsidR="00111EC6">
          <w:rPr>
            <w:noProof/>
            <w:webHidden/>
          </w:rPr>
          <w:t>60</w:t>
        </w:r>
        <w:r>
          <w:rPr>
            <w:noProof/>
            <w:webHidden/>
          </w:rPr>
          <w:fldChar w:fldCharType="end"/>
        </w:r>
      </w:hyperlink>
    </w:p>
    <w:p w:rsidR="00111EC6" w:rsidRDefault="00C650CE" w:rsidP="00111EC6">
      <w:pPr>
        <w:pStyle w:val="TOC2"/>
        <w:spacing w:after="120"/>
        <w:contextualSpacing/>
        <w:rPr>
          <w:rFonts w:asciiTheme="minorHAnsi" w:eastAsiaTheme="minorEastAsia" w:hAnsiTheme="minorHAnsi" w:cstheme="minorBidi"/>
          <w:noProof/>
        </w:rPr>
      </w:pPr>
      <w:hyperlink w:anchor="_Toc347314860" w:history="1">
        <w:r w:rsidR="00111EC6" w:rsidRPr="00915BA0">
          <w:rPr>
            <w:rStyle w:val="Hyperlink"/>
            <w:b/>
            <w:bCs/>
            <w:noProof/>
          </w:rPr>
          <w:t>4.6</w:t>
        </w:r>
        <w:r w:rsidR="00111EC6">
          <w:rPr>
            <w:rFonts w:asciiTheme="minorHAnsi" w:eastAsiaTheme="minorEastAsia" w:hAnsiTheme="minorHAnsi" w:cstheme="minorBidi"/>
            <w:noProof/>
          </w:rPr>
          <w:tab/>
        </w:r>
        <w:r w:rsidR="00111EC6" w:rsidRPr="00915BA0">
          <w:rPr>
            <w:rStyle w:val="Hyperlink"/>
            <w:b/>
            <w:bCs/>
            <w:noProof/>
          </w:rPr>
          <w:t>Strategy Summary</w:t>
        </w:r>
        <w:r w:rsidR="00111EC6">
          <w:rPr>
            <w:noProof/>
            <w:webHidden/>
          </w:rPr>
          <w:tab/>
        </w:r>
        <w:r>
          <w:rPr>
            <w:noProof/>
            <w:webHidden/>
          </w:rPr>
          <w:fldChar w:fldCharType="begin"/>
        </w:r>
        <w:r w:rsidR="00111EC6">
          <w:rPr>
            <w:noProof/>
            <w:webHidden/>
          </w:rPr>
          <w:instrText xml:space="preserve"> PAGEREF _Toc347314860 \h </w:instrText>
        </w:r>
        <w:r>
          <w:rPr>
            <w:noProof/>
            <w:webHidden/>
          </w:rPr>
        </w:r>
        <w:r>
          <w:rPr>
            <w:noProof/>
            <w:webHidden/>
          </w:rPr>
          <w:fldChar w:fldCharType="separate"/>
        </w:r>
        <w:r w:rsidR="00111EC6">
          <w:rPr>
            <w:noProof/>
            <w:webHidden/>
          </w:rPr>
          <w:t>61</w:t>
        </w:r>
        <w:r>
          <w:rPr>
            <w:noProof/>
            <w:webHidden/>
          </w:rPr>
          <w:fldChar w:fldCharType="end"/>
        </w:r>
      </w:hyperlink>
    </w:p>
    <w:p w:rsidR="00111EC6" w:rsidRDefault="00C650CE">
      <w:pPr>
        <w:pStyle w:val="TOC1"/>
        <w:rPr>
          <w:rFonts w:asciiTheme="minorHAnsi" w:eastAsiaTheme="minorEastAsia" w:hAnsiTheme="minorHAnsi" w:cstheme="minorBidi"/>
          <w:noProof/>
        </w:rPr>
      </w:pPr>
      <w:hyperlink w:anchor="_Toc347314861" w:history="1">
        <w:r w:rsidR="00111EC6" w:rsidRPr="00915BA0">
          <w:rPr>
            <w:rStyle w:val="Hyperlink"/>
            <w:b/>
            <w:noProof/>
          </w:rPr>
          <w:t>ECS-APPENDIX A</w:t>
        </w:r>
        <w:r w:rsidR="00A750BE">
          <w:rPr>
            <w:rStyle w:val="Hyperlink"/>
            <w:b/>
            <w:noProof/>
          </w:rPr>
          <w:t xml:space="preserve"> </w:t>
        </w:r>
        <w:r w:rsidR="00A750BE" w:rsidRPr="00A750BE">
          <w:rPr>
            <w:rStyle w:val="Hyperlink"/>
            <w:b/>
            <w:noProof/>
          </w:rPr>
          <w:t>– Acronyms/Abbreviations and Terminology</w:t>
        </w:r>
        <w:r w:rsidR="00111EC6">
          <w:rPr>
            <w:noProof/>
            <w:webHidden/>
          </w:rPr>
          <w:tab/>
        </w:r>
        <w:r>
          <w:rPr>
            <w:noProof/>
            <w:webHidden/>
          </w:rPr>
          <w:fldChar w:fldCharType="begin"/>
        </w:r>
        <w:r w:rsidR="00111EC6">
          <w:rPr>
            <w:noProof/>
            <w:webHidden/>
          </w:rPr>
          <w:instrText xml:space="preserve"> PAGEREF _Toc347314861 \h </w:instrText>
        </w:r>
        <w:r>
          <w:rPr>
            <w:noProof/>
            <w:webHidden/>
          </w:rPr>
        </w:r>
        <w:r>
          <w:rPr>
            <w:noProof/>
            <w:webHidden/>
          </w:rPr>
          <w:fldChar w:fldCharType="separate"/>
        </w:r>
        <w:r w:rsidR="00111EC6">
          <w:rPr>
            <w:noProof/>
            <w:webHidden/>
          </w:rPr>
          <w:t>62</w:t>
        </w:r>
        <w:r>
          <w:rPr>
            <w:noProof/>
            <w:webHidden/>
          </w:rPr>
          <w:fldChar w:fldCharType="end"/>
        </w:r>
      </w:hyperlink>
    </w:p>
    <w:p w:rsidR="00111EC6" w:rsidRDefault="00C650CE">
      <w:pPr>
        <w:pStyle w:val="TOC1"/>
        <w:rPr>
          <w:rFonts w:asciiTheme="minorHAnsi" w:eastAsiaTheme="minorEastAsia" w:hAnsiTheme="minorHAnsi" w:cstheme="minorBidi"/>
          <w:noProof/>
        </w:rPr>
      </w:pPr>
      <w:hyperlink w:anchor="_Toc347314862" w:history="1">
        <w:r w:rsidR="00111EC6" w:rsidRPr="00915BA0">
          <w:rPr>
            <w:rStyle w:val="Hyperlink"/>
            <w:b/>
            <w:noProof/>
          </w:rPr>
          <w:t>ECS-APPENDIX B</w:t>
        </w:r>
        <w:r w:rsidR="00A750BE">
          <w:rPr>
            <w:rStyle w:val="Hyperlink"/>
            <w:b/>
            <w:noProof/>
          </w:rPr>
          <w:t xml:space="preserve"> </w:t>
        </w:r>
        <w:r w:rsidR="00A750BE" w:rsidRPr="00A750BE">
          <w:rPr>
            <w:rStyle w:val="Hyperlink"/>
            <w:b/>
            <w:noProof/>
          </w:rPr>
          <w:t>– Emission Control Alternatives</w:t>
        </w:r>
        <w:r w:rsidR="00111EC6">
          <w:rPr>
            <w:noProof/>
            <w:webHidden/>
          </w:rPr>
          <w:tab/>
        </w:r>
        <w:r>
          <w:rPr>
            <w:noProof/>
            <w:webHidden/>
          </w:rPr>
          <w:fldChar w:fldCharType="begin"/>
        </w:r>
        <w:r w:rsidR="00111EC6">
          <w:rPr>
            <w:noProof/>
            <w:webHidden/>
          </w:rPr>
          <w:instrText xml:space="preserve"> PAGEREF _Toc347314862 \h </w:instrText>
        </w:r>
        <w:r>
          <w:rPr>
            <w:noProof/>
            <w:webHidden/>
          </w:rPr>
        </w:r>
        <w:r>
          <w:rPr>
            <w:noProof/>
            <w:webHidden/>
          </w:rPr>
          <w:fldChar w:fldCharType="separate"/>
        </w:r>
        <w:r w:rsidR="00111EC6">
          <w:rPr>
            <w:noProof/>
            <w:webHidden/>
          </w:rPr>
          <w:t>66</w:t>
        </w:r>
        <w:r>
          <w:rPr>
            <w:noProof/>
            <w:webHidden/>
          </w:rPr>
          <w:fldChar w:fldCharType="end"/>
        </w:r>
      </w:hyperlink>
    </w:p>
    <w:p w:rsidR="00111EC6" w:rsidRDefault="00C650CE">
      <w:pPr>
        <w:pStyle w:val="TOC1"/>
        <w:rPr>
          <w:rFonts w:asciiTheme="minorHAnsi" w:eastAsiaTheme="minorEastAsia" w:hAnsiTheme="minorHAnsi" w:cstheme="minorBidi"/>
          <w:noProof/>
        </w:rPr>
      </w:pPr>
      <w:hyperlink w:anchor="_Toc347314863" w:history="1">
        <w:r w:rsidR="00111EC6" w:rsidRPr="00915BA0">
          <w:rPr>
            <w:rStyle w:val="Hyperlink"/>
            <w:b/>
            <w:noProof/>
          </w:rPr>
          <w:t>ECS-APPENDIX C</w:t>
        </w:r>
        <w:r w:rsidR="00A750BE">
          <w:rPr>
            <w:rStyle w:val="Hyperlink"/>
            <w:b/>
            <w:noProof/>
          </w:rPr>
          <w:t xml:space="preserve"> </w:t>
        </w:r>
        <w:r w:rsidR="00A750BE" w:rsidRPr="00A750BE">
          <w:rPr>
            <w:rStyle w:val="Hyperlink"/>
            <w:b/>
            <w:noProof/>
          </w:rPr>
          <w:t>– Low-Level and High-Level Nuclear Waste</w:t>
        </w:r>
        <w:r w:rsidR="00111EC6">
          <w:rPr>
            <w:noProof/>
            <w:webHidden/>
          </w:rPr>
          <w:tab/>
        </w:r>
        <w:r>
          <w:rPr>
            <w:noProof/>
            <w:webHidden/>
          </w:rPr>
          <w:fldChar w:fldCharType="begin"/>
        </w:r>
        <w:r w:rsidR="00111EC6">
          <w:rPr>
            <w:noProof/>
            <w:webHidden/>
          </w:rPr>
          <w:instrText xml:space="preserve"> PAGEREF _Toc347314863 \h </w:instrText>
        </w:r>
        <w:r>
          <w:rPr>
            <w:noProof/>
            <w:webHidden/>
          </w:rPr>
        </w:r>
        <w:r>
          <w:rPr>
            <w:noProof/>
            <w:webHidden/>
          </w:rPr>
          <w:fldChar w:fldCharType="separate"/>
        </w:r>
        <w:r w:rsidR="00111EC6">
          <w:rPr>
            <w:noProof/>
            <w:webHidden/>
          </w:rPr>
          <w:t>79</w:t>
        </w:r>
        <w:r>
          <w:rPr>
            <w:noProof/>
            <w:webHidden/>
          </w:rPr>
          <w:fldChar w:fldCharType="end"/>
        </w:r>
      </w:hyperlink>
    </w:p>
    <w:p w:rsidR="0048641B" w:rsidRPr="00ED7E20" w:rsidRDefault="00C650CE" w:rsidP="00D94100">
      <w:pPr>
        <w:spacing w:after="120" w:line="240" w:lineRule="auto"/>
        <w:ind w:right="-270"/>
        <w:contextualSpacing/>
        <w:jc w:val="center"/>
        <w:outlineLvl w:val="0"/>
        <w:rPr>
          <w:rFonts w:ascii="Times New Roman" w:hAnsi="Times New Roman"/>
          <w:b/>
        </w:rPr>
      </w:pPr>
      <w:r w:rsidRPr="000E6BE6">
        <w:rPr>
          <w:rFonts w:ascii="Times New Roman" w:hAnsi="Times New Roman"/>
          <w:color w:val="000080"/>
          <w:sz w:val="24"/>
          <w:szCs w:val="24"/>
        </w:rPr>
        <w:fldChar w:fldCharType="end"/>
      </w:r>
    </w:p>
    <w:p w:rsidR="00FC67F9" w:rsidRPr="00E45DE0" w:rsidRDefault="00FC67F9" w:rsidP="002A0CD0">
      <w:pPr>
        <w:numPr>
          <w:ilvl w:val="0"/>
          <w:numId w:val="3"/>
        </w:numPr>
        <w:tabs>
          <w:tab w:val="left" w:pos="0"/>
          <w:tab w:val="right" w:leader="dot" w:pos="8640"/>
        </w:tabs>
        <w:spacing w:after="0" w:line="240" w:lineRule="auto"/>
        <w:ind w:left="0" w:firstLine="0"/>
        <w:outlineLvl w:val="4"/>
        <w:rPr>
          <w:rFonts w:ascii="Times New Roman" w:hAnsi="Times New Roman"/>
          <w:b/>
          <w:color w:val="000080"/>
        </w:rPr>
        <w:sectPr w:rsidR="00FC67F9" w:rsidRPr="00E45DE0" w:rsidSect="00A91A46">
          <w:headerReference w:type="even" r:id="rId13"/>
          <w:headerReference w:type="default" r:id="rId14"/>
          <w:footerReference w:type="default" r:id="rId15"/>
          <w:headerReference w:type="first" r:id="rId16"/>
          <w:type w:val="nextColumn"/>
          <w:pgSz w:w="12240" w:h="15840" w:code="1"/>
          <w:pgMar w:top="1440" w:right="1440" w:bottom="1440" w:left="1440" w:header="720" w:footer="720" w:gutter="0"/>
          <w:pgNumType w:fmt="lowerRoman" w:start="1"/>
          <w:cols w:space="720"/>
          <w:docGrid w:linePitch="326"/>
        </w:sectPr>
      </w:pPr>
    </w:p>
    <w:p w:rsidR="00FC67F9" w:rsidRPr="00FE4210" w:rsidRDefault="00FC67F9" w:rsidP="002A0CD0">
      <w:pPr>
        <w:keepNext/>
        <w:widowControl w:val="0"/>
        <w:spacing w:after="0" w:line="240" w:lineRule="auto"/>
        <w:ind w:left="90"/>
        <w:jc w:val="center"/>
        <w:outlineLvl w:val="0"/>
        <w:rPr>
          <w:rFonts w:ascii="Arial" w:hAnsi="Arial" w:cs="Arial"/>
          <w:b/>
          <w:bCs/>
          <w:color w:val="000080"/>
          <w:kern w:val="28"/>
          <w:sz w:val="28"/>
          <w:szCs w:val="28"/>
        </w:rPr>
      </w:pPr>
      <w:bookmarkStart w:id="0" w:name="_Toc347314830"/>
      <w:r w:rsidRPr="00FE4210">
        <w:rPr>
          <w:rFonts w:ascii="Arial" w:hAnsi="Arial" w:cs="Arial"/>
          <w:b/>
          <w:bCs/>
          <w:color w:val="000080"/>
          <w:kern w:val="28"/>
          <w:sz w:val="28"/>
          <w:szCs w:val="28"/>
        </w:rPr>
        <w:t xml:space="preserve">1.0 </w:t>
      </w:r>
      <w:r w:rsidR="00BA4E09">
        <w:rPr>
          <w:rFonts w:ascii="Arial" w:hAnsi="Arial" w:cs="Arial"/>
          <w:b/>
          <w:bCs/>
          <w:color w:val="000080"/>
          <w:kern w:val="28"/>
          <w:sz w:val="28"/>
          <w:szCs w:val="28"/>
        </w:rPr>
        <w:t>Georgia Power</w:t>
      </w:r>
      <w:r w:rsidRPr="00FE4210">
        <w:rPr>
          <w:rFonts w:ascii="Arial" w:hAnsi="Arial" w:cs="Arial"/>
          <w:b/>
          <w:bCs/>
          <w:color w:val="000080"/>
          <w:kern w:val="28"/>
          <w:sz w:val="28"/>
          <w:szCs w:val="28"/>
        </w:rPr>
        <w:t xml:space="preserve"> Environmental Compliance </w:t>
      </w:r>
      <w:r w:rsidR="00594351">
        <w:rPr>
          <w:rFonts w:ascii="Arial" w:hAnsi="Arial" w:cs="Arial"/>
          <w:b/>
          <w:bCs/>
          <w:color w:val="000080"/>
          <w:kern w:val="28"/>
          <w:sz w:val="28"/>
          <w:szCs w:val="28"/>
        </w:rPr>
        <w:br/>
        <w:t>S</w:t>
      </w:r>
      <w:r w:rsidRPr="00FE4210">
        <w:rPr>
          <w:rFonts w:ascii="Arial" w:hAnsi="Arial" w:cs="Arial"/>
          <w:b/>
          <w:bCs/>
          <w:color w:val="000080"/>
          <w:kern w:val="28"/>
          <w:sz w:val="28"/>
          <w:szCs w:val="28"/>
        </w:rPr>
        <w:t>trategy and Overview</w:t>
      </w:r>
      <w:bookmarkEnd w:id="0"/>
    </w:p>
    <w:p w:rsidR="00FC67F9" w:rsidRPr="00ED7E20" w:rsidRDefault="00FC67F9" w:rsidP="002A0CD0">
      <w:pPr>
        <w:autoSpaceDE w:val="0"/>
        <w:autoSpaceDN w:val="0"/>
        <w:adjustRightInd w:val="0"/>
        <w:spacing w:after="0" w:line="240" w:lineRule="auto"/>
        <w:rPr>
          <w:rFonts w:ascii="Times New Roman" w:hAnsi="Times New Roman"/>
          <w:b/>
          <w:bCs/>
          <w:color w:val="000080"/>
          <w:sz w:val="28"/>
          <w:szCs w:val="28"/>
        </w:rPr>
      </w:pPr>
    </w:p>
    <w:p w:rsidR="00FC67F9" w:rsidRPr="00ED7E20" w:rsidRDefault="00FC67F9" w:rsidP="002A0CD0">
      <w:pPr>
        <w:autoSpaceDE w:val="0"/>
        <w:autoSpaceDN w:val="0"/>
        <w:adjustRightInd w:val="0"/>
        <w:spacing w:after="0" w:line="240" w:lineRule="auto"/>
        <w:rPr>
          <w:rFonts w:ascii="Times New Roman" w:hAnsi="Times New Roman"/>
          <w:b/>
          <w:bCs/>
          <w:color w:val="000080"/>
          <w:sz w:val="28"/>
          <w:szCs w:val="28"/>
          <w:u w:val="single"/>
        </w:rPr>
      </w:pPr>
      <w:r w:rsidRPr="00ED7E20">
        <w:rPr>
          <w:rFonts w:ascii="Times New Roman" w:hAnsi="Times New Roman"/>
          <w:b/>
          <w:bCs/>
          <w:color w:val="000080"/>
          <w:sz w:val="28"/>
          <w:szCs w:val="28"/>
          <w:u w:val="single"/>
        </w:rPr>
        <w:t>Overview</w:t>
      </w:r>
    </w:p>
    <w:p w:rsidR="00FC67F9" w:rsidRPr="00ED7E20" w:rsidRDefault="00FC67F9" w:rsidP="002A0CD0">
      <w:pPr>
        <w:autoSpaceDE w:val="0"/>
        <w:autoSpaceDN w:val="0"/>
        <w:adjustRightInd w:val="0"/>
        <w:spacing w:after="0" w:line="240" w:lineRule="auto"/>
        <w:rPr>
          <w:rFonts w:ascii="Times New Roman" w:hAnsi="Times New Roman"/>
          <w:b/>
          <w:bCs/>
          <w:color w:val="000080"/>
          <w:sz w:val="28"/>
          <w:szCs w:val="28"/>
        </w:rPr>
      </w:pPr>
    </w:p>
    <w:p w:rsidR="00FC67F9" w:rsidRPr="00ED7E20" w:rsidRDefault="000F032F" w:rsidP="002A0CD0">
      <w:pPr>
        <w:spacing w:after="0" w:line="240" w:lineRule="auto"/>
        <w:rPr>
          <w:rFonts w:ascii="Times New Roman" w:hAnsi="Times New Roman"/>
          <w:sz w:val="24"/>
          <w:szCs w:val="24"/>
        </w:rPr>
      </w:pPr>
      <w:r w:rsidRPr="00ED7E20">
        <w:rPr>
          <w:rFonts w:ascii="Times New Roman" w:hAnsi="Times New Roman"/>
          <w:sz w:val="24"/>
          <w:szCs w:val="24"/>
        </w:rPr>
        <w:t>The Environmental Compliance Strategy serves as a roadmap for compliance for Georgia Power Company (</w:t>
      </w:r>
      <w:r>
        <w:rPr>
          <w:rFonts w:ascii="Times New Roman" w:hAnsi="Times New Roman"/>
          <w:sz w:val="24"/>
          <w:szCs w:val="24"/>
        </w:rPr>
        <w:t>”Georgia Power” or the “Company” or “GPC”</w:t>
      </w:r>
      <w:r w:rsidRPr="00ED7E20">
        <w:rPr>
          <w:rFonts w:ascii="Times New Roman" w:hAnsi="Times New Roman"/>
          <w:sz w:val="24"/>
          <w:szCs w:val="24"/>
        </w:rPr>
        <w:t>) and the other retail affiliates</w:t>
      </w:r>
      <w:r w:rsidR="00BA4E09">
        <w:rPr>
          <w:rFonts w:ascii="Times New Roman" w:hAnsi="Times New Roman"/>
          <w:sz w:val="24"/>
          <w:szCs w:val="24"/>
        </w:rPr>
        <w:t xml:space="preserve"> of Southern Company</w:t>
      </w:r>
      <w:r w:rsidRPr="00ED7E20">
        <w:rPr>
          <w:rFonts w:ascii="Times New Roman" w:hAnsi="Times New Roman"/>
          <w:sz w:val="24"/>
          <w:szCs w:val="24"/>
        </w:rPr>
        <w:t xml:space="preserve">.  </w:t>
      </w:r>
      <w:r w:rsidR="00FC67F9" w:rsidRPr="00ED7E20">
        <w:rPr>
          <w:rFonts w:ascii="Times New Roman" w:hAnsi="Times New Roman"/>
          <w:sz w:val="24"/>
          <w:szCs w:val="24"/>
        </w:rPr>
        <w:t xml:space="preserve">This roadmap establishes a general direction but allows for individual decisions to be made based upon specific information available at the time.  This approach is an absolute necessity in maintaining the flexibility to match a dynamic regulatory compliance environment with a variety of available compliance options.  This document addresses recent environmental rulings and requirements and reflects the most recent strategy and cost estimates for incorporating these requirements. </w:t>
      </w:r>
    </w:p>
    <w:p w:rsidR="00FC67F9" w:rsidRPr="00ED7E20" w:rsidRDefault="00FC67F9" w:rsidP="002A0CD0">
      <w:pPr>
        <w:spacing w:after="0" w:line="240" w:lineRule="auto"/>
        <w:ind w:right="72"/>
        <w:rPr>
          <w:rFonts w:ascii="Times New Roman" w:hAnsi="Times New Roman"/>
          <w:sz w:val="24"/>
          <w:szCs w:val="24"/>
        </w:rPr>
      </w:pPr>
    </w:p>
    <w:p w:rsidR="00FC67F9" w:rsidRPr="00ED7E20" w:rsidRDefault="00BA4E09" w:rsidP="002A0CD0">
      <w:pPr>
        <w:spacing w:after="0" w:line="240" w:lineRule="auto"/>
        <w:rPr>
          <w:rFonts w:ascii="Times New Roman" w:hAnsi="Times New Roman"/>
          <w:sz w:val="24"/>
          <w:szCs w:val="24"/>
        </w:rPr>
      </w:pPr>
      <w:r>
        <w:rPr>
          <w:rFonts w:ascii="Times New Roman" w:hAnsi="Times New Roman"/>
          <w:sz w:val="24"/>
          <w:szCs w:val="20"/>
        </w:rPr>
        <w:t xml:space="preserve">Georgia Power and </w:t>
      </w:r>
      <w:r w:rsidR="00FC67F9" w:rsidRPr="00ED7E20">
        <w:rPr>
          <w:rFonts w:ascii="Times New Roman" w:hAnsi="Times New Roman"/>
          <w:sz w:val="24"/>
          <w:szCs w:val="20"/>
        </w:rPr>
        <w:t xml:space="preserve">Southern Company completed </w:t>
      </w:r>
      <w:r>
        <w:rPr>
          <w:rFonts w:ascii="Times New Roman" w:hAnsi="Times New Roman"/>
          <w:sz w:val="24"/>
          <w:szCs w:val="20"/>
        </w:rPr>
        <w:t xml:space="preserve">the </w:t>
      </w:r>
      <w:r w:rsidR="00FC67F9" w:rsidRPr="00ED7E20">
        <w:rPr>
          <w:rFonts w:ascii="Times New Roman" w:hAnsi="Times New Roman"/>
          <w:sz w:val="24"/>
          <w:szCs w:val="20"/>
        </w:rPr>
        <w:t>initial Clean Air Act Amendments (CAAA) strategy in December 1990 and ha</w:t>
      </w:r>
      <w:r>
        <w:rPr>
          <w:rFonts w:ascii="Times New Roman" w:hAnsi="Times New Roman"/>
          <w:sz w:val="24"/>
          <w:szCs w:val="20"/>
        </w:rPr>
        <w:t>ve</w:t>
      </w:r>
      <w:r w:rsidR="00FC67F9" w:rsidRPr="00ED7E20">
        <w:rPr>
          <w:rFonts w:ascii="Times New Roman" w:hAnsi="Times New Roman"/>
          <w:sz w:val="24"/>
          <w:szCs w:val="20"/>
        </w:rPr>
        <w:t xml:space="preserve"> produced updates or reviews in subsequent years.  The information contained in this document includes the annual Environmental Compliance Strategy review for 201</w:t>
      </w:r>
      <w:r w:rsidR="007533EB">
        <w:rPr>
          <w:rFonts w:ascii="Times New Roman" w:hAnsi="Times New Roman"/>
          <w:sz w:val="24"/>
          <w:szCs w:val="20"/>
        </w:rPr>
        <w:t>3</w:t>
      </w:r>
      <w:r w:rsidR="00FC67F9" w:rsidRPr="00ED7E20">
        <w:rPr>
          <w:rFonts w:ascii="Times New Roman" w:hAnsi="Times New Roman"/>
          <w:sz w:val="24"/>
          <w:szCs w:val="20"/>
        </w:rPr>
        <w:t xml:space="preserve"> and updates for compliance with the Clean Air Act (CAA), Clean Water Act (CWA), Resource Conservation and Recovery Act (RCRA), and other environmental </w:t>
      </w:r>
      <w:r w:rsidR="000F032F">
        <w:rPr>
          <w:rFonts w:ascii="Times New Roman" w:hAnsi="Times New Roman"/>
          <w:sz w:val="24"/>
          <w:szCs w:val="20"/>
        </w:rPr>
        <w:t>statutes and regulations</w:t>
      </w:r>
      <w:r w:rsidR="00FC67F9" w:rsidRPr="00ED7E20">
        <w:rPr>
          <w:rFonts w:ascii="Times New Roman" w:hAnsi="Times New Roman"/>
          <w:sz w:val="24"/>
          <w:szCs w:val="20"/>
        </w:rPr>
        <w:t>.</w:t>
      </w:r>
    </w:p>
    <w:p w:rsidR="00FC67F9" w:rsidRPr="00ED7E20" w:rsidRDefault="00FC67F9" w:rsidP="002A0CD0">
      <w:pPr>
        <w:autoSpaceDE w:val="0"/>
        <w:autoSpaceDN w:val="0"/>
        <w:adjustRightInd w:val="0"/>
        <w:spacing w:after="0" w:line="240" w:lineRule="auto"/>
        <w:rPr>
          <w:rFonts w:ascii="Times New Roman" w:hAnsi="Times New Roman"/>
          <w:sz w:val="24"/>
          <w:szCs w:val="24"/>
        </w:rPr>
      </w:pPr>
    </w:p>
    <w:p w:rsidR="00FC67F9" w:rsidRPr="00ED7E20" w:rsidRDefault="00FC67F9" w:rsidP="00B824D7">
      <w:pPr>
        <w:autoSpaceDE w:val="0"/>
        <w:autoSpaceDN w:val="0"/>
        <w:adjustRightInd w:val="0"/>
        <w:spacing w:after="0" w:line="240" w:lineRule="auto"/>
        <w:rPr>
          <w:rFonts w:ascii="Times New Roman" w:hAnsi="Times New Roman"/>
          <w:sz w:val="24"/>
          <w:szCs w:val="24"/>
        </w:rPr>
      </w:pPr>
      <w:r w:rsidRPr="00ED7E20">
        <w:rPr>
          <w:rFonts w:ascii="Times New Roman" w:hAnsi="Times New Roman"/>
          <w:sz w:val="24"/>
          <w:szCs w:val="24"/>
        </w:rPr>
        <w:t>Through 201</w:t>
      </w:r>
      <w:r w:rsidR="00A9311F">
        <w:rPr>
          <w:rFonts w:ascii="Times New Roman" w:hAnsi="Times New Roman"/>
          <w:sz w:val="24"/>
          <w:szCs w:val="24"/>
        </w:rPr>
        <w:t>1</w:t>
      </w:r>
      <w:r w:rsidRPr="00ED7E20">
        <w:rPr>
          <w:rFonts w:ascii="Times New Roman" w:hAnsi="Times New Roman"/>
          <w:sz w:val="24"/>
          <w:szCs w:val="24"/>
        </w:rPr>
        <w:t xml:space="preserve">, </w:t>
      </w:r>
      <w:r w:rsidR="00BA4E09">
        <w:rPr>
          <w:rFonts w:ascii="Times New Roman" w:hAnsi="Times New Roman"/>
          <w:sz w:val="24"/>
          <w:szCs w:val="24"/>
        </w:rPr>
        <w:t>Georgia Power</w:t>
      </w:r>
      <w:r w:rsidRPr="00ED7E20">
        <w:rPr>
          <w:rFonts w:ascii="Times New Roman" w:hAnsi="Times New Roman"/>
          <w:sz w:val="24"/>
          <w:szCs w:val="24"/>
        </w:rPr>
        <w:t xml:space="preserve"> has invested approximately $3.</w:t>
      </w:r>
      <w:r w:rsidR="00EB6850">
        <w:rPr>
          <w:rFonts w:ascii="Times New Roman" w:hAnsi="Times New Roman"/>
          <w:sz w:val="24"/>
          <w:szCs w:val="24"/>
        </w:rPr>
        <w:t>8</w:t>
      </w:r>
      <w:r w:rsidRPr="00ED7E20">
        <w:rPr>
          <w:rFonts w:ascii="Times New Roman" w:hAnsi="Times New Roman"/>
          <w:sz w:val="24"/>
          <w:szCs w:val="24"/>
        </w:rPr>
        <w:t xml:space="preserve"> billion in capital projects to comply with applicable environmental statutes, including the Clean Air Act; the Clean Water Act; the Comprehensive Environmental Response, Compensation, and Liability Act; the Resource Conservation and Recovery Act; the Toxic Substances Control Act; the Emergency Planning &amp; Community Right-to-Know Act; and the Endangered Species Act.  GPC’s annual totals have been $</w:t>
      </w:r>
      <w:r w:rsidR="00EB6850">
        <w:rPr>
          <w:rFonts w:ascii="Times New Roman" w:hAnsi="Times New Roman"/>
          <w:sz w:val="24"/>
          <w:szCs w:val="24"/>
        </w:rPr>
        <w:t>101</w:t>
      </w:r>
      <w:r w:rsidR="00EB6850" w:rsidRPr="00ED7E20">
        <w:rPr>
          <w:rFonts w:ascii="Times New Roman" w:hAnsi="Times New Roman"/>
          <w:sz w:val="24"/>
          <w:szCs w:val="24"/>
        </w:rPr>
        <w:t xml:space="preserve"> </w:t>
      </w:r>
      <w:r w:rsidRPr="00ED7E20">
        <w:rPr>
          <w:rFonts w:ascii="Times New Roman" w:hAnsi="Times New Roman"/>
          <w:sz w:val="24"/>
          <w:szCs w:val="24"/>
        </w:rPr>
        <w:t>million, $</w:t>
      </w:r>
      <w:r w:rsidR="00EB6850">
        <w:rPr>
          <w:rFonts w:ascii="Times New Roman" w:hAnsi="Times New Roman"/>
          <w:sz w:val="24"/>
          <w:szCs w:val="24"/>
        </w:rPr>
        <w:t>217</w:t>
      </w:r>
      <w:r w:rsidR="00EB6850" w:rsidRPr="00ED7E20">
        <w:rPr>
          <w:rFonts w:ascii="Times New Roman" w:hAnsi="Times New Roman"/>
          <w:sz w:val="24"/>
          <w:szCs w:val="24"/>
        </w:rPr>
        <w:t xml:space="preserve"> </w:t>
      </w:r>
      <w:r w:rsidRPr="00ED7E20">
        <w:rPr>
          <w:rFonts w:ascii="Times New Roman" w:hAnsi="Times New Roman"/>
          <w:sz w:val="24"/>
          <w:szCs w:val="24"/>
        </w:rPr>
        <w:t>million, and $</w:t>
      </w:r>
      <w:r w:rsidR="00EB6850">
        <w:rPr>
          <w:rFonts w:ascii="Times New Roman" w:hAnsi="Times New Roman"/>
          <w:sz w:val="24"/>
          <w:szCs w:val="24"/>
        </w:rPr>
        <w:t>440</w:t>
      </w:r>
      <w:r w:rsidR="00EB6850" w:rsidRPr="00ED7E20">
        <w:rPr>
          <w:rFonts w:ascii="Times New Roman" w:hAnsi="Times New Roman"/>
          <w:sz w:val="24"/>
          <w:szCs w:val="24"/>
        </w:rPr>
        <w:t xml:space="preserve"> </w:t>
      </w:r>
      <w:r w:rsidRPr="00ED7E20">
        <w:rPr>
          <w:rFonts w:ascii="Times New Roman" w:hAnsi="Times New Roman"/>
          <w:sz w:val="24"/>
          <w:szCs w:val="24"/>
        </w:rPr>
        <w:t>million for 201</w:t>
      </w:r>
      <w:r w:rsidR="00EB6850">
        <w:rPr>
          <w:rFonts w:ascii="Times New Roman" w:hAnsi="Times New Roman"/>
          <w:sz w:val="24"/>
          <w:szCs w:val="24"/>
        </w:rPr>
        <w:t>1</w:t>
      </w:r>
      <w:r w:rsidRPr="00ED7E20">
        <w:rPr>
          <w:rFonts w:ascii="Times New Roman" w:hAnsi="Times New Roman"/>
          <w:sz w:val="24"/>
          <w:szCs w:val="24"/>
        </w:rPr>
        <w:t>, 20</w:t>
      </w:r>
      <w:r w:rsidR="00EB6850">
        <w:rPr>
          <w:rFonts w:ascii="Times New Roman" w:hAnsi="Times New Roman"/>
          <w:sz w:val="24"/>
          <w:szCs w:val="24"/>
        </w:rPr>
        <w:t>10</w:t>
      </w:r>
      <w:r w:rsidRPr="00ED7E20">
        <w:rPr>
          <w:rFonts w:ascii="Times New Roman" w:hAnsi="Times New Roman"/>
          <w:sz w:val="24"/>
          <w:szCs w:val="24"/>
        </w:rPr>
        <w:t>, and 200</w:t>
      </w:r>
      <w:r w:rsidR="00EB6850">
        <w:rPr>
          <w:rFonts w:ascii="Times New Roman" w:hAnsi="Times New Roman"/>
          <w:sz w:val="24"/>
          <w:szCs w:val="24"/>
        </w:rPr>
        <w:t>9</w:t>
      </w:r>
      <w:r w:rsidRPr="00ED7E20">
        <w:rPr>
          <w:rFonts w:ascii="Times New Roman" w:hAnsi="Times New Roman"/>
          <w:sz w:val="24"/>
          <w:szCs w:val="24"/>
        </w:rPr>
        <w:t xml:space="preserve">, respectively.  </w:t>
      </w:r>
      <w:r w:rsidR="0091132E">
        <w:rPr>
          <w:rFonts w:ascii="Times New Roman" w:hAnsi="Times New Roman"/>
          <w:sz w:val="24"/>
          <w:szCs w:val="24"/>
        </w:rPr>
        <w:t xml:space="preserve">In </w:t>
      </w:r>
      <w:r w:rsidR="0091132E" w:rsidRPr="00ED7E20">
        <w:rPr>
          <w:rFonts w:ascii="Times New Roman" w:hAnsi="Times New Roman"/>
          <w:iCs/>
          <w:color w:val="000000"/>
          <w:sz w:val="24"/>
          <w:szCs w:val="24"/>
        </w:rPr>
        <w:t>Georgia Power’s Annual Report on Form 10-K for the year ended December 31, 201</w:t>
      </w:r>
      <w:r w:rsidR="0091132E">
        <w:rPr>
          <w:rFonts w:ascii="Times New Roman" w:hAnsi="Times New Roman"/>
          <w:iCs/>
          <w:color w:val="000000"/>
          <w:sz w:val="24"/>
          <w:szCs w:val="24"/>
        </w:rPr>
        <w:t>1,</w:t>
      </w:r>
      <w:r w:rsidR="0091132E" w:rsidRPr="00ED7E20">
        <w:rPr>
          <w:rFonts w:ascii="Times New Roman" w:hAnsi="Times New Roman"/>
          <w:iCs/>
          <w:color w:val="000000"/>
          <w:sz w:val="24"/>
          <w:szCs w:val="24"/>
        </w:rPr>
        <w:t xml:space="preserve"> </w:t>
      </w:r>
      <w:r w:rsidR="00B824D7">
        <w:rPr>
          <w:rFonts w:ascii="Times New Roman" w:hAnsi="Times New Roman"/>
          <w:sz w:val="24"/>
          <w:szCs w:val="24"/>
        </w:rPr>
        <w:t xml:space="preserve">Georgia Power </w:t>
      </w:r>
      <w:r w:rsidR="0091132E">
        <w:rPr>
          <w:rFonts w:ascii="Times New Roman" w:hAnsi="Times New Roman"/>
          <w:sz w:val="24"/>
          <w:szCs w:val="24"/>
        </w:rPr>
        <w:t>projected t</w:t>
      </w:r>
      <w:r w:rsidR="00B824D7" w:rsidRPr="00B824D7">
        <w:rPr>
          <w:rFonts w:ascii="Times New Roman" w:hAnsi="Times New Roman"/>
          <w:sz w:val="24"/>
          <w:szCs w:val="24"/>
        </w:rPr>
        <w:t>hat base level capital expenditures to comply with existing statutes and</w:t>
      </w:r>
      <w:r w:rsidR="00B824D7">
        <w:rPr>
          <w:rFonts w:ascii="Times New Roman" w:hAnsi="Times New Roman"/>
          <w:sz w:val="24"/>
          <w:szCs w:val="24"/>
        </w:rPr>
        <w:t xml:space="preserve"> </w:t>
      </w:r>
      <w:r w:rsidR="00B824D7" w:rsidRPr="00B824D7">
        <w:rPr>
          <w:rFonts w:ascii="Times New Roman" w:hAnsi="Times New Roman"/>
          <w:sz w:val="24"/>
          <w:szCs w:val="24"/>
        </w:rPr>
        <w:t>regulations will be a total of approximately $714 million from 2012 through 2014</w:t>
      </w:r>
      <w:r w:rsidR="00B6123A">
        <w:rPr>
          <w:rFonts w:ascii="Times New Roman" w:hAnsi="Times New Roman"/>
          <w:sz w:val="24"/>
          <w:szCs w:val="24"/>
        </w:rPr>
        <w:t xml:space="preserve">, specifically </w:t>
      </w:r>
      <w:r w:rsidRPr="00ED7E20">
        <w:rPr>
          <w:rFonts w:ascii="Times New Roman" w:hAnsi="Times New Roman"/>
          <w:sz w:val="24"/>
          <w:szCs w:val="24"/>
        </w:rPr>
        <w:t>$</w:t>
      </w:r>
      <w:r w:rsidR="00EB6850">
        <w:rPr>
          <w:rFonts w:ascii="Times New Roman" w:hAnsi="Times New Roman"/>
          <w:sz w:val="24"/>
          <w:szCs w:val="24"/>
        </w:rPr>
        <w:t>237</w:t>
      </w:r>
      <w:r w:rsidR="00EB6850" w:rsidRPr="00ED7E20">
        <w:rPr>
          <w:rFonts w:ascii="Times New Roman" w:hAnsi="Times New Roman"/>
          <w:sz w:val="24"/>
          <w:szCs w:val="24"/>
        </w:rPr>
        <w:t xml:space="preserve"> </w:t>
      </w:r>
      <w:r w:rsidRPr="00ED7E20">
        <w:rPr>
          <w:rFonts w:ascii="Times New Roman" w:hAnsi="Times New Roman"/>
          <w:sz w:val="24"/>
          <w:szCs w:val="24"/>
        </w:rPr>
        <w:t>million, $</w:t>
      </w:r>
      <w:r w:rsidR="00EB6850">
        <w:rPr>
          <w:rFonts w:ascii="Times New Roman" w:hAnsi="Times New Roman"/>
          <w:sz w:val="24"/>
          <w:szCs w:val="24"/>
        </w:rPr>
        <w:t>249</w:t>
      </w:r>
      <w:r w:rsidR="00EB6850" w:rsidRPr="00ED7E20">
        <w:rPr>
          <w:rFonts w:ascii="Times New Roman" w:hAnsi="Times New Roman"/>
          <w:sz w:val="24"/>
          <w:szCs w:val="24"/>
        </w:rPr>
        <w:t xml:space="preserve"> </w:t>
      </w:r>
      <w:r w:rsidRPr="00ED7E20">
        <w:rPr>
          <w:rFonts w:ascii="Times New Roman" w:hAnsi="Times New Roman"/>
          <w:sz w:val="24"/>
          <w:szCs w:val="24"/>
        </w:rPr>
        <w:t>million, and $</w:t>
      </w:r>
      <w:r w:rsidR="00EB6850">
        <w:rPr>
          <w:rFonts w:ascii="Times New Roman" w:hAnsi="Times New Roman"/>
          <w:sz w:val="24"/>
          <w:szCs w:val="24"/>
        </w:rPr>
        <w:t>228</w:t>
      </w:r>
      <w:r w:rsidR="00EB6850" w:rsidRPr="00ED7E20">
        <w:rPr>
          <w:rFonts w:ascii="Times New Roman" w:hAnsi="Times New Roman"/>
          <w:sz w:val="24"/>
          <w:szCs w:val="24"/>
        </w:rPr>
        <w:t xml:space="preserve"> </w:t>
      </w:r>
      <w:r w:rsidRPr="00ED7E20">
        <w:rPr>
          <w:rFonts w:ascii="Times New Roman" w:hAnsi="Times New Roman"/>
          <w:sz w:val="24"/>
          <w:szCs w:val="24"/>
        </w:rPr>
        <w:t>million for 201</w:t>
      </w:r>
      <w:r w:rsidR="00EB6850">
        <w:rPr>
          <w:rFonts w:ascii="Times New Roman" w:hAnsi="Times New Roman"/>
          <w:sz w:val="24"/>
          <w:szCs w:val="24"/>
        </w:rPr>
        <w:t>2</w:t>
      </w:r>
      <w:r w:rsidRPr="00ED7E20">
        <w:rPr>
          <w:rFonts w:ascii="Times New Roman" w:hAnsi="Times New Roman"/>
          <w:sz w:val="24"/>
          <w:szCs w:val="24"/>
        </w:rPr>
        <w:t>, 201</w:t>
      </w:r>
      <w:r w:rsidR="00EB6850">
        <w:rPr>
          <w:rFonts w:ascii="Times New Roman" w:hAnsi="Times New Roman"/>
          <w:sz w:val="24"/>
          <w:szCs w:val="24"/>
        </w:rPr>
        <w:t>3</w:t>
      </w:r>
      <w:r w:rsidRPr="00ED7E20">
        <w:rPr>
          <w:rFonts w:ascii="Times New Roman" w:hAnsi="Times New Roman"/>
          <w:sz w:val="24"/>
          <w:szCs w:val="24"/>
        </w:rPr>
        <w:t>, and 201</w:t>
      </w:r>
      <w:r w:rsidR="00EB6850">
        <w:rPr>
          <w:rFonts w:ascii="Times New Roman" w:hAnsi="Times New Roman"/>
          <w:sz w:val="24"/>
          <w:szCs w:val="24"/>
        </w:rPr>
        <w:t>4</w:t>
      </w:r>
      <w:r w:rsidRPr="00ED7E20">
        <w:rPr>
          <w:rFonts w:ascii="Times New Roman" w:hAnsi="Times New Roman"/>
          <w:sz w:val="24"/>
          <w:szCs w:val="24"/>
        </w:rPr>
        <w:t xml:space="preserve">, respectively. </w:t>
      </w:r>
      <w:r w:rsidR="00B824D7" w:rsidRPr="00B824D7">
        <w:rPr>
          <w:rFonts w:ascii="Times New Roman" w:hAnsi="Times New Roman"/>
          <w:sz w:val="24"/>
          <w:szCs w:val="24"/>
        </w:rPr>
        <w:t xml:space="preserve">Included in this amount is $237 million </w:t>
      </w:r>
      <w:r w:rsidR="00B6123A">
        <w:rPr>
          <w:rFonts w:ascii="Times New Roman" w:hAnsi="Times New Roman"/>
          <w:sz w:val="24"/>
          <w:szCs w:val="24"/>
        </w:rPr>
        <w:t xml:space="preserve">for initial expenditures related to the MATS rule spread between </w:t>
      </w:r>
      <w:r w:rsidR="00B824D7" w:rsidRPr="00B824D7">
        <w:rPr>
          <w:rFonts w:ascii="Times New Roman" w:hAnsi="Times New Roman"/>
          <w:sz w:val="24"/>
          <w:szCs w:val="24"/>
        </w:rPr>
        <w:t xml:space="preserve">2012 </w:t>
      </w:r>
      <w:r w:rsidR="00B6123A">
        <w:rPr>
          <w:rFonts w:ascii="Times New Roman" w:hAnsi="Times New Roman"/>
          <w:sz w:val="24"/>
          <w:szCs w:val="24"/>
        </w:rPr>
        <w:t>and</w:t>
      </w:r>
      <w:r w:rsidR="00B824D7" w:rsidRPr="00B824D7">
        <w:rPr>
          <w:rFonts w:ascii="Times New Roman" w:hAnsi="Times New Roman"/>
          <w:sz w:val="24"/>
          <w:szCs w:val="24"/>
        </w:rPr>
        <w:t xml:space="preserve"> 2013</w:t>
      </w:r>
      <w:r w:rsidR="00B824D7">
        <w:rPr>
          <w:rFonts w:ascii="Times New Roman" w:hAnsi="Times New Roman"/>
          <w:sz w:val="24"/>
          <w:szCs w:val="24"/>
        </w:rPr>
        <w:t>, as noted in the 2011 10-K</w:t>
      </w:r>
      <w:r w:rsidR="00B824D7" w:rsidRPr="00B824D7">
        <w:rPr>
          <w:rFonts w:ascii="Times New Roman" w:hAnsi="Times New Roman"/>
          <w:sz w:val="24"/>
          <w:szCs w:val="24"/>
        </w:rPr>
        <w:t>.</w:t>
      </w:r>
    </w:p>
    <w:p w:rsidR="00FC67F9" w:rsidRPr="00ED7E20" w:rsidRDefault="00FC67F9" w:rsidP="002A0CD0">
      <w:pPr>
        <w:autoSpaceDE w:val="0"/>
        <w:autoSpaceDN w:val="0"/>
        <w:adjustRightInd w:val="0"/>
        <w:spacing w:after="0" w:line="240" w:lineRule="auto"/>
        <w:rPr>
          <w:rFonts w:ascii="Times New Roman" w:hAnsi="Times New Roman"/>
          <w:sz w:val="24"/>
          <w:szCs w:val="24"/>
        </w:rPr>
      </w:pPr>
    </w:p>
    <w:p w:rsidR="00FC67F9" w:rsidRPr="00ED7E20" w:rsidRDefault="006F46F3" w:rsidP="00BA4E09">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The MATS rule </w:t>
      </w:r>
      <w:r w:rsidR="0091132E">
        <w:rPr>
          <w:rFonts w:ascii="Times New Roman" w:hAnsi="Times New Roman"/>
          <w:sz w:val="24"/>
          <w:szCs w:val="24"/>
        </w:rPr>
        <w:t>was projected to</w:t>
      </w:r>
      <w:r>
        <w:rPr>
          <w:rFonts w:ascii="Times New Roman" w:hAnsi="Times New Roman"/>
          <w:sz w:val="24"/>
          <w:szCs w:val="24"/>
        </w:rPr>
        <w:t xml:space="preserve"> </w:t>
      </w:r>
      <w:r w:rsidR="00A25E84">
        <w:rPr>
          <w:rFonts w:ascii="Times New Roman" w:hAnsi="Times New Roman"/>
          <w:sz w:val="24"/>
          <w:szCs w:val="24"/>
        </w:rPr>
        <w:t xml:space="preserve">also </w:t>
      </w:r>
      <w:r w:rsidR="00B266E4">
        <w:rPr>
          <w:rFonts w:ascii="Times New Roman" w:hAnsi="Times New Roman"/>
          <w:sz w:val="24"/>
          <w:szCs w:val="24"/>
        </w:rPr>
        <w:t>require</w:t>
      </w:r>
      <w:r>
        <w:rPr>
          <w:rFonts w:ascii="Times New Roman" w:hAnsi="Times New Roman"/>
          <w:sz w:val="24"/>
          <w:szCs w:val="24"/>
        </w:rPr>
        <w:t xml:space="preserve"> an additional spend of $440 million in 2014, as noted in the 2012 3</w:t>
      </w:r>
      <w:r w:rsidR="00283583" w:rsidRPr="00283583">
        <w:rPr>
          <w:rFonts w:ascii="Times New Roman" w:hAnsi="Times New Roman"/>
          <w:sz w:val="24"/>
          <w:szCs w:val="24"/>
          <w:vertAlign w:val="superscript"/>
        </w:rPr>
        <w:t>rd</w:t>
      </w:r>
      <w:r>
        <w:rPr>
          <w:rFonts w:ascii="Times New Roman" w:hAnsi="Times New Roman"/>
          <w:sz w:val="24"/>
          <w:szCs w:val="24"/>
        </w:rPr>
        <w:t xml:space="preserve"> Quarter 10-Q.</w:t>
      </w:r>
      <w:r w:rsidR="00B266E4">
        <w:rPr>
          <w:rFonts w:ascii="Times New Roman" w:hAnsi="Times New Roman"/>
          <w:sz w:val="24"/>
          <w:szCs w:val="24"/>
        </w:rPr>
        <w:t xml:space="preserve">  </w:t>
      </w:r>
      <w:r w:rsidR="00DD02D3" w:rsidRPr="00814EC5">
        <w:rPr>
          <w:rFonts w:ascii="Times New Roman" w:hAnsi="Times New Roman"/>
          <w:sz w:val="24"/>
          <w:szCs w:val="24"/>
        </w:rPr>
        <w:t>The</w:t>
      </w:r>
      <w:r w:rsidR="00EB6850">
        <w:rPr>
          <w:rFonts w:ascii="Times New Roman" w:hAnsi="Times New Roman"/>
          <w:sz w:val="24"/>
          <w:szCs w:val="24"/>
        </w:rPr>
        <w:t xml:space="preserve"> proposed water and coal combustion byproducts regulations </w:t>
      </w:r>
      <w:r w:rsidR="007D59D4">
        <w:rPr>
          <w:rFonts w:ascii="Times New Roman" w:hAnsi="Times New Roman"/>
          <w:sz w:val="24"/>
          <w:szCs w:val="24"/>
        </w:rPr>
        <w:t>w</w:t>
      </w:r>
      <w:r w:rsidR="0091132E">
        <w:rPr>
          <w:rFonts w:ascii="Times New Roman" w:hAnsi="Times New Roman"/>
          <w:sz w:val="24"/>
          <w:szCs w:val="24"/>
        </w:rPr>
        <w:t>ere</w:t>
      </w:r>
      <w:r w:rsidR="007D59D4">
        <w:rPr>
          <w:rFonts w:ascii="Times New Roman" w:hAnsi="Times New Roman"/>
          <w:sz w:val="24"/>
          <w:szCs w:val="24"/>
        </w:rPr>
        <w:t xml:space="preserve"> projected to </w:t>
      </w:r>
      <w:r w:rsidR="00EB6850">
        <w:rPr>
          <w:rFonts w:ascii="Times New Roman" w:hAnsi="Times New Roman"/>
          <w:sz w:val="24"/>
          <w:szCs w:val="24"/>
        </w:rPr>
        <w:t xml:space="preserve">require an </w:t>
      </w:r>
      <w:r w:rsidR="00EB6850" w:rsidRPr="00CF73E3">
        <w:rPr>
          <w:rFonts w:ascii="Times New Roman" w:hAnsi="Times New Roman"/>
          <w:sz w:val="24"/>
          <w:szCs w:val="24"/>
        </w:rPr>
        <w:t xml:space="preserve">additional </w:t>
      </w:r>
      <w:r w:rsidR="00DD02D3" w:rsidRPr="00814EC5">
        <w:rPr>
          <w:rFonts w:ascii="Times New Roman" w:hAnsi="Times New Roman"/>
          <w:sz w:val="24"/>
          <w:szCs w:val="24"/>
        </w:rPr>
        <w:t>$5 million</w:t>
      </w:r>
      <w:r>
        <w:rPr>
          <w:rFonts w:ascii="Times New Roman" w:hAnsi="Times New Roman"/>
          <w:sz w:val="24"/>
          <w:szCs w:val="24"/>
        </w:rPr>
        <w:t>,</w:t>
      </w:r>
      <w:r w:rsidR="00DD02D3" w:rsidRPr="00814EC5">
        <w:rPr>
          <w:rFonts w:ascii="Times New Roman" w:hAnsi="Times New Roman"/>
          <w:sz w:val="24"/>
          <w:szCs w:val="24"/>
        </w:rPr>
        <w:t xml:space="preserve"> $55 million</w:t>
      </w:r>
      <w:r>
        <w:rPr>
          <w:rFonts w:ascii="Times New Roman" w:hAnsi="Times New Roman"/>
          <w:sz w:val="24"/>
          <w:szCs w:val="24"/>
        </w:rPr>
        <w:t>,</w:t>
      </w:r>
      <w:r w:rsidR="00DD02D3" w:rsidRPr="00814EC5">
        <w:rPr>
          <w:rFonts w:ascii="Times New Roman" w:hAnsi="Times New Roman"/>
          <w:sz w:val="24"/>
          <w:szCs w:val="24"/>
        </w:rPr>
        <w:t xml:space="preserve"> and $190 million</w:t>
      </w:r>
      <w:r>
        <w:rPr>
          <w:rFonts w:ascii="Times New Roman" w:hAnsi="Times New Roman"/>
          <w:sz w:val="24"/>
          <w:szCs w:val="24"/>
        </w:rPr>
        <w:t xml:space="preserve"> for 2012, 2013</w:t>
      </w:r>
      <w:proofErr w:type="gramStart"/>
      <w:r>
        <w:rPr>
          <w:rFonts w:ascii="Times New Roman" w:hAnsi="Times New Roman"/>
          <w:sz w:val="24"/>
          <w:szCs w:val="24"/>
        </w:rPr>
        <w:t>,and</w:t>
      </w:r>
      <w:proofErr w:type="gramEnd"/>
      <w:r>
        <w:rPr>
          <w:rFonts w:ascii="Times New Roman" w:hAnsi="Times New Roman"/>
          <w:sz w:val="24"/>
          <w:szCs w:val="24"/>
        </w:rPr>
        <w:t xml:space="preserve"> </w:t>
      </w:r>
      <w:r w:rsidR="00DD02D3" w:rsidRPr="00814EC5">
        <w:rPr>
          <w:rFonts w:ascii="Times New Roman" w:hAnsi="Times New Roman"/>
          <w:sz w:val="24"/>
          <w:szCs w:val="24"/>
        </w:rPr>
        <w:t xml:space="preserve"> 2014</w:t>
      </w:r>
      <w:r w:rsidR="00BA4E09">
        <w:rPr>
          <w:rFonts w:ascii="Times New Roman" w:hAnsi="Times New Roman"/>
          <w:sz w:val="24"/>
          <w:szCs w:val="24"/>
        </w:rPr>
        <w:t>,</w:t>
      </w:r>
      <w:r>
        <w:rPr>
          <w:rFonts w:ascii="Times New Roman" w:hAnsi="Times New Roman"/>
          <w:sz w:val="24"/>
          <w:szCs w:val="24"/>
        </w:rPr>
        <w:t xml:space="preserve"> respectively,</w:t>
      </w:r>
      <w:r w:rsidR="00BA4E09">
        <w:rPr>
          <w:rFonts w:ascii="Times New Roman" w:hAnsi="Times New Roman"/>
          <w:sz w:val="24"/>
          <w:szCs w:val="24"/>
        </w:rPr>
        <w:t xml:space="preserve"> as noted in the 3</w:t>
      </w:r>
      <w:r w:rsidR="00BA4E09" w:rsidRPr="00BA4E09">
        <w:rPr>
          <w:rFonts w:ascii="Times New Roman" w:hAnsi="Times New Roman"/>
          <w:sz w:val="24"/>
          <w:szCs w:val="24"/>
          <w:vertAlign w:val="superscript"/>
        </w:rPr>
        <w:t>rd</w:t>
      </w:r>
      <w:r w:rsidR="00BA4E09">
        <w:rPr>
          <w:rFonts w:ascii="Times New Roman" w:hAnsi="Times New Roman"/>
          <w:sz w:val="24"/>
          <w:szCs w:val="24"/>
        </w:rPr>
        <w:t xml:space="preserve"> Quarter 10-Q</w:t>
      </w:r>
      <w:r w:rsidR="0091132E">
        <w:rPr>
          <w:rFonts w:ascii="Times New Roman" w:hAnsi="Times New Roman"/>
          <w:sz w:val="24"/>
          <w:szCs w:val="24"/>
        </w:rPr>
        <w:t xml:space="preserve">.  These projected costs will be updated in </w:t>
      </w:r>
      <w:r w:rsidR="00DA5DA1" w:rsidRPr="00ED7E20">
        <w:rPr>
          <w:rFonts w:ascii="Times New Roman" w:hAnsi="Times New Roman"/>
          <w:iCs/>
          <w:color w:val="000000"/>
          <w:sz w:val="24"/>
          <w:szCs w:val="24"/>
        </w:rPr>
        <w:t xml:space="preserve">Georgia Power’s </w:t>
      </w:r>
      <w:r w:rsidR="00DA5DA1">
        <w:rPr>
          <w:rFonts w:ascii="Times New Roman" w:hAnsi="Times New Roman"/>
          <w:iCs/>
          <w:color w:val="000000"/>
          <w:sz w:val="24"/>
          <w:szCs w:val="24"/>
        </w:rPr>
        <w:t xml:space="preserve">upcoming </w:t>
      </w:r>
      <w:r w:rsidR="00DA5DA1" w:rsidRPr="00ED7E20">
        <w:rPr>
          <w:rFonts w:ascii="Times New Roman" w:hAnsi="Times New Roman"/>
          <w:iCs/>
          <w:color w:val="000000"/>
          <w:sz w:val="24"/>
          <w:szCs w:val="24"/>
        </w:rPr>
        <w:t>Annual Report on Form 10-K for the year ended December 31, 201</w:t>
      </w:r>
      <w:r w:rsidR="00DA5DA1">
        <w:rPr>
          <w:rFonts w:ascii="Times New Roman" w:hAnsi="Times New Roman"/>
          <w:iCs/>
          <w:color w:val="000000"/>
          <w:sz w:val="24"/>
          <w:szCs w:val="24"/>
        </w:rPr>
        <w:t>2</w:t>
      </w:r>
      <w:r w:rsidR="00DD02D3" w:rsidRPr="00814EC5">
        <w:rPr>
          <w:rFonts w:ascii="Times New Roman" w:hAnsi="Times New Roman"/>
          <w:sz w:val="24"/>
          <w:szCs w:val="24"/>
        </w:rPr>
        <w:t>. </w:t>
      </w:r>
      <w:r w:rsidR="00CF73E3">
        <w:rPr>
          <w:rFonts w:ascii="Times New Roman" w:hAnsi="Times New Roman"/>
          <w:sz w:val="24"/>
          <w:szCs w:val="24"/>
        </w:rPr>
        <w:t xml:space="preserve"> </w:t>
      </w:r>
      <w:r w:rsidR="00FC67F9" w:rsidRPr="00ED7E20">
        <w:rPr>
          <w:rFonts w:ascii="Times New Roman" w:hAnsi="Times New Roman"/>
          <w:sz w:val="24"/>
          <w:szCs w:val="24"/>
        </w:rPr>
        <w:t>The Company’s compliance strategy, including potential unit retirement and replacement decisions, and future environmental capital expenditures will be affected by the final requirements of any new or revised environmental statutes and regulations that are enacted, including the proposed environmental legislation and regulations described</w:t>
      </w:r>
      <w:r w:rsidR="0091132E">
        <w:rPr>
          <w:rFonts w:ascii="Times New Roman" w:hAnsi="Times New Roman"/>
          <w:sz w:val="24"/>
          <w:szCs w:val="24"/>
        </w:rPr>
        <w:t xml:space="preserve"> in this document</w:t>
      </w:r>
      <w:r w:rsidR="00FC67F9" w:rsidRPr="00ED7E20">
        <w:rPr>
          <w:rFonts w:ascii="Times New Roman" w:hAnsi="Times New Roman"/>
          <w:sz w:val="24"/>
          <w:szCs w:val="24"/>
        </w:rPr>
        <w:t>; the cost, availability, and existing inventory of emissions allowances; and the Company’s fuel mix.</w:t>
      </w:r>
    </w:p>
    <w:p w:rsidR="00FC67F9" w:rsidRPr="00ED7E20" w:rsidRDefault="00FC67F9" w:rsidP="002A0CD0">
      <w:pPr>
        <w:spacing w:after="0" w:line="240" w:lineRule="auto"/>
        <w:rPr>
          <w:rFonts w:ascii="Times New Roman" w:hAnsi="Times New Roman"/>
          <w:sz w:val="24"/>
          <w:szCs w:val="24"/>
        </w:rPr>
      </w:pPr>
    </w:p>
    <w:p w:rsidR="00FC67F9" w:rsidRPr="00ED7E20" w:rsidRDefault="00FC67F9" w:rsidP="002A0CD0">
      <w:pPr>
        <w:spacing w:after="0" w:line="240" w:lineRule="auto"/>
        <w:rPr>
          <w:rFonts w:ascii="Times New Roman" w:hAnsi="Times New Roman"/>
          <w:sz w:val="24"/>
          <w:szCs w:val="24"/>
        </w:rPr>
      </w:pPr>
      <w:r w:rsidRPr="00ED7E20">
        <w:rPr>
          <w:rFonts w:ascii="Times New Roman" w:hAnsi="Times New Roman"/>
          <w:sz w:val="24"/>
          <w:szCs w:val="24"/>
        </w:rPr>
        <w:t xml:space="preserve">A summary and overview of the </w:t>
      </w:r>
      <w:r w:rsidR="00E87B8E">
        <w:rPr>
          <w:rFonts w:ascii="Times New Roman" w:hAnsi="Times New Roman"/>
          <w:sz w:val="24"/>
          <w:szCs w:val="24"/>
        </w:rPr>
        <w:t>Georgia Power</w:t>
      </w:r>
      <w:r w:rsidRPr="00ED7E20">
        <w:rPr>
          <w:rFonts w:ascii="Times New Roman" w:hAnsi="Times New Roman"/>
          <w:sz w:val="24"/>
          <w:szCs w:val="24"/>
        </w:rPr>
        <w:t xml:space="preserve"> environmental compliance program is provided below:</w:t>
      </w:r>
    </w:p>
    <w:p w:rsidR="00FC67F9" w:rsidRPr="00ED7E20" w:rsidRDefault="00FC67F9" w:rsidP="002A0CD0">
      <w:pPr>
        <w:spacing w:after="0" w:line="240" w:lineRule="auto"/>
        <w:rPr>
          <w:rFonts w:ascii="Times New Roman" w:hAnsi="Times New Roman"/>
          <w:sz w:val="24"/>
          <w:szCs w:val="24"/>
        </w:rPr>
      </w:pPr>
    </w:p>
    <w:p w:rsidR="000F032F" w:rsidRDefault="00E87B8E" w:rsidP="002A0CD0">
      <w:pPr>
        <w:numPr>
          <w:ilvl w:val="0"/>
          <w:numId w:val="21"/>
        </w:numPr>
        <w:tabs>
          <w:tab w:val="num" w:pos="360"/>
        </w:tabs>
        <w:spacing w:after="0" w:line="240" w:lineRule="auto"/>
        <w:ind w:left="360"/>
        <w:rPr>
          <w:rFonts w:ascii="Times New Roman" w:hAnsi="Times New Roman"/>
          <w:sz w:val="24"/>
          <w:szCs w:val="24"/>
        </w:rPr>
      </w:pPr>
      <w:r>
        <w:rPr>
          <w:rFonts w:ascii="Times New Roman" w:hAnsi="Times New Roman"/>
          <w:sz w:val="24"/>
          <w:szCs w:val="24"/>
        </w:rPr>
        <w:t xml:space="preserve">Georgia Power </w:t>
      </w:r>
      <w:r w:rsidR="000F032F" w:rsidRPr="00ED7E20">
        <w:rPr>
          <w:rFonts w:ascii="Times New Roman" w:hAnsi="Times New Roman"/>
          <w:sz w:val="24"/>
          <w:szCs w:val="24"/>
        </w:rPr>
        <w:t xml:space="preserve">has installed </w:t>
      </w:r>
      <w:r>
        <w:rPr>
          <w:rFonts w:ascii="Times New Roman" w:hAnsi="Times New Roman"/>
          <w:sz w:val="24"/>
          <w:szCs w:val="24"/>
        </w:rPr>
        <w:t>8</w:t>
      </w:r>
      <w:r w:rsidR="000F032F" w:rsidRPr="00ED7E20">
        <w:rPr>
          <w:rFonts w:ascii="Times New Roman" w:hAnsi="Times New Roman"/>
          <w:sz w:val="24"/>
          <w:szCs w:val="24"/>
        </w:rPr>
        <w:t xml:space="preserve"> selective catalytic reduction systems (SCRs), representing </w:t>
      </w:r>
      <w:r w:rsidR="00DE68B5">
        <w:rPr>
          <w:rFonts w:ascii="Times New Roman" w:hAnsi="Times New Roman"/>
          <w:sz w:val="24"/>
          <w:szCs w:val="24"/>
        </w:rPr>
        <w:t xml:space="preserve">approximately </w:t>
      </w:r>
      <w:r w:rsidR="0091132E">
        <w:rPr>
          <w:rFonts w:ascii="Times New Roman" w:hAnsi="Times New Roman"/>
          <w:sz w:val="24"/>
          <w:szCs w:val="24"/>
        </w:rPr>
        <w:t>5</w:t>
      </w:r>
      <w:r w:rsidR="000F032F" w:rsidRPr="00ED7E20">
        <w:rPr>
          <w:rFonts w:ascii="Times New Roman" w:hAnsi="Times New Roman"/>
          <w:sz w:val="24"/>
          <w:szCs w:val="24"/>
        </w:rPr>
        <w:t>,</w:t>
      </w:r>
      <w:r w:rsidR="00DE68B5">
        <w:rPr>
          <w:rFonts w:ascii="Times New Roman" w:hAnsi="Times New Roman"/>
          <w:sz w:val="24"/>
          <w:szCs w:val="24"/>
        </w:rPr>
        <w:t>3</w:t>
      </w:r>
      <w:r w:rsidR="000F032F" w:rsidRPr="00ED7E20">
        <w:rPr>
          <w:rFonts w:ascii="Times New Roman" w:hAnsi="Times New Roman"/>
          <w:sz w:val="24"/>
          <w:szCs w:val="24"/>
        </w:rPr>
        <w:t xml:space="preserve">00 megawatts for GPC.  SCRs are currently installed and operating at the following </w:t>
      </w:r>
      <w:r w:rsidR="000F032F">
        <w:rPr>
          <w:rFonts w:ascii="Times New Roman" w:hAnsi="Times New Roman"/>
          <w:sz w:val="24"/>
          <w:szCs w:val="24"/>
        </w:rPr>
        <w:t xml:space="preserve">Georgia Power </w:t>
      </w:r>
      <w:r w:rsidR="000F032F" w:rsidRPr="00ED7E20">
        <w:rPr>
          <w:rFonts w:ascii="Times New Roman" w:hAnsi="Times New Roman"/>
          <w:sz w:val="24"/>
          <w:szCs w:val="24"/>
        </w:rPr>
        <w:t>plants:</w:t>
      </w:r>
    </w:p>
    <w:p w:rsidR="00F5602B" w:rsidRPr="00ED7E20" w:rsidRDefault="00F5602B" w:rsidP="002A0CD0">
      <w:pPr>
        <w:spacing w:after="0" w:line="240" w:lineRule="auto"/>
        <w:ind w:left="360"/>
        <w:rPr>
          <w:rFonts w:ascii="Times New Roman" w:hAnsi="Times New Roman"/>
          <w:sz w:val="24"/>
          <w:szCs w:val="24"/>
        </w:rPr>
      </w:pPr>
    </w:p>
    <w:p w:rsidR="000F032F" w:rsidRPr="00ED7E20" w:rsidRDefault="000F032F" w:rsidP="002A0CD0">
      <w:pPr>
        <w:keepNext/>
        <w:numPr>
          <w:ilvl w:val="1"/>
          <w:numId w:val="12"/>
        </w:numPr>
        <w:spacing w:after="0" w:line="240" w:lineRule="auto"/>
        <w:rPr>
          <w:rFonts w:ascii="Times New Roman" w:hAnsi="Times New Roman"/>
          <w:sz w:val="24"/>
          <w:szCs w:val="24"/>
        </w:rPr>
      </w:pPr>
      <w:r w:rsidRPr="00ED7E20">
        <w:rPr>
          <w:rFonts w:ascii="Times New Roman" w:hAnsi="Times New Roman"/>
          <w:sz w:val="24"/>
          <w:szCs w:val="24"/>
        </w:rPr>
        <w:t xml:space="preserve">Plant Bowen Units 1, 2, 3, and 4 </w:t>
      </w:r>
    </w:p>
    <w:p w:rsidR="000F032F" w:rsidRPr="00ED7E20" w:rsidRDefault="000F032F" w:rsidP="002A0CD0">
      <w:pPr>
        <w:numPr>
          <w:ilvl w:val="1"/>
          <w:numId w:val="12"/>
        </w:numPr>
        <w:spacing w:after="0" w:line="240" w:lineRule="auto"/>
        <w:rPr>
          <w:rFonts w:ascii="Times New Roman" w:hAnsi="Times New Roman"/>
          <w:sz w:val="24"/>
          <w:szCs w:val="24"/>
        </w:rPr>
      </w:pPr>
      <w:r w:rsidRPr="00ED7E20">
        <w:rPr>
          <w:rFonts w:ascii="Times New Roman" w:hAnsi="Times New Roman"/>
          <w:sz w:val="24"/>
          <w:szCs w:val="24"/>
        </w:rPr>
        <w:t xml:space="preserve">Plant Hammond Unit 4 </w:t>
      </w:r>
    </w:p>
    <w:p w:rsidR="000F032F" w:rsidRPr="00ED7E20" w:rsidRDefault="000F032F" w:rsidP="002A0CD0">
      <w:pPr>
        <w:numPr>
          <w:ilvl w:val="1"/>
          <w:numId w:val="12"/>
        </w:numPr>
        <w:spacing w:after="0" w:line="240" w:lineRule="auto"/>
        <w:rPr>
          <w:rFonts w:ascii="Times New Roman" w:hAnsi="Times New Roman"/>
          <w:sz w:val="24"/>
          <w:szCs w:val="24"/>
        </w:rPr>
      </w:pPr>
      <w:r w:rsidRPr="00ED7E20">
        <w:rPr>
          <w:rFonts w:ascii="Times New Roman" w:hAnsi="Times New Roman"/>
          <w:sz w:val="24"/>
          <w:szCs w:val="24"/>
        </w:rPr>
        <w:t xml:space="preserve">Plant Wansley Units 1 and 2 </w:t>
      </w:r>
    </w:p>
    <w:p w:rsidR="000F032F" w:rsidRPr="00ED7E20" w:rsidRDefault="000F032F" w:rsidP="002A0CD0">
      <w:pPr>
        <w:numPr>
          <w:ilvl w:val="1"/>
          <w:numId w:val="12"/>
        </w:numPr>
        <w:spacing w:after="0" w:line="240" w:lineRule="auto"/>
        <w:rPr>
          <w:rFonts w:ascii="Times New Roman" w:hAnsi="Times New Roman"/>
          <w:sz w:val="24"/>
          <w:szCs w:val="24"/>
        </w:rPr>
      </w:pPr>
      <w:r w:rsidRPr="00ED7E20">
        <w:rPr>
          <w:rFonts w:ascii="Times New Roman" w:hAnsi="Times New Roman"/>
          <w:sz w:val="24"/>
          <w:szCs w:val="24"/>
        </w:rPr>
        <w:t xml:space="preserve">Plant Scherer Unit 3 </w:t>
      </w:r>
    </w:p>
    <w:p w:rsidR="000F032F" w:rsidRPr="00ED7E20" w:rsidRDefault="000F032F" w:rsidP="002A0CD0">
      <w:pPr>
        <w:spacing w:after="0" w:line="240" w:lineRule="auto"/>
        <w:ind w:left="720"/>
        <w:rPr>
          <w:rFonts w:ascii="Times New Roman" w:hAnsi="Times New Roman"/>
          <w:sz w:val="24"/>
          <w:szCs w:val="24"/>
        </w:rPr>
      </w:pPr>
    </w:p>
    <w:p w:rsidR="000F032F" w:rsidRPr="00ED7E20" w:rsidRDefault="000F032F" w:rsidP="002A0CD0">
      <w:pPr>
        <w:numPr>
          <w:ilvl w:val="0"/>
          <w:numId w:val="12"/>
        </w:numPr>
        <w:spacing w:after="0" w:line="240" w:lineRule="auto"/>
        <w:rPr>
          <w:rFonts w:ascii="Times New Roman" w:hAnsi="Times New Roman"/>
          <w:sz w:val="24"/>
          <w:szCs w:val="24"/>
        </w:rPr>
      </w:pPr>
      <w:r w:rsidRPr="00ED7E20">
        <w:rPr>
          <w:rFonts w:ascii="Times New Roman" w:hAnsi="Times New Roman"/>
          <w:sz w:val="24"/>
          <w:szCs w:val="24"/>
        </w:rPr>
        <w:t>Over the next few years, additional units will have SCRs installed to further reduce NO</w:t>
      </w:r>
      <w:r w:rsidRPr="00ED7E20">
        <w:rPr>
          <w:rFonts w:ascii="Times New Roman" w:hAnsi="Times New Roman"/>
          <w:sz w:val="24"/>
          <w:szCs w:val="24"/>
          <w:vertAlign w:val="subscript"/>
        </w:rPr>
        <w:t>X</w:t>
      </w:r>
      <w:r w:rsidRPr="00ED7E20">
        <w:rPr>
          <w:rFonts w:ascii="Times New Roman" w:hAnsi="Times New Roman"/>
          <w:sz w:val="24"/>
          <w:szCs w:val="24"/>
        </w:rPr>
        <w:t xml:space="preserve"> emissions below today’s levels.  </w:t>
      </w:r>
      <w:r w:rsidR="00F45066">
        <w:rPr>
          <w:rFonts w:ascii="Times New Roman" w:hAnsi="Times New Roman"/>
          <w:sz w:val="24"/>
          <w:szCs w:val="24"/>
        </w:rPr>
        <w:t>Georgia Power</w:t>
      </w:r>
      <w:r w:rsidRPr="00ED7E20">
        <w:rPr>
          <w:rFonts w:ascii="Times New Roman" w:hAnsi="Times New Roman"/>
          <w:sz w:val="24"/>
          <w:szCs w:val="24"/>
        </w:rPr>
        <w:t xml:space="preserve"> is currently constructing or planning additional SCRs at:</w:t>
      </w:r>
    </w:p>
    <w:p w:rsidR="007B250B" w:rsidRDefault="007B250B" w:rsidP="002A0CD0">
      <w:pPr>
        <w:spacing w:after="0" w:line="240" w:lineRule="auto"/>
        <w:ind w:left="1080"/>
        <w:rPr>
          <w:rFonts w:ascii="Times New Roman" w:hAnsi="Times New Roman"/>
          <w:sz w:val="24"/>
          <w:szCs w:val="24"/>
        </w:rPr>
      </w:pPr>
    </w:p>
    <w:p w:rsidR="00541B03" w:rsidRPr="0091132E" w:rsidRDefault="000F032F" w:rsidP="00980AB7">
      <w:pPr>
        <w:numPr>
          <w:ilvl w:val="1"/>
          <w:numId w:val="12"/>
        </w:numPr>
        <w:spacing w:after="0" w:line="240" w:lineRule="auto"/>
        <w:rPr>
          <w:rFonts w:ascii="Times New Roman" w:hAnsi="Times New Roman"/>
          <w:sz w:val="24"/>
          <w:szCs w:val="24"/>
        </w:rPr>
      </w:pPr>
      <w:r w:rsidRPr="0091132E">
        <w:rPr>
          <w:rFonts w:ascii="Times New Roman" w:hAnsi="Times New Roman"/>
          <w:sz w:val="24"/>
          <w:szCs w:val="24"/>
        </w:rPr>
        <w:t xml:space="preserve">Plant </w:t>
      </w:r>
      <w:r w:rsidR="0091132E" w:rsidRPr="0091132E">
        <w:rPr>
          <w:rFonts w:ascii="Times New Roman" w:hAnsi="Times New Roman"/>
          <w:sz w:val="24"/>
          <w:szCs w:val="24"/>
        </w:rPr>
        <w:t>Scherer Units 1 and 2</w:t>
      </w:r>
    </w:p>
    <w:p w:rsidR="00A60343" w:rsidRDefault="00A60343" w:rsidP="00A60343">
      <w:pPr>
        <w:spacing w:after="0" w:line="240" w:lineRule="auto"/>
        <w:ind w:left="360"/>
        <w:rPr>
          <w:rFonts w:ascii="Times New Roman" w:hAnsi="Times New Roman"/>
          <w:sz w:val="24"/>
          <w:szCs w:val="24"/>
        </w:rPr>
      </w:pPr>
    </w:p>
    <w:p w:rsidR="000F032F" w:rsidRPr="00ED7E20" w:rsidRDefault="00102650" w:rsidP="002A0CD0">
      <w:pPr>
        <w:numPr>
          <w:ilvl w:val="0"/>
          <w:numId w:val="8"/>
        </w:numPr>
        <w:spacing w:after="0" w:line="240" w:lineRule="auto"/>
        <w:rPr>
          <w:rFonts w:ascii="Times New Roman" w:hAnsi="Times New Roman"/>
          <w:sz w:val="24"/>
          <w:szCs w:val="24"/>
        </w:rPr>
      </w:pPr>
      <w:r>
        <w:rPr>
          <w:rFonts w:ascii="Times New Roman" w:hAnsi="Times New Roman"/>
          <w:sz w:val="24"/>
          <w:szCs w:val="24"/>
        </w:rPr>
        <w:t>Georgia Power</w:t>
      </w:r>
      <w:r w:rsidR="000F032F" w:rsidRPr="00ED7E20">
        <w:rPr>
          <w:rFonts w:ascii="Times New Roman" w:hAnsi="Times New Roman"/>
          <w:sz w:val="24"/>
          <w:szCs w:val="24"/>
        </w:rPr>
        <w:t xml:space="preserve"> has installed flue gas desulfurization devices (scrubbers or FGDs) on </w:t>
      </w:r>
      <w:r>
        <w:rPr>
          <w:rFonts w:ascii="Times New Roman" w:hAnsi="Times New Roman"/>
          <w:sz w:val="24"/>
          <w:szCs w:val="24"/>
        </w:rPr>
        <w:t>12</w:t>
      </w:r>
      <w:r w:rsidR="000F032F" w:rsidRPr="00ED7E20">
        <w:rPr>
          <w:rFonts w:ascii="Times New Roman" w:hAnsi="Times New Roman"/>
          <w:sz w:val="24"/>
          <w:szCs w:val="24"/>
        </w:rPr>
        <w:t xml:space="preserve"> units</w:t>
      </w:r>
      <w:r>
        <w:rPr>
          <w:rFonts w:ascii="Times New Roman" w:hAnsi="Times New Roman"/>
          <w:sz w:val="24"/>
          <w:szCs w:val="24"/>
        </w:rPr>
        <w:t xml:space="preserve"> </w:t>
      </w:r>
      <w:r w:rsidR="00451081">
        <w:rPr>
          <w:rFonts w:ascii="Times New Roman" w:hAnsi="Times New Roman"/>
          <w:sz w:val="24"/>
          <w:szCs w:val="24"/>
        </w:rPr>
        <w:t xml:space="preserve">or </w:t>
      </w:r>
      <w:r w:rsidR="006F46F3">
        <w:rPr>
          <w:rFonts w:ascii="Times New Roman" w:hAnsi="Times New Roman"/>
          <w:sz w:val="24"/>
          <w:szCs w:val="24"/>
        </w:rPr>
        <w:t>approximately</w:t>
      </w:r>
      <w:r w:rsidR="000F032F" w:rsidRPr="00ED7E20">
        <w:rPr>
          <w:rFonts w:ascii="Times New Roman" w:hAnsi="Times New Roman"/>
          <w:sz w:val="24"/>
          <w:szCs w:val="24"/>
        </w:rPr>
        <w:t xml:space="preserve"> </w:t>
      </w:r>
      <w:r w:rsidR="00DE68B5">
        <w:rPr>
          <w:rFonts w:ascii="Times New Roman" w:hAnsi="Times New Roman"/>
          <w:sz w:val="24"/>
          <w:szCs w:val="24"/>
        </w:rPr>
        <w:t>5</w:t>
      </w:r>
      <w:r w:rsidR="000F032F" w:rsidRPr="00ED7E20">
        <w:rPr>
          <w:rFonts w:ascii="Times New Roman" w:hAnsi="Times New Roman"/>
          <w:sz w:val="24"/>
          <w:szCs w:val="24"/>
        </w:rPr>
        <w:t>,</w:t>
      </w:r>
      <w:r w:rsidR="00DE68B5">
        <w:rPr>
          <w:rFonts w:ascii="Times New Roman" w:hAnsi="Times New Roman"/>
          <w:sz w:val="24"/>
          <w:szCs w:val="24"/>
        </w:rPr>
        <w:t>8</w:t>
      </w:r>
      <w:r w:rsidR="000F032F" w:rsidRPr="00ED7E20">
        <w:rPr>
          <w:rFonts w:ascii="Times New Roman" w:hAnsi="Times New Roman"/>
          <w:sz w:val="24"/>
          <w:szCs w:val="24"/>
        </w:rPr>
        <w:t>00 MWs</w:t>
      </w:r>
      <w:r w:rsidR="00921E3A">
        <w:rPr>
          <w:rFonts w:ascii="Times New Roman" w:hAnsi="Times New Roman"/>
          <w:sz w:val="24"/>
          <w:szCs w:val="24"/>
        </w:rPr>
        <w:t xml:space="preserve">.  </w:t>
      </w:r>
      <w:r w:rsidR="000F032F" w:rsidRPr="00ED7E20">
        <w:rPr>
          <w:rFonts w:ascii="Times New Roman" w:hAnsi="Times New Roman"/>
          <w:sz w:val="24"/>
          <w:szCs w:val="24"/>
        </w:rPr>
        <w:t xml:space="preserve">Scrubbers are currently installed and operating at the following </w:t>
      </w:r>
      <w:r w:rsidR="000F032F">
        <w:rPr>
          <w:rFonts w:ascii="Times New Roman" w:hAnsi="Times New Roman"/>
          <w:sz w:val="24"/>
          <w:szCs w:val="24"/>
        </w:rPr>
        <w:t xml:space="preserve">Georgia Power </w:t>
      </w:r>
      <w:r w:rsidR="000F032F" w:rsidRPr="00ED7E20">
        <w:rPr>
          <w:rFonts w:ascii="Times New Roman" w:hAnsi="Times New Roman"/>
          <w:sz w:val="24"/>
          <w:szCs w:val="24"/>
        </w:rPr>
        <w:t xml:space="preserve">units: </w:t>
      </w:r>
    </w:p>
    <w:p w:rsidR="007B250B" w:rsidRDefault="007B250B" w:rsidP="002A0CD0">
      <w:pPr>
        <w:spacing w:after="0" w:line="240" w:lineRule="auto"/>
        <w:ind w:left="1080"/>
        <w:rPr>
          <w:rFonts w:ascii="Times New Roman" w:hAnsi="Times New Roman"/>
          <w:sz w:val="24"/>
          <w:szCs w:val="24"/>
        </w:rPr>
      </w:pPr>
    </w:p>
    <w:p w:rsidR="000F032F" w:rsidRPr="0064601D" w:rsidRDefault="000F032F" w:rsidP="002A0CD0">
      <w:pPr>
        <w:numPr>
          <w:ilvl w:val="1"/>
          <w:numId w:val="13"/>
        </w:numPr>
        <w:spacing w:after="0" w:line="240" w:lineRule="auto"/>
        <w:rPr>
          <w:rFonts w:ascii="Times New Roman" w:hAnsi="Times New Roman"/>
          <w:sz w:val="24"/>
          <w:szCs w:val="24"/>
        </w:rPr>
      </w:pPr>
      <w:r w:rsidRPr="0064601D">
        <w:rPr>
          <w:rFonts w:ascii="Times New Roman" w:hAnsi="Times New Roman"/>
          <w:sz w:val="24"/>
          <w:szCs w:val="24"/>
        </w:rPr>
        <w:t>Plant Bowen Units 1, 2, 3 and 4</w:t>
      </w:r>
    </w:p>
    <w:p w:rsidR="000F032F" w:rsidRPr="00ED7E20" w:rsidRDefault="000F032F" w:rsidP="002A0CD0">
      <w:pPr>
        <w:numPr>
          <w:ilvl w:val="1"/>
          <w:numId w:val="13"/>
        </w:numPr>
        <w:spacing w:after="0" w:line="240" w:lineRule="auto"/>
        <w:rPr>
          <w:rFonts w:ascii="Times New Roman" w:hAnsi="Times New Roman"/>
          <w:sz w:val="24"/>
          <w:szCs w:val="24"/>
        </w:rPr>
      </w:pPr>
      <w:r w:rsidRPr="00ED7E20">
        <w:rPr>
          <w:rFonts w:ascii="Times New Roman" w:hAnsi="Times New Roman"/>
          <w:sz w:val="24"/>
          <w:szCs w:val="24"/>
        </w:rPr>
        <w:t xml:space="preserve">Plant Hammond Units 1, 2, 3 and 4  (single scrubber vessel) </w:t>
      </w:r>
    </w:p>
    <w:p w:rsidR="000F032F" w:rsidRPr="00ED7E20" w:rsidRDefault="000F032F" w:rsidP="002A0CD0">
      <w:pPr>
        <w:numPr>
          <w:ilvl w:val="1"/>
          <w:numId w:val="13"/>
        </w:numPr>
        <w:spacing w:after="0" w:line="240" w:lineRule="auto"/>
        <w:rPr>
          <w:rFonts w:ascii="Times New Roman" w:hAnsi="Times New Roman"/>
          <w:sz w:val="24"/>
          <w:szCs w:val="24"/>
        </w:rPr>
      </w:pPr>
      <w:r w:rsidRPr="00ED7E20">
        <w:rPr>
          <w:rFonts w:ascii="Times New Roman" w:hAnsi="Times New Roman"/>
          <w:sz w:val="24"/>
          <w:szCs w:val="24"/>
        </w:rPr>
        <w:t xml:space="preserve">Plant Wansley Units 1 and 2 </w:t>
      </w:r>
    </w:p>
    <w:p w:rsidR="000F032F" w:rsidRPr="00ED7E20" w:rsidRDefault="000F032F" w:rsidP="002A0CD0">
      <w:pPr>
        <w:numPr>
          <w:ilvl w:val="1"/>
          <w:numId w:val="13"/>
        </w:numPr>
        <w:spacing w:after="0" w:line="240" w:lineRule="auto"/>
        <w:rPr>
          <w:rFonts w:ascii="Times New Roman" w:hAnsi="Times New Roman"/>
          <w:sz w:val="24"/>
          <w:szCs w:val="24"/>
        </w:rPr>
      </w:pPr>
      <w:r w:rsidRPr="00ED7E20">
        <w:rPr>
          <w:rFonts w:ascii="Times New Roman" w:hAnsi="Times New Roman"/>
          <w:sz w:val="24"/>
          <w:szCs w:val="24"/>
        </w:rPr>
        <w:t xml:space="preserve">Plant Yates Unit 1 </w:t>
      </w:r>
    </w:p>
    <w:p w:rsidR="000F032F" w:rsidRPr="00ED7E20" w:rsidRDefault="000F032F" w:rsidP="002A0CD0">
      <w:pPr>
        <w:numPr>
          <w:ilvl w:val="1"/>
          <w:numId w:val="13"/>
        </w:numPr>
        <w:spacing w:after="0" w:line="240" w:lineRule="auto"/>
        <w:rPr>
          <w:rFonts w:ascii="Times New Roman" w:hAnsi="Times New Roman"/>
          <w:sz w:val="24"/>
          <w:szCs w:val="24"/>
        </w:rPr>
      </w:pPr>
      <w:r w:rsidRPr="00ED7E20">
        <w:rPr>
          <w:rFonts w:ascii="Times New Roman" w:hAnsi="Times New Roman"/>
          <w:sz w:val="24"/>
          <w:szCs w:val="24"/>
        </w:rPr>
        <w:t xml:space="preserve">Plant Scherer, Unit 3 </w:t>
      </w:r>
    </w:p>
    <w:p w:rsidR="000F032F" w:rsidRPr="00ED7E20" w:rsidRDefault="000F032F" w:rsidP="002A0CD0">
      <w:pPr>
        <w:spacing w:after="0" w:line="240" w:lineRule="auto"/>
        <w:rPr>
          <w:rFonts w:ascii="Times New Roman" w:hAnsi="Times New Roman"/>
          <w:sz w:val="24"/>
          <w:szCs w:val="24"/>
        </w:rPr>
      </w:pPr>
    </w:p>
    <w:p w:rsidR="000F032F" w:rsidRDefault="000F032F" w:rsidP="002A0CD0">
      <w:pPr>
        <w:numPr>
          <w:ilvl w:val="0"/>
          <w:numId w:val="13"/>
        </w:numPr>
        <w:spacing w:after="0" w:line="240" w:lineRule="auto"/>
        <w:rPr>
          <w:rFonts w:ascii="Times New Roman" w:hAnsi="Times New Roman"/>
          <w:sz w:val="24"/>
          <w:szCs w:val="24"/>
        </w:rPr>
      </w:pPr>
      <w:r w:rsidRPr="00ED7E20">
        <w:rPr>
          <w:rFonts w:ascii="Times New Roman" w:hAnsi="Times New Roman"/>
          <w:sz w:val="24"/>
          <w:szCs w:val="24"/>
        </w:rPr>
        <w:t>Over the next few years, additional units will get scrubbers to further lower SO</w:t>
      </w:r>
      <w:r w:rsidRPr="00ED7E20">
        <w:rPr>
          <w:rFonts w:ascii="Times New Roman" w:hAnsi="Times New Roman"/>
          <w:sz w:val="24"/>
          <w:szCs w:val="24"/>
          <w:vertAlign w:val="subscript"/>
        </w:rPr>
        <w:t>2</w:t>
      </w:r>
      <w:r w:rsidRPr="00ED7E20">
        <w:rPr>
          <w:rFonts w:ascii="Times New Roman" w:hAnsi="Times New Roman"/>
          <w:sz w:val="24"/>
          <w:szCs w:val="24"/>
        </w:rPr>
        <w:t xml:space="preserve"> emissions below today’s levels.  The </w:t>
      </w:r>
      <w:r>
        <w:rPr>
          <w:rFonts w:ascii="Times New Roman" w:hAnsi="Times New Roman"/>
          <w:sz w:val="24"/>
          <w:szCs w:val="24"/>
        </w:rPr>
        <w:t>C</w:t>
      </w:r>
      <w:r w:rsidRPr="00ED7E20">
        <w:rPr>
          <w:rFonts w:ascii="Times New Roman" w:hAnsi="Times New Roman"/>
          <w:sz w:val="24"/>
          <w:szCs w:val="24"/>
        </w:rPr>
        <w:t xml:space="preserve">ompany is currently constructing or planning additional scrubbers at: </w:t>
      </w:r>
    </w:p>
    <w:p w:rsidR="007B250B" w:rsidRPr="00ED7E20" w:rsidRDefault="007B250B" w:rsidP="002A0CD0">
      <w:pPr>
        <w:spacing w:after="0" w:line="240" w:lineRule="auto"/>
        <w:ind w:left="360"/>
        <w:rPr>
          <w:rFonts w:ascii="Times New Roman" w:hAnsi="Times New Roman"/>
          <w:sz w:val="24"/>
          <w:szCs w:val="24"/>
        </w:rPr>
      </w:pPr>
    </w:p>
    <w:p w:rsidR="000F032F" w:rsidRDefault="000F032F" w:rsidP="002A0CD0">
      <w:pPr>
        <w:numPr>
          <w:ilvl w:val="1"/>
          <w:numId w:val="13"/>
        </w:numPr>
        <w:spacing w:after="0" w:line="240" w:lineRule="auto"/>
        <w:rPr>
          <w:rFonts w:ascii="Times New Roman" w:hAnsi="Times New Roman"/>
          <w:sz w:val="24"/>
          <w:szCs w:val="24"/>
        </w:rPr>
      </w:pPr>
      <w:r w:rsidRPr="00ED7E20">
        <w:rPr>
          <w:rFonts w:ascii="Times New Roman" w:hAnsi="Times New Roman"/>
          <w:sz w:val="24"/>
          <w:szCs w:val="24"/>
        </w:rPr>
        <w:t xml:space="preserve">Plant Scherer, Units 1 and 2 </w:t>
      </w:r>
    </w:p>
    <w:p w:rsidR="00A60343" w:rsidRPr="00ED7E20" w:rsidRDefault="00A60343" w:rsidP="00A60343">
      <w:pPr>
        <w:spacing w:after="0" w:line="240" w:lineRule="auto"/>
        <w:ind w:left="1080"/>
        <w:rPr>
          <w:rFonts w:ascii="Times New Roman" w:hAnsi="Times New Roman"/>
          <w:sz w:val="24"/>
          <w:szCs w:val="24"/>
        </w:rPr>
      </w:pPr>
    </w:p>
    <w:p w:rsidR="001C6F10" w:rsidRPr="00E01899" w:rsidRDefault="001C6F10" w:rsidP="002A0CD0">
      <w:pPr>
        <w:numPr>
          <w:ilvl w:val="0"/>
          <w:numId w:val="13"/>
        </w:numPr>
        <w:spacing w:after="0" w:line="240" w:lineRule="auto"/>
        <w:rPr>
          <w:rFonts w:ascii="Times New Roman" w:hAnsi="Times New Roman"/>
          <w:sz w:val="24"/>
          <w:szCs w:val="24"/>
        </w:rPr>
      </w:pPr>
      <w:r w:rsidRPr="00E01899">
        <w:rPr>
          <w:rFonts w:ascii="Times New Roman" w:hAnsi="Times New Roman"/>
          <w:sz w:val="24"/>
          <w:szCs w:val="24"/>
        </w:rPr>
        <w:t xml:space="preserve">Georgia Power has installed and is operating baghouses with activated carbon injection </w:t>
      </w:r>
      <w:r w:rsidR="00B60486">
        <w:rPr>
          <w:rFonts w:ascii="Times New Roman" w:hAnsi="Times New Roman"/>
          <w:sz w:val="24"/>
          <w:szCs w:val="24"/>
        </w:rPr>
        <w:t xml:space="preserve">to reduce mercury emissions </w:t>
      </w:r>
      <w:r w:rsidR="00E01899">
        <w:rPr>
          <w:rFonts w:ascii="Times New Roman" w:hAnsi="Times New Roman"/>
          <w:sz w:val="24"/>
          <w:szCs w:val="24"/>
        </w:rPr>
        <w:t>at</w:t>
      </w:r>
      <w:r w:rsidRPr="00E01899">
        <w:rPr>
          <w:rFonts w:ascii="Times New Roman" w:hAnsi="Times New Roman"/>
          <w:sz w:val="24"/>
          <w:szCs w:val="24"/>
        </w:rPr>
        <w:t xml:space="preserve"> Plant Scherer </w:t>
      </w:r>
      <w:r w:rsidR="00BF559E">
        <w:rPr>
          <w:rFonts w:ascii="Times New Roman" w:hAnsi="Times New Roman"/>
          <w:sz w:val="24"/>
          <w:szCs w:val="24"/>
        </w:rPr>
        <w:t xml:space="preserve">Unit 1, 2, and 3 </w:t>
      </w:r>
      <w:r w:rsidRPr="00E01899">
        <w:rPr>
          <w:rFonts w:ascii="Times New Roman" w:hAnsi="Times New Roman"/>
          <w:sz w:val="24"/>
          <w:szCs w:val="24"/>
        </w:rPr>
        <w:t>(</w:t>
      </w:r>
      <w:r w:rsidR="006C30F6" w:rsidRPr="00E01899">
        <w:rPr>
          <w:rFonts w:ascii="Times New Roman" w:hAnsi="Times New Roman"/>
          <w:sz w:val="24"/>
          <w:szCs w:val="24"/>
        </w:rPr>
        <w:t xml:space="preserve">about </w:t>
      </w:r>
      <w:r w:rsidR="00130AB0">
        <w:rPr>
          <w:rFonts w:ascii="Times New Roman" w:hAnsi="Times New Roman"/>
          <w:sz w:val="24"/>
          <w:szCs w:val="24"/>
        </w:rPr>
        <w:t>800</w:t>
      </w:r>
      <w:r w:rsidR="006C30F6" w:rsidRPr="00E01899">
        <w:rPr>
          <w:rFonts w:ascii="Times New Roman" w:hAnsi="Times New Roman"/>
          <w:sz w:val="24"/>
          <w:szCs w:val="24"/>
        </w:rPr>
        <w:t xml:space="preserve"> MW GPC</w:t>
      </w:r>
      <w:r w:rsidR="00927AC8">
        <w:rPr>
          <w:rFonts w:ascii="Times New Roman" w:hAnsi="Times New Roman"/>
          <w:sz w:val="24"/>
          <w:szCs w:val="24"/>
        </w:rPr>
        <w:t>-owned</w:t>
      </w:r>
      <w:r w:rsidRPr="00E01899">
        <w:rPr>
          <w:rFonts w:ascii="Times New Roman" w:hAnsi="Times New Roman"/>
          <w:sz w:val="24"/>
          <w:szCs w:val="24"/>
        </w:rPr>
        <w:t xml:space="preserve">). Decisions have been made to install </w:t>
      </w:r>
      <w:r w:rsidR="00B60486">
        <w:rPr>
          <w:rFonts w:ascii="Times New Roman" w:hAnsi="Times New Roman"/>
          <w:sz w:val="24"/>
          <w:szCs w:val="24"/>
        </w:rPr>
        <w:t xml:space="preserve">additional controls </w:t>
      </w:r>
      <w:r w:rsidR="009D080F">
        <w:rPr>
          <w:rFonts w:ascii="Times New Roman" w:hAnsi="Times New Roman"/>
          <w:sz w:val="24"/>
          <w:szCs w:val="24"/>
        </w:rPr>
        <w:t xml:space="preserve">or </w:t>
      </w:r>
      <w:r w:rsidR="00BF559E">
        <w:rPr>
          <w:rFonts w:ascii="Times New Roman" w:hAnsi="Times New Roman"/>
          <w:sz w:val="24"/>
          <w:szCs w:val="24"/>
        </w:rPr>
        <w:t>switch to natural gas as the primary fuel</w:t>
      </w:r>
      <w:r w:rsidR="00C83182">
        <w:rPr>
          <w:rFonts w:ascii="Times New Roman" w:hAnsi="Times New Roman"/>
          <w:sz w:val="24"/>
          <w:szCs w:val="24"/>
        </w:rPr>
        <w:t xml:space="preserve"> </w:t>
      </w:r>
      <w:r w:rsidR="00A25E84">
        <w:rPr>
          <w:rFonts w:ascii="Times New Roman" w:hAnsi="Times New Roman"/>
          <w:sz w:val="24"/>
          <w:szCs w:val="24"/>
        </w:rPr>
        <w:t xml:space="preserve">for compliance with the Mercury and Air Toxics Standards (MATS) </w:t>
      </w:r>
      <w:r w:rsidRPr="00E01899">
        <w:rPr>
          <w:rFonts w:ascii="Times New Roman" w:hAnsi="Times New Roman"/>
          <w:sz w:val="24"/>
          <w:szCs w:val="24"/>
        </w:rPr>
        <w:t xml:space="preserve">on the following </w:t>
      </w:r>
      <w:r w:rsidR="006C30F6" w:rsidRPr="00E01899">
        <w:rPr>
          <w:rFonts w:ascii="Times New Roman" w:hAnsi="Times New Roman"/>
          <w:sz w:val="24"/>
          <w:szCs w:val="24"/>
        </w:rPr>
        <w:t xml:space="preserve">Georgia Power </w:t>
      </w:r>
      <w:r w:rsidRPr="00E01899">
        <w:rPr>
          <w:rFonts w:ascii="Times New Roman" w:hAnsi="Times New Roman"/>
          <w:sz w:val="24"/>
          <w:szCs w:val="24"/>
        </w:rPr>
        <w:t>units:</w:t>
      </w:r>
    </w:p>
    <w:p w:rsidR="007B250B" w:rsidRPr="00E01899" w:rsidRDefault="007B250B" w:rsidP="002A0CD0">
      <w:pPr>
        <w:spacing w:after="0" w:line="240" w:lineRule="auto"/>
        <w:ind w:left="360"/>
        <w:rPr>
          <w:rFonts w:ascii="Times New Roman" w:hAnsi="Times New Roman"/>
          <w:sz w:val="24"/>
          <w:szCs w:val="24"/>
        </w:rPr>
      </w:pPr>
    </w:p>
    <w:p w:rsidR="001C6F10" w:rsidRDefault="001C6F10" w:rsidP="002A0CD0">
      <w:pPr>
        <w:pStyle w:val="ListParagraph"/>
        <w:numPr>
          <w:ilvl w:val="1"/>
          <w:numId w:val="13"/>
        </w:numPr>
      </w:pPr>
      <w:r w:rsidRPr="003022EA">
        <w:t xml:space="preserve">Plant Bowen, Units 3 </w:t>
      </w:r>
      <w:r w:rsidR="00B60486">
        <w:t>and</w:t>
      </w:r>
      <w:r w:rsidRPr="003022EA">
        <w:t xml:space="preserve"> 4</w:t>
      </w:r>
      <w:r w:rsidR="00B60486">
        <w:t xml:space="preserve"> (baghouses with activated carbon and lime injection</w:t>
      </w:r>
      <w:r w:rsidR="00A25E84">
        <w:t>, scrubber additive</w:t>
      </w:r>
      <w:r w:rsidR="00B60486">
        <w:t>)</w:t>
      </w:r>
    </w:p>
    <w:p w:rsidR="00B60486" w:rsidRDefault="00B60486" w:rsidP="002A0CD0">
      <w:pPr>
        <w:pStyle w:val="ListParagraph"/>
        <w:numPr>
          <w:ilvl w:val="1"/>
          <w:numId w:val="13"/>
        </w:numPr>
      </w:pPr>
      <w:r>
        <w:t>Plant Bowen, Units 1 and 2 (activated carbon and lime injection</w:t>
      </w:r>
      <w:r w:rsidR="00A25E84">
        <w:t>,</w:t>
      </w:r>
      <w:r w:rsidR="00A25E84" w:rsidRPr="00A25E84">
        <w:t xml:space="preserve"> </w:t>
      </w:r>
      <w:r w:rsidR="00A25E84">
        <w:t>scrubber additive</w:t>
      </w:r>
      <w:r>
        <w:t>)</w:t>
      </w:r>
    </w:p>
    <w:p w:rsidR="00B60486" w:rsidRDefault="00B60486" w:rsidP="002A0CD0">
      <w:pPr>
        <w:pStyle w:val="ListParagraph"/>
        <w:numPr>
          <w:ilvl w:val="1"/>
          <w:numId w:val="13"/>
        </w:numPr>
      </w:pPr>
      <w:r>
        <w:t>Plant Hammond, Units 1, 2, 3, and 4 (activated carbon and lime injection</w:t>
      </w:r>
      <w:r w:rsidR="00A25E84">
        <w:t>, scrubber additive</w:t>
      </w:r>
      <w:r>
        <w:t>)</w:t>
      </w:r>
    </w:p>
    <w:p w:rsidR="00B60486" w:rsidRDefault="00B60486" w:rsidP="002A0CD0">
      <w:pPr>
        <w:pStyle w:val="ListParagraph"/>
        <w:numPr>
          <w:ilvl w:val="1"/>
          <w:numId w:val="13"/>
        </w:numPr>
      </w:pPr>
      <w:r>
        <w:t>Plant Wansley Units 1 and</w:t>
      </w:r>
      <w:r w:rsidR="00B937BF">
        <w:t xml:space="preserve"> </w:t>
      </w:r>
      <w:r>
        <w:t>2 (activated carbon and lime injection</w:t>
      </w:r>
      <w:r w:rsidR="00A25E84">
        <w:t>, scrubber additive</w:t>
      </w:r>
      <w:r>
        <w:t>)</w:t>
      </w:r>
    </w:p>
    <w:p w:rsidR="006F46F3" w:rsidRDefault="006F46F3" w:rsidP="002A0CD0">
      <w:pPr>
        <w:pStyle w:val="ListParagraph"/>
        <w:numPr>
          <w:ilvl w:val="1"/>
          <w:numId w:val="13"/>
        </w:numPr>
      </w:pPr>
      <w:r>
        <w:t>Plant Scherer Units 1,</w:t>
      </w:r>
      <w:r w:rsidR="00A25E84">
        <w:t xml:space="preserve"> </w:t>
      </w:r>
      <w:r>
        <w:t>2,</w:t>
      </w:r>
      <w:r w:rsidR="00A25E84">
        <w:t xml:space="preserve"> </w:t>
      </w:r>
      <w:r>
        <w:t>3 (calcium bromide)</w:t>
      </w:r>
    </w:p>
    <w:p w:rsidR="00BF559E" w:rsidRDefault="00A25E84" w:rsidP="009D080F">
      <w:pPr>
        <w:pStyle w:val="ListParagraph"/>
        <w:numPr>
          <w:ilvl w:val="1"/>
          <w:numId w:val="13"/>
        </w:numPr>
      </w:pPr>
      <w:r>
        <w:t>Plant McIntosh Unit 1 (</w:t>
      </w:r>
      <w:r w:rsidR="009D080F">
        <w:t xml:space="preserve">Powder River Basin coal and </w:t>
      </w:r>
      <w:r>
        <w:t xml:space="preserve">activated carbon injection and </w:t>
      </w:r>
      <w:r w:rsidR="00327CEE">
        <w:t>dry sorbent injection</w:t>
      </w:r>
      <w:r w:rsidR="003D62F0">
        <w:t>, pending test burn and further study</w:t>
      </w:r>
      <w:r w:rsidR="007E6844">
        <w:t>)</w:t>
      </w:r>
    </w:p>
    <w:p w:rsidR="009D080F" w:rsidRDefault="009D080F" w:rsidP="009D080F">
      <w:pPr>
        <w:pStyle w:val="ListParagraph"/>
        <w:numPr>
          <w:ilvl w:val="1"/>
          <w:numId w:val="13"/>
        </w:numPr>
      </w:pPr>
      <w:r w:rsidRPr="003022EA">
        <w:t xml:space="preserve">Plant </w:t>
      </w:r>
      <w:r>
        <w:t>Yates Units 6 and 7 (natural gas)</w:t>
      </w:r>
    </w:p>
    <w:p w:rsidR="009D080F" w:rsidRDefault="009D080F" w:rsidP="009D080F">
      <w:pPr>
        <w:pStyle w:val="ListParagraph"/>
        <w:numPr>
          <w:ilvl w:val="1"/>
          <w:numId w:val="13"/>
        </w:numPr>
      </w:pPr>
      <w:r>
        <w:t>Plant Gaston Units 1, 2, 3, and 4, representing Georgia Power’s share of SEGCO (natural gas)</w:t>
      </w:r>
    </w:p>
    <w:p w:rsidR="007B250B" w:rsidRDefault="007B250B" w:rsidP="002A0CD0">
      <w:pPr>
        <w:spacing w:after="0" w:line="240" w:lineRule="auto"/>
        <w:ind w:left="360"/>
        <w:rPr>
          <w:rFonts w:ascii="Times New Roman" w:hAnsi="Times New Roman"/>
          <w:sz w:val="24"/>
          <w:szCs w:val="24"/>
        </w:rPr>
      </w:pPr>
    </w:p>
    <w:p w:rsidR="007B250B" w:rsidRDefault="00FC67F9" w:rsidP="002A0CD0">
      <w:pPr>
        <w:numPr>
          <w:ilvl w:val="0"/>
          <w:numId w:val="8"/>
        </w:numPr>
        <w:spacing w:after="0" w:line="240" w:lineRule="auto"/>
        <w:rPr>
          <w:rFonts w:ascii="Times New Roman" w:hAnsi="Times New Roman"/>
          <w:color w:val="000000"/>
          <w:sz w:val="24"/>
          <w:szCs w:val="24"/>
        </w:rPr>
      </w:pPr>
      <w:r w:rsidRPr="00C016F7">
        <w:rPr>
          <w:rFonts w:ascii="Times New Roman" w:hAnsi="Times New Roman"/>
          <w:color w:val="000000"/>
          <w:sz w:val="24"/>
          <w:szCs w:val="24"/>
        </w:rPr>
        <w:t xml:space="preserve">These </w:t>
      </w:r>
      <w:r w:rsidR="00927AC8">
        <w:rPr>
          <w:rFonts w:ascii="Times New Roman" w:hAnsi="Times New Roman"/>
          <w:color w:val="000000"/>
          <w:sz w:val="24"/>
          <w:szCs w:val="24"/>
        </w:rPr>
        <w:t>Georgia Power</w:t>
      </w:r>
      <w:r w:rsidRPr="00C016F7">
        <w:rPr>
          <w:rFonts w:ascii="Times New Roman" w:hAnsi="Times New Roman"/>
          <w:color w:val="000000"/>
          <w:sz w:val="24"/>
          <w:szCs w:val="24"/>
        </w:rPr>
        <w:t xml:space="preserve"> emission controls and the associated expenditures are based on compliance requirements with rules including Phase II of the 1990 Clean Air Act Acid Rain program; </w:t>
      </w:r>
      <w:r w:rsidR="00814EC5">
        <w:rPr>
          <w:rFonts w:ascii="Times New Roman" w:hAnsi="Times New Roman"/>
          <w:color w:val="000000"/>
          <w:sz w:val="24"/>
          <w:szCs w:val="24"/>
        </w:rPr>
        <w:t>National Ambient Air Quality Standards, including</w:t>
      </w:r>
      <w:r w:rsidR="00814EC5" w:rsidRPr="00C016F7">
        <w:rPr>
          <w:rFonts w:ascii="Times New Roman" w:hAnsi="Times New Roman"/>
          <w:color w:val="000000"/>
          <w:sz w:val="24"/>
          <w:szCs w:val="24"/>
        </w:rPr>
        <w:t xml:space="preserve"> </w:t>
      </w:r>
      <w:r w:rsidRPr="00C016F7">
        <w:rPr>
          <w:rFonts w:ascii="Times New Roman" w:hAnsi="Times New Roman"/>
          <w:color w:val="000000"/>
          <w:sz w:val="24"/>
          <w:szCs w:val="24"/>
        </w:rPr>
        <w:t>the 1-hour and 8-hour ozone</w:t>
      </w:r>
      <w:r w:rsidR="00814EC5">
        <w:rPr>
          <w:rFonts w:ascii="Times New Roman" w:hAnsi="Times New Roman"/>
          <w:color w:val="000000"/>
          <w:sz w:val="24"/>
          <w:szCs w:val="24"/>
        </w:rPr>
        <w:t xml:space="preserve"> </w:t>
      </w:r>
      <w:r w:rsidR="00130AB0">
        <w:rPr>
          <w:rFonts w:ascii="Times New Roman" w:hAnsi="Times New Roman"/>
          <w:color w:val="000000"/>
          <w:sz w:val="24"/>
          <w:szCs w:val="24"/>
        </w:rPr>
        <w:t xml:space="preserve">standards </w:t>
      </w:r>
      <w:r w:rsidR="00814EC5">
        <w:rPr>
          <w:rFonts w:ascii="Times New Roman" w:hAnsi="Times New Roman"/>
          <w:color w:val="000000"/>
          <w:sz w:val="24"/>
          <w:szCs w:val="24"/>
        </w:rPr>
        <w:t>and</w:t>
      </w:r>
      <w:r w:rsidR="00F6353E">
        <w:rPr>
          <w:rFonts w:ascii="Times New Roman" w:hAnsi="Times New Roman"/>
          <w:color w:val="000000"/>
          <w:sz w:val="24"/>
          <w:szCs w:val="24"/>
        </w:rPr>
        <w:t xml:space="preserve"> </w:t>
      </w:r>
      <w:r w:rsidR="00B60486">
        <w:rPr>
          <w:rFonts w:ascii="Times New Roman" w:hAnsi="Times New Roman"/>
          <w:color w:val="000000"/>
          <w:sz w:val="24"/>
          <w:szCs w:val="24"/>
        </w:rPr>
        <w:t xml:space="preserve">the </w:t>
      </w:r>
      <w:r w:rsidR="00F6353E">
        <w:rPr>
          <w:rFonts w:ascii="Times New Roman" w:hAnsi="Times New Roman"/>
          <w:color w:val="000000"/>
          <w:sz w:val="24"/>
          <w:szCs w:val="24"/>
        </w:rPr>
        <w:t>fine particulate matter</w:t>
      </w:r>
      <w:r w:rsidR="00B60486">
        <w:rPr>
          <w:rFonts w:ascii="Times New Roman" w:hAnsi="Times New Roman"/>
          <w:color w:val="000000"/>
          <w:sz w:val="24"/>
          <w:szCs w:val="24"/>
        </w:rPr>
        <w:t xml:space="preserve"> standards</w:t>
      </w:r>
      <w:r w:rsidRPr="00C016F7">
        <w:rPr>
          <w:rFonts w:ascii="Times New Roman" w:hAnsi="Times New Roman"/>
          <w:color w:val="000000"/>
          <w:sz w:val="24"/>
          <w:szCs w:val="24"/>
        </w:rPr>
        <w:t xml:space="preserve">; the regional </w:t>
      </w:r>
      <w:r w:rsidR="00555788" w:rsidRPr="00555788">
        <w:rPr>
          <w:rFonts w:ascii="Times New Roman" w:hAnsi="Times New Roman"/>
          <w:color w:val="000000"/>
          <w:sz w:val="24"/>
          <w:szCs w:val="24"/>
        </w:rPr>
        <w:t>NO</w:t>
      </w:r>
      <w:r w:rsidR="00555788" w:rsidRPr="00555788">
        <w:rPr>
          <w:rFonts w:ascii="Times New Roman" w:hAnsi="Times New Roman"/>
          <w:color w:val="000000"/>
          <w:sz w:val="24"/>
          <w:szCs w:val="24"/>
          <w:vertAlign w:val="subscript"/>
        </w:rPr>
        <w:t>X</w:t>
      </w:r>
      <w:r w:rsidRPr="00C016F7">
        <w:rPr>
          <w:rFonts w:ascii="Times New Roman" w:hAnsi="Times New Roman"/>
          <w:color w:val="000000"/>
          <w:sz w:val="24"/>
          <w:szCs w:val="24"/>
        </w:rPr>
        <w:t xml:space="preserve"> trading program; the Clean Air Interstate Rule; the Clean Air Visibili</w:t>
      </w:r>
      <w:r w:rsidR="00555788" w:rsidRPr="00A60343">
        <w:rPr>
          <w:rFonts w:ascii="Times New Roman" w:hAnsi="Times New Roman"/>
          <w:color w:val="000000"/>
          <w:sz w:val="24"/>
          <w:szCs w:val="24"/>
        </w:rPr>
        <w:t>t</w:t>
      </w:r>
      <w:r w:rsidRPr="00C016F7">
        <w:rPr>
          <w:rFonts w:ascii="Times New Roman" w:hAnsi="Times New Roman"/>
          <w:color w:val="000000"/>
          <w:sz w:val="24"/>
          <w:szCs w:val="24"/>
        </w:rPr>
        <w:t>y Rule addressing both SO</w:t>
      </w:r>
      <w:r w:rsidRPr="00C016F7">
        <w:rPr>
          <w:rFonts w:ascii="Times New Roman" w:hAnsi="Times New Roman"/>
          <w:color w:val="000000"/>
          <w:sz w:val="24"/>
          <w:szCs w:val="24"/>
          <w:vertAlign w:val="subscript"/>
        </w:rPr>
        <w:t>2</w:t>
      </w:r>
      <w:r w:rsidRPr="00C016F7">
        <w:rPr>
          <w:rFonts w:ascii="Times New Roman" w:hAnsi="Times New Roman"/>
          <w:color w:val="000000"/>
          <w:sz w:val="24"/>
          <w:szCs w:val="24"/>
        </w:rPr>
        <w:t xml:space="preserve"> </w:t>
      </w:r>
      <w:r w:rsidR="00555788" w:rsidRPr="00A60343">
        <w:rPr>
          <w:rFonts w:ascii="Times New Roman" w:hAnsi="Times New Roman"/>
          <w:color w:val="000000"/>
          <w:sz w:val="24"/>
          <w:szCs w:val="24"/>
        </w:rPr>
        <w:t>a</w:t>
      </w:r>
      <w:r w:rsidRPr="00C016F7">
        <w:rPr>
          <w:rFonts w:ascii="Times New Roman" w:hAnsi="Times New Roman"/>
          <w:color w:val="000000"/>
          <w:sz w:val="24"/>
          <w:szCs w:val="24"/>
        </w:rPr>
        <w:t>nd NO</w:t>
      </w:r>
      <w:r w:rsidRPr="00C016F7">
        <w:rPr>
          <w:rFonts w:ascii="Times New Roman" w:hAnsi="Times New Roman"/>
          <w:color w:val="000000"/>
          <w:sz w:val="24"/>
          <w:szCs w:val="24"/>
          <w:vertAlign w:val="subscript"/>
        </w:rPr>
        <w:t>X</w:t>
      </w:r>
      <w:r w:rsidRPr="00C016F7">
        <w:rPr>
          <w:rFonts w:ascii="Times New Roman" w:hAnsi="Times New Roman"/>
          <w:color w:val="000000"/>
          <w:sz w:val="24"/>
          <w:szCs w:val="24"/>
        </w:rPr>
        <w:t xml:space="preserve"> reductions to improve air quality in the national parks</w:t>
      </w:r>
      <w:r w:rsidR="00F6353E">
        <w:rPr>
          <w:rFonts w:ascii="Times New Roman" w:hAnsi="Times New Roman"/>
          <w:color w:val="000000"/>
          <w:sz w:val="24"/>
          <w:szCs w:val="24"/>
        </w:rPr>
        <w:t>;</w:t>
      </w:r>
      <w:r w:rsidR="00A25E84">
        <w:rPr>
          <w:rFonts w:ascii="Times New Roman" w:hAnsi="Times New Roman"/>
          <w:color w:val="000000"/>
          <w:sz w:val="24"/>
          <w:szCs w:val="24"/>
        </w:rPr>
        <w:t xml:space="preserve"> the Georgia Multipollutant Rule and SO</w:t>
      </w:r>
      <w:r w:rsidR="00480F8A" w:rsidRPr="00480F8A">
        <w:rPr>
          <w:rFonts w:ascii="Times New Roman" w:hAnsi="Times New Roman"/>
          <w:color w:val="000000"/>
          <w:sz w:val="24"/>
          <w:szCs w:val="24"/>
          <w:vertAlign w:val="subscript"/>
        </w:rPr>
        <w:t>2</w:t>
      </w:r>
      <w:r w:rsidR="00A25E84">
        <w:rPr>
          <w:rFonts w:ascii="Times New Roman" w:hAnsi="Times New Roman"/>
          <w:color w:val="000000"/>
          <w:sz w:val="24"/>
          <w:szCs w:val="24"/>
        </w:rPr>
        <w:t xml:space="preserve"> Emissions Rule;</w:t>
      </w:r>
      <w:r w:rsidR="00F6353E">
        <w:rPr>
          <w:rFonts w:ascii="Times New Roman" w:hAnsi="Times New Roman"/>
          <w:color w:val="000000"/>
          <w:sz w:val="24"/>
          <w:szCs w:val="24"/>
        </w:rPr>
        <w:t xml:space="preserve"> and the Mercury Air Toxics Rule – addressing mercury and other hazardous air pollutants</w:t>
      </w:r>
      <w:r w:rsidRPr="00C016F7">
        <w:rPr>
          <w:rFonts w:ascii="Times New Roman" w:hAnsi="Times New Roman"/>
          <w:color w:val="000000"/>
          <w:sz w:val="24"/>
          <w:szCs w:val="24"/>
        </w:rPr>
        <w:t>.</w:t>
      </w:r>
    </w:p>
    <w:p w:rsidR="00562DEB" w:rsidRDefault="00562DEB">
      <w:pPr>
        <w:spacing w:after="0" w:line="240" w:lineRule="auto"/>
        <w:ind w:left="360"/>
        <w:rPr>
          <w:rFonts w:ascii="Times New Roman" w:hAnsi="Times New Roman"/>
          <w:sz w:val="24"/>
          <w:szCs w:val="24"/>
        </w:rPr>
      </w:pPr>
    </w:p>
    <w:p w:rsidR="00562DEB" w:rsidRDefault="00B937BF">
      <w:pPr>
        <w:numPr>
          <w:ilvl w:val="0"/>
          <w:numId w:val="8"/>
        </w:numPr>
        <w:spacing w:after="0" w:line="240" w:lineRule="auto"/>
        <w:rPr>
          <w:rFonts w:ascii="Times New Roman" w:hAnsi="Times New Roman"/>
          <w:sz w:val="24"/>
          <w:szCs w:val="24"/>
        </w:rPr>
      </w:pPr>
      <w:r>
        <w:rPr>
          <w:rFonts w:ascii="Times New Roman" w:hAnsi="Times New Roman"/>
          <w:sz w:val="24"/>
          <w:szCs w:val="24"/>
        </w:rPr>
        <w:t>In addition, after thorough evaluation of the</w:t>
      </w:r>
      <w:r w:rsidRPr="00B937BF">
        <w:t xml:space="preserve"> </w:t>
      </w:r>
      <w:r>
        <w:rPr>
          <w:rFonts w:ascii="Times New Roman" w:hAnsi="Times New Roman"/>
          <w:sz w:val="24"/>
          <w:szCs w:val="24"/>
        </w:rPr>
        <w:t>pr</w:t>
      </w:r>
      <w:r w:rsidRPr="00B937BF">
        <w:rPr>
          <w:rFonts w:ascii="Times New Roman" w:hAnsi="Times New Roman"/>
          <w:sz w:val="24"/>
          <w:szCs w:val="24"/>
        </w:rPr>
        <w:t xml:space="preserve">ojected MATS compliance costs combined with the anticipated cost of other </w:t>
      </w:r>
      <w:r w:rsidR="00857B90">
        <w:rPr>
          <w:rFonts w:ascii="Times New Roman" w:hAnsi="Times New Roman"/>
          <w:sz w:val="24"/>
          <w:szCs w:val="24"/>
        </w:rPr>
        <w:t xml:space="preserve">current and </w:t>
      </w:r>
      <w:r w:rsidRPr="00B937BF">
        <w:rPr>
          <w:rFonts w:ascii="Times New Roman" w:hAnsi="Times New Roman"/>
          <w:sz w:val="24"/>
          <w:szCs w:val="24"/>
        </w:rPr>
        <w:t>pending environmental regulations,</w:t>
      </w:r>
      <w:r>
        <w:rPr>
          <w:rFonts w:ascii="Times New Roman" w:hAnsi="Times New Roman"/>
          <w:sz w:val="24"/>
          <w:szCs w:val="24"/>
        </w:rPr>
        <w:t xml:space="preserve"> </w:t>
      </w:r>
      <w:r w:rsidRPr="00E01899">
        <w:rPr>
          <w:rFonts w:ascii="Times New Roman" w:hAnsi="Times New Roman"/>
          <w:sz w:val="24"/>
          <w:szCs w:val="24"/>
        </w:rPr>
        <w:t xml:space="preserve">Georgia Power has </w:t>
      </w:r>
      <w:r>
        <w:rPr>
          <w:rFonts w:ascii="Times New Roman" w:hAnsi="Times New Roman"/>
          <w:sz w:val="24"/>
          <w:szCs w:val="24"/>
        </w:rPr>
        <w:t>decided to retire rather than incur</w:t>
      </w:r>
      <w:r w:rsidR="004865FF">
        <w:rPr>
          <w:rFonts w:ascii="Times New Roman" w:hAnsi="Times New Roman"/>
          <w:sz w:val="24"/>
          <w:szCs w:val="24"/>
        </w:rPr>
        <w:t xml:space="preserve"> additional</w:t>
      </w:r>
      <w:r>
        <w:rPr>
          <w:rFonts w:ascii="Times New Roman" w:hAnsi="Times New Roman"/>
          <w:sz w:val="24"/>
          <w:szCs w:val="24"/>
        </w:rPr>
        <w:t xml:space="preserve"> environmental control </w:t>
      </w:r>
      <w:r w:rsidR="004865FF">
        <w:rPr>
          <w:rFonts w:ascii="Times New Roman" w:hAnsi="Times New Roman"/>
          <w:sz w:val="24"/>
          <w:szCs w:val="24"/>
        </w:rPr>
        <w:t xml:space="preserve">costs </w:t>
      </w:r>
      <w:r>
        <w:rPr>
          <w:rFonts w:ascii="Times New Roman" w:hAnsi="Times New Roman"/>
          <w:sz w:val="24"/>
          <w:szCs w:val="24"/>
        </w:rPr>
        <w:t>for the following units:</w:t>
      </w:r>
    </w:p>
    <w:p w:rsidR="00130AB0" w:rsidRDefault="00130AB0" w:rsidP="00130AB0">
      <w:pPr>
        <w:spacing w:after="0" w:line="240" w:lineRule="auto"/>
        <w:rPr>
          <w:rFonts w:ascii="Times New Roman" w:hAnsi="Times New Roman"/>
          <w:sz w:val="24"/>
          <w:szCs w:val="24"/>
        </w:rPr>
      </w:pPr>
    </w:p>
    <w:p w:rsidR="00B937BF" w:rsidRDefault="00B937BF" w:rsidP="00B937BF">
      <w:pPr>
        <w:pStyle w:val="ListParagraph"/>
        <w:numPr>
          <w:ilvl w:val="1"/>
          <w:numId w:val="8"/>
        </w:numPr>
      </w:pPr>
      <w:r w:rsidRPr="00B937BF">
        <w:t>Plant Branch</w:t>
      </w:r>
      <w:r>
        <w:t>,</w:t>
      </w:r>
      <w:r w:rsidRPr="00B937BF">
        <w:t xml:space="preserve"> Units 3 and 4</w:t>
      </w:r>
    </w:p>
    <w:p w:rsidR="007C2ECD" w:rsidRDefault="007C2ECD" w:rsidP="007C2ECD">
      <w:pPr>
        <w:pStyle w:val="ListParagraph"/>
        <w:numPr>
          <w:ilvl w:val="1"/>
          <w:numId w:val="8"/>
        </w:numPr>
      </w:pPr>
      <w:r w:rsidRPr="00B937BF">
        <w:t>Plant Kraft Units 1</w:t>
      </w:r>
      <w:r>
        <w:t xml:space="preserve">, 2, 3, and </w:t>
      </w:r>
      <w:r w:rsidRPr="00B937BF">
        <w:t>4</w:t>
      </w:r>
    </w:p>
    <w:p w:rsidR="00E377C9" w:rsidRDefault="00B937BF" w:rsidP="00E377C9">
      <w:pPr>
        <w:pStyle w:val="ListParagraph"/>
        <w:numPr>
          <w:ilvl w:val="1"/>
          <w:numId w:val="8"/>
        </w:numPr>
      </w:pPr>
      <w:r w:rsidRPr="00B937BF">
        <w:t>Plant McManus</w:t>
      </w:r>
      <w:r>
        <w:t>,</w:t>
      </w:r>
      <w:r w:rsidRPr="00B937BF">
        <w:t xml:space="preserve"> Units 1 and 2</w:t>
      </w:r>
    </w:p>
    <w:p w:rsidR="00562DEB" w:rsidRDefault="00B937BF" w:rsidP="00E377C9">
      <w:pPr>
        <w:pStyle w:val="ListParagraph"/>
        <w:numPr>
          <w:ilvl w:val="1"/>
          <w:numId w:val="8"/>
        </w:numPr>
      </w:pPr>
      <w:r w:rsidRPr="00B937BF">
        <w:t>Plant Yates Unit</w:t>
      </w:r>
      <w:r>
        <w:t>s</w:t>
      </w:r>
      <w:r w:rsidRPr="00B937BF">
        <w:t xml:space="preserve"> 1</w:t>
      </w:r>
      <w:r>
        <w:t xml:space="preserve">, 2, 3, 4, and </w:t>
      </w:r>
      <w:r w:rsidRPr="00B937BF">
        <w:t>5</w:t>
      </w:r>
    </w:p>
    <w:p w:rsidR="00E377C9" w:rsidRDefault="00E377C9" w:rsidP="00E377C9">
      <w:pPr>
        <w:spacing w:after="0" w:line="240" w:lineRule="auto"/>
        <w:rPr>
          <w:rFonts w:ascii="Times New Roman" w:hAnsi="Times New Roman"/>
          <w:sz w:val="24"/>
          <w:szCs w:val="24"/>
        </w:rPr>
      </w:pPr>
    </w:p>
    <w:p w:rsidR="00857B90" w:rsidRDefault="00857B90" w:rsidP="009D080F">
      <w:pPr>
        <w:numPr>
          <w:ilvl w:val="0"/>
          <w:numId w:val="8"/>
        </w:numPr>
        <w:spacing w:after="0" w:line="240" w:lineRule="auto"/>
        <w:rPr>
          <w:rFonts w:ascii="Times New Roman" w:hAnsi="Times New Roman"/>
          <w:sz w:val="24"/>
          <w:szCs w:val="24"/>
        </w:rPr>
      </w:pPr>
      <w:r>
        <w:rPr>
          <w:rFonts w:ascii="Times New Roman" w:hAnsi="Times New Roman"/>
          <w:sz w:val="24"/>
          <w:szCs w:val="24"/>
        </w:rPr>
        <w:t>Georgia Power has also prev</w:t>
      </w:r>
      <w:r w:rsidRPr="00E377C9">
        <w:rPr>
          <w:rFonts w:ascii="Times New Roman" w:hAnsi="Times New Roman"/>
          <w:sz w:val="24"/>
          <w:szCs w:val="24"/>
        </w:rPr>
        <w:t>i</w:t>
      </w:r>
      <w:r>
        <w:rPr>
          <w:rFonts w:ascii="Times New Roman" w:hAnsi="Times New Roman"/>
          <w:sz w:val="24"/>
          <w:szCs w:val="24"/>
        </w:rPr>
        <w:t>ously decided to retire the following units based on environmental control expenditures required by the Georgia Multipollutant Rule:</w:t>
      </w:r>
    </w:p>
    <w:p w:rsidR="00130AB0" w:rsidRDefault="00130AB0" w:rsidP="00130AB0">
      <w:pPr>
        <w:spacing w:after="0" w:line="240" w:lineRule="auto"/>
        <w:ind w:left="1080"/>
        <w:rPr>
          <w:rFonts w:ascii="Times New Roman" w:hAnsi="Times New Roman"/>
          <w:sz w:val="24"/>
          <w:szCs w:val="24"/>
        </w:rPr>
      </w:pPr>
    </w:p>
    <w:p w:rsidR="00562DEB" w:rsidRDefault="00857B90">
      <w:pPr>
        <w:numPr>
          <w:ilvl w:val="1"/>
          <w:numId w:val="8"/>
        </w:numPr>
        <w:spacing w:after="0" w:line="240" w:lineRule="auto"/>
        <w:rPr>
          <w:rFonts w:ascii="Times New Roman" w:hAnsi="Times New Roman"/>
          <w:sz w:val="24"/>
          <w:szCs w:val="24"/>
        </w:rPr>
      </w:pPr>
      <w:r>
        <w:rPr>
          <w:rFonts w:ascii="Times New Roman" w:hAnsi="Times New Roman"/>
          <w:sz w:val="24"/>
          <w:szCs w:val="24"/>
        </w:rPr>
        <w:t>Plant Branch, Units 1 and 2</w:t>
      </w:r>
    </w:p>
    <w:p w:rsidR="00562DEB" w:rsidRDefault="00562DEB">
      <w:pPr>
        <w:spacing w:after="0" w:line="240" w:lineRule="auto"/>
        <w:ind w:left="360"/>
        <w:rPr>
          <w:rFonts w:ascii="Times New Roman" w:hAnsi="Times New Roman"/>
          <w:sz w:val="24"/>
          <w:szCs w:val="24"/>
        </w:rPr>
      </w:pPr>
    </w:p>
    <w:p w:rsidR="009D080F" w:rsidRPr="00ED7E20" w:rsidRDefault="009D080F" w:rsidP="009D080F">
      <w:pPr>
        <w:numPr>
          <w:ilvl w:val="0"/>
          <w:numId w:val="8"/>
        </w:numPr>
        <w:spacing w:after="0" w:line="240" w:lineRule="auto"/>
        <w:rPr>
          <w:rFonts w:ascii="Times New Roman" w:hAnsi="Times New Roman"/>
          <w:sz w:val="24"/>
          <w:szCs w:val="24"/>
        </w:rPr>
      </w:pPr>
      <w:r w:rsidRPr="00ED7E20">
        <w:rPr>
          <w:rFonts w:ascii="Times New Roman" w:hAnsi="Times New Roman"/>
          <w:sz w:val="24"/>
          <w:szCs w:val="24"/>
        </w:rPr>
        <w:t>Between 1990 and 201</w:t>
      </w:r>
      <w:r>
        <w:rPr>
          <w:rFonts w:ascii="Times New Roman" w:hAnsi="Times New Roman"/>
          <w:sz w:val="24"/>
          <w:szCs w:val="24"/>
        </w:rPr>
        <w:t>1</w:t>
      </w:r>
      <w:r w:rsidRPr="00ED7E20">
        <w:rPr>
          <w:rFonts w:ascii="Times New Roman" w:hAnsi="Times New Roman"/>
          <w:sz w:val="24"/>
          <w:szCs w:val="24"/>
        </w:rPr>
        <w:t>, GPC investments have reduced NO</w:t>
      </w:r>
      <w:r w:rsidRPr="00ED7E20">
        <w:rPr>
          <w:rFonts w:ascii="Times New Roman" w:hAnsi="Times New Roman"/>
          <w:sz w:val="24"/>
          <w:szCs w:val="24"/>
          <w:vertAlign w:val="subscript"/>
        </w:rPr>
        <w:t>X</w:t>
      </w:r>
      <w:r w:rsidRPr="00ED7E20">
        <w:rPr>
          <w:rFonts w:ascii="Times New Roman" w:hAnsi="Times New Roman"/>
          <w:sz w:val="24"/>
          <w:szCs w:val="24"/>
        </w:rPr>
        <w:t xml:space="preserve"> and SO</w:t>
      </w:r>
      <w:r w:rsidRPr="00ED7E20">
        <w:rPr>
          <w:rFonts w:ascii="Times New Roman" w:hAnsi="Times New Roman"/>
          <w:sz w:val="24"/>
          <w:szCs w:val="24"/>
          <w:vertAlign w:val="subscript"/>
        </w:rPr>
        <w:t>2</w:t>
      </w:r>
      <w:r w:rsidRPr="00ED7E20">
        <w:rPr>
          <w:rFonts w:ascii="Times New Roman" w:hAnsi="Times New Roman"/>
          <w:sz w:val="24"/>
          <w:szCs w:val="24"/>
        </w:rPr>
        <w:t xml:space="preserve"> emissions by approximately </w:t>
      </w:r>
      <w:r w:rsidR="00F30D2D">
        <w:rPr>
          <w:rFonts w:ascii="Times New Roman" w:hAnsi="Times New Roman"/>
          <w:sz w:val="24"/>
          <w:szCs w:val="24"/>
        </w:rPr>
        <w:t>76 and 77</w:t>
      </w:r>
      <w:r w:rsidRPr="00ED7E20">
        <w:rPr>
          <w:rFonts w:ascii="Times New Roman" w:hAnsi="Times New Roman"/>
          <w:sz w:val="24"/>
          <w:szCs w:val="24"/>
        </w:rPr>
        <w:t xml:space="preserve"> percent</w:t>
      </w:r>
      <w:r w:rsidR="00F30D2D">
        <w:rPr>
          <w:rFonts w:ascii="Times New Roman" w:hAnsi="Times New Roman"/>
          <w:sz w:val="24"/>
          <w:szCs w:val="24"/>
        </w:rPr>
        <w:t>, respectively</w:t>
      </w:r>
      <w:r>
        <w:rPr>
          <w:rFonts w:ascii="Times New Roman" w:hAnsi="Times New Roman"/>
          <w:sz w:val="24"/>
          <w:szCs w:val="24"/>
        </w:rPr>
        <w:t xml:space="preserve"> (including Georgia Power’s share of SEGCO)</w:t>
      </w:r>
      <w:r w:rsidRPr="00ED7E20">
        <w:rPr>
          <w:rFonts w:ascii="Times New Roman" w:hAnsi="Times New Roman"/>
          <w:sz w:val="24"/>
          <w:szCs w:val="24"/>
        </w:rPr>
        <w:t>.</w:t>
      </w:r>
    </w:p>
    <w:p w:rsidR="009D080F" w:rsidRPr="00ED7E20" w:rsidRDefault="009D080F" w:rsidP="009D080F">
      <w:pPr>
        <w:spacing w:after="0" w:line="240" w:lineRule="auto"/>
        <w:rPr>
          <w:rFonts w:ascii="Times New Roman" w:hAnsi="Times New Roman"/>
          <w:sz w:val="16"/>
          <w:szCs w:val="16"/>
        </w:rPr>
      </w:pPr>
    </w:p>
    <w:p w:rsidR="007B250B" w:rsidRPr="007B250B" w:rsidRDefault="00FC67F9" w:rsidP="002A0CD0">
      <w:pPr>
        <w:numPr>
          <w:ilvl w:val="0"/>
          <w:numId w:val="8"/>
        </w:numPr>
        <w:spacing w:after="0" w:line="240" w:lineRule="auto"/>
        <w:rPr>
          <w:rFonts w:ascii="Times New Roman" w:hAnsi="Times New Roman"/>
          <w:color w:val="000000"/>
          <w:sz w:val="24"/>
          <w:szCs w:val="24"/>
        </w:rPr>
      </w:pPr>
      <w:r w:rsidRPr="007B250B">
        <w:rPr>
          <w:rFonts w:ascii="Times New Roman" w:hAnsi="Times New Roman"/>
          <w:color w:val="000000"/>
          <w:sz w:val="24"/>
          <w:szCs w:val="24"/>
        </w:rPr>
        <w:t xml:space="preserve">The combination of baghouses, SCRs, and scrubbers has reduced </w:t>
      </w:r>
      <w:r w:rsidR="00927AC8">
        <w:rPr>
          <w:rFonts w:ascii="Times New Roman" w:hAnsi="Times New Roman"/>
          <w:color w:val="000000"/>
          <w:sz w:val="24"/>
          <w:szCs w:val="24"/>
        </w:rPr>
        <w:t>Georgia Power’s</w:t>
      </w:r>
      <w:r w:rsidRPr="007B250B">
        <w:rPr>
          <w:rFonts w:ascii="Times New Roman" w:hAnsi="Times New Roman"/>
          <w:color w:val="000000"/>
          <w:sz w:val="24"/>
          <w:szCs w:val="24"/>
        </w:rPr>
        <w:t xml:space="preserve"> 201</w:t>
      </w:r>
      <w:r w:rsidR="00E32AD6" w:rsidRPr="007B250B">
        <w:rPr>
          <w:rFonts w:ascii="Times New Roman" w:hAnsi="Times New Roman"/>
          <w:color w:val="000000"/>
          <w:sz w:val="24"/>
          <w:szCs w:val="24"/>
        </w:rPr>
        <w:t>1</w:t>
      </w:r>
      <w:r w:rsidRPr="007B250B">
        <w:rPr>
          <w:rFonts w:ascii="Times New Roman" w:hAnsi="Times New Roman"/>
          <w:color w:val="000000"/>
          <w:sz w:val="24"/>
          <w:szCs w:val="24"/>
        </w:rPr>
        <w:t xml:space="preserve"> mercury emissions by </w:t>
      </w:r>
      <w:r w:rsidR="00832622">
        <w:rPr>
          <w:rFonts w:ascii="Times New Roman" w:hAnsi="Times New Roman"/>
          <w:sz w:val="24"/>
          <w:szCs w:val="24"/>
        </w:rPr>
        <w:t>approximately 56 percent</w:t>
      </w:r>
      <w:r w:rsidR="00927AC8">
        <w:rPr>
          <w:rFonts w:ascii="Times New Roman" w:hAnsi="Times New Roman"/>
          <w:sz w:val="24"/>
          <w:szCs w:val="24"/>
        </w:rPr>
        <w:t xml:space="preserve"> </w:t>
      </w:r>
      <w:r w:rsidR="00921E3A">
        <w:rPr>
          <w:rFonts w:ascii="Times New Roman" w:hAnsi="Times New Roman"/>
          <w:sz w:val="24"/>
          <w:szCs w:val="24"/>
        </w:rPr>
        <w:t xml:space="preserve">from 2005 levels </w:t>
      </w:r>
      <w:r w:rsidR="00927AC8">
        <w:rPr>
          <w:rFonts w:ascii="Times New Roman" w:hAnsi="Times New Roman"/>
          <w:sz w:val="24"/>
          <w:szCs w:val="24"/>
        </w:rPr>
        <w:t>(including Georgia Power’s share of SEGCO)</w:t>
      </w:r>
      <w:r w:rsidR="00832622">
        <w:rPr>
          <w:rFonts w:ascii="Times New Roman" w:hAnsi="Times New Roman"/>
          <w:sz w:val="24"/>
          <w:szCs w:val="24"/>
        </w:rPr>
        <w:t>.</w:t>
      </w:r>
    </w:p>
    <w:p w:rsidR="007B250B" w:rsidRDefault="007B250B" w:rsidP="00EA01D5">
      <w:pPr>
        <w:spacing w:after="80" w:line="240" w:lineRule="auto"/>
        <w:rPr>
          <w:rFonts w:ascii="Times New Roman" w:hAnsi="Times New Roman"/>
          <w:sz w:val="24"/>
          <w:szCs w:val="24"/>
        </w:rPr>
      </w:pPr>
    </w:p>
    <w:p w:rsidR="00FC67F9" w:rsidRDefault="00555788" w:rsidP="00EA01D5">
      <w:pPr>
        <w:spacing w:after="80" w:line="240" w:lineRule="auto"/>
        <w:rPr>
          <w:rFonts w:ascii="Times New Roman" w:hAnsi="Times New Roman"/>
          <w:sz w:val="24"/>
          <w:szCs w:val="24"/>
        </w:rPr>
      </w:pPr>
      <w:r w:rsidRPr="007B250B">
        <w:rPr>
          <w:rFonts w:ascii="Times New Roman" w:hAnsi="Times New Roman"/>
          <w:color w:val="000000"/>
          <w:sz w:val="24"/>
          <w:szCs w:val="24"/>
        </w:rPr>
        <w:t>The following graphic (F</w:t>
      </w:r>
      <w:r w:rsidRPr="00EA01D5">
        <w:rPr>
          <w:rFonts w:ascii="Times New Roman" w:hAnsi="Times New Roman"/>
          <w:color w:val="000000"/>
          <w:sz w:val="24"/>
          <w:szCs w:val="24"/>
        </w:rPr>
        <w:t>i</w:t>
      </w:r>
      <w:r w:rsidRPr="007B250B">
        <w:rPr>
          <w:rFonts w:ascii="Times New Roman" w:hAnsi="Times New Roman"/>
          <w:color w:val="000000"/>
          <w:sz w:val="24"/>
          <w:szCs w:val="24"/>
        </w:rPr>
        <w:t>g. 1-1)</w:t>
      </w:r>
      <w:r w:rsidRPr="007B250B">
        <w:rPr>
          <w:rFonts w:ascii="Times New Roman" w:hAnsi="Times New Roman"/>
          <w:color w:val="000000"/>
          <w:sz w:val="24"/>
          <w:szCs w:val="24"/>
          <w:vertAlign w:val="subscript"/>
        </w:rPr>
        <w:t xml:space="preserve"> </w:t>
      </w:r>
      <w:r w:rsidRPr="007B250B">
        <w:rPr>
          <w:rFonts w:ascii="Times New Roman" w:hAnsi="Times New Roman"/>
          <w:color w:val="000000"/>
          <w:sz w:val="24"/>
          <w:szCs w:val="24"/>
        </w:rPr>
        <w:t>summarizes historical and projected emission reductions, g</w:t>
      </w:r>
      <w:r w:rsidR="00FC67F9" w:rsidRPr="007B250B">
        <w:rPr>
          <w:rFonts w:ascii="Times New Roman" w:hAnsi="Times New Roman"/>
          <w:sz w:val="24"/>
          <w:szCs w:val="24"/>
        </w:rPr>
        <w:t>eneration increases and environmental capital costs</w:t>
      </w:r>
      <w:r w:rsidR="00B937BF">
        <w:rPr>
          <w:rFonts w:ascii="Times New Roman" w:hAnsi="Times New Roman"/>
          <w:sz w:val="24"/>
          <w:szCs w:val="24"/>
        </w:rPr>
        <w:t xml:space="preserve"> (including Georgia Power’s share of SEGCO)</w:t>
      </w:r>
      <w:r w:rsidR="00FC67F9" w:rsidRPr="007B250B">
        <w:rPr>
          <w:rFonts w:ascii="Times New Roman" w:hAnsi="Times New Roman"/>
          <w:sz w:val="24"/>
          <w:szCs w:val="24"/>
        </w:rPr>
        <w:t>.</w:t>
      </w:r>
    </w:p>
    <w:p w:rsidR="00D10D38" w:rsidRDefault="00D10D38" w:rsidP="00EA01D5">
      <w:pPr>
        <w:spacing w:after="80" w:line="240" w:lineRule="auto"/>
        <w:rPr>
          <w:rFonts w:ascii="Times New Roman" w:hAnsi="Times New Roman"/>
          <w:sz w:val="24"/>
          <w:szCs w:val="24"/>
        </w:rPr>
      </w:pPr>
    </w:p>
    <w:p w:rsidR="00D10D38" w:rsidRDefault="00D10D38" w:rsidP="00EA01D5">
      <w:pPr>
        <w:spacing w:after="80" w:line="240" w:lineRule="auto"/>
        <w:rPr>
          <w:rFonts w:ascii="Times New Roman" w:hAnsi="Times New Roman"/>
          <w:sz w:val="24"/>
          <w:szCs w:val="24"/>
        </w:rPr>
      </w:pPr>
      <w:r w:rsidRPr="00D10D38">
        <w:rPr>
          <w:noProof/>
          <w:szCs w:val="24"/>
        </w:rPr>
        <w:drawing>
          <wp:inline distT="0" distB="0" distL="0" distR="0">
            <wp:extent cx="5943600" cy="3012696"/>
            <wp:effectExtent l="19050" t="19050" r="19050" b="16254"/>
            <wp:docPr id="2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srcRect/>
                    <a:stretch>
                      <a:fillRect/>
                    </a:stretch>
                  </pic:blipFill>
                  <pic:spPr bwMode="auto">
                    <a:xfrm>
                      <a:off x="0" y="0"/>
                      <a:ext cx="5943600" cy="3012696"/>
                    </a:xfrm>
                    <a:prstGeom prst="rect">
                      <a:avLst/>
                    </a:prstGeom>
                    <a:noFill/>
                    <a:ln w="9525">
                      <a:solidFill>
                        <a:srgbClr val="000080"/>
                      </a:solidFill>
                      <a:miter lim="800000"/>
                      <a:headEnd/>
                      <a:tailEnd/>
                    </a:ln>
                  </pic:spPr>
                </pic:pic>
              </a:graphicData>
            </a:graphic>
          </wp:inline>
        </w:drawing>
      </w:r>
    </w:p>
    <w:p w:rsidR="007B250B" w:rsidRDefault="00FC67F9" w:rsidP="00D10D38">
      <w:pPr>
        <w:spacing w:after="80" w:line="240" w:lineRule="auto"/>
        <w:jc w:val="center"/>
        <w:rPr>
          <w:rFonts w:ascii="Times New Roman" w:hAnsi="Times New Roman"/>
          <w:b/>
          <w:bCs/>
          <w:sz w:val="20"/>
          <w:szCs w:val="20"/>
        </w:rPr>
      </w:pPr>
      <w:r w:rsidRPr="00ED7E20">
        <w:rPr>
          <w:rFonts w:ascii="Times New Roman" w:hAnsi="Times New Roman"/>
          <w:b/>
          <w:bCs/>
          <w:sz w:val="20"/>
          <w:szCs w:val="20"/>
        </w:rPr>
        <w:t>Figure 1</w:t>
      </w:r>
      <w:r w:rsidRPr="00ED7E20">
        <w:rPr>
          <w:rFonts w:ascii="Times New Roman" w:hAnsi="Times New Roman"/>
          <w:b/>
          <w:bCs/>
          <w:sz w:val="20"/>
          <w:szCs w:val="20"/>
        </w:rPr>
        <w:noBreakHyphen/>
      </w:r>
      <w:r w:rsidR="00C650CE" w:rsidRPr="00ED7E20">
        <w:rPr>
          <w:rFonts w:ascii="Times New Roman" w:hAnsi="Times New Roman"/>
          <w:b/>
          <w:bCs/>
          <w:sz w:val="20"/>
          <w:szCs w:val="20"/>
        </w:rPr>
        <w:fldChar w:fldCharType="begin"/>
      </w:r>
      <w:r w:rsidRPr="00ED7E20">
        <w:rPr>
          <w:rFonts w:ascii="Times New Roman" w:hAnsi="Times New Roman"/>
          <w:b/>
          <w:bCs/>
          <w:sz w:val="20"/>
          <w:szCs w:val="20"/>
        </w:rPr>
        <w:instrText xml:space="preserve"> SEQ Figure \* ARABIC \s 3 </w:instrText>
      </w:r>
      <w:r w:rsidR="00C650CE" w:rsidRPr="00ED7E20">
        <w:rPr>
          <w:rFonts w:ascii="Times New Roman" w:hAnsi="Times New Roman"/>
          <w:b/>
          <w:bCs/>
          <w:sz w:val="20"/>
          <w:szCs w:val="20"/>
        </w:rPr>
        <w:fldChar w:fldCharType="separate"/>
      </w:r>
      <w:r w:rsidR="00913813">
        <w:rPr>
          <w:rFonts w:ascii="Times New Roman" w:hAnsi="Times New Roman"/>
          <w:b/>
          <w:bCs/>
          <w:noProof/>
          <w:sz w:val="20"/>
          <w:szCs w:val="20"/>
        </w:rPr>
        <w:t>1</w:t>
      </w:r>
      <w:r w:rsidR="00C650CE" w:rsidRPr="00ED7E20">
        <w:rPr>
          <w:rFonts w:ascii="Times New Roman" w:hAnsi="Times New Roman"/>
          <w:b/>
          <w:bCs/>
          <w:sz w:val="20"/>
          <w:szCs w:val="20"/>
        </w:rPr>
        <w:fldChar w:fldCharType="end"/>
      </w:r>
      <w:r w:rsidRPr="00ED7E20">
        <w:rPr>
          <w:rFonts w:ascii="Times New Roman" w:hAnsi="Times New Roman"/>
          <w:b/>
          <w:bCs/>
          <w:sz w:val="20"/>
          <w:szCs w:val="20"/>
        </w:rPr>
        <w:t xml:space="preserve">  </w:t>
      </w:r>
      <w:r w:rsidR="00E87DFB">
        <w:rPr>
          <w:rFonts w:ascii="Times New Roman" w:hAnsi="Times New Roman"/>
          <w:b/>
          <w:bCs/>
          <w:sz w:val="20"/>
          <w:szCs w:val="20"/>
        </w:rPr>
        <w:t>Georgia Power</w:t>
      </w:r>
      <w:r w:rsidRPr="00ED7E20">
        <w:rPr>
          <w:rFonts w:ascii="Times New Roman" w:hAnsi="Times New Roman"/>
          <w:b/>
          <w:bCs/>
          <w:sz w:val="20"/>
          <w:szCs w:val="20"/>
        </w:rPr>
        <w:t xml:space="preserve"> Emissions and Environmental Capital Expenditures</w:t>
      </w:r>
    </w:p>
    <w:p w:rsidR="00FC67F9" w:rsidRPr="00ED7E20" w:rsidRDefault="00FC67F9" w:rsidP="002A0CD0">
      <w:pPr>
        <w:spacing w:after="0" w:line="240" w:lineRule="auto"/>
        <w:jc w:val="center"/>
        <w:rPr>
          <w:rFonts w:ascii="Times New Roman" w:hAnsi="Times New Roman"/>
          <w:b/>
          <w:bCs/>
          <w:sz w:val="20"/>
          <w:szCs w:val="20"/>
        </w:rPr>
      </w:pPr>
      <w:r w:rsidRPr="00ED7E20">
        <w:rPr>
          <w:rFonts w:ascii="Times New Roman" w:hAnsi="Times New Roman"/>
          <w:b/>
          <w:bCs/>
          <w:sz w:val="20"/>
          <w:szCs w:val="20"/>
        </w:rPr>
        <w:t>(Emission Estimates are based on 201</w:t>
      </w:r>
      <w:r w:rsidR="006D33C2">
        <w:rPr>
          <w:rFonts w:ascii="Times New Roman" w:hAnsi="Times New Roman"/>
          <w:b/>
          <w:bCs/>
          <w:sz w:val="20"/>
          <w:szCs w:val="20"/>
        </w:rPr>
        <w:t>3</w:t>
      </w:r>
      <w:r w:rsidRPr="00ED7E20">
        <w:rPr>
          <w:rFonts w:ascii="Times New Roman" w:hAnsi="Times New Roman"/>
          <w:b/>
          <w:bCs/>
          <w:sz w:val="20"/>
          <w:szCs w:val="20"/>
        </w:rPr>
        <w:t xml:space="preserve"> Energy Budget Projections)</w:t>
      </w:r>
    </w:p>
    <w:p w:rsidR="00FC67F9" w:rsidRPr="00ED7E20" w:rsidRDefault="00FC67F9" w:rsidP="002A0CD0">
      <w:pPr>
        <w:autoSpaceDE w:val="0"/>
        <w:autoSpaceDN w:val="0"/>
        <w:adjustRightInd w:val="0"/>
        <w:spacing w:after="0" w:line="240" w:lineRule="auto"/>
        <w:jc w:val="center"/>
        <w:rPr>
          <w:rFonts w:ascii="Times New Roman" w:hAnsi="Times New Roman"/>
          <w:sz w:val="24"/>
          <w:szCs w:val="24"/>
        </w:rPr>
      </w:pPr>
      <w:r w:rsidRPr="00ED7E20">
        <w:rPr>
          <w:rFonts w:ascii="Times New Roman" w:hAnsi="Times New Roman"/>
          <w:sz w:val="20"/>
          <w:szCs w:val="24"/>
        </w:rPr>
        <w:t>*For mercury, the percent change is from 2005, when CAMR was finalized.</w:t>
      </w:r>
    </w:p>
    <w:p w:rsidR="007B250B" w:rsidRDefault="007B250B" w:rsidP="002A0CD0">
      <w:pPr>
        <w:spacing w:after="0" w:line="240" w:lineRule="auto"/>
        <w:ind w:left="360"/>
        <w:rPr>
          <w:rFonts w:ascii="Times New Roman" w:hAnsi="Times New Roman"/>
          <w:color w:val="000000"/>
          <w:sz w:val="24"/>
          <w:szCs w:val="24"/>
        </w:rPr>
      </w:pPr>
    </w:p>
    <w:p w:rsidR="00FC67F9" w:rsidRPr="00ED7E20" w:rsidRDefault="00927AC8" w:rsidP="002A0CD0">
      <w:pPr>
        <w:numPr>
          <w:ilvl w:val="0"/>
          <w:numId w:val="8"/>
        </w:numPr>
        <w:spacing w:after="0" w:line="240" w:lineRule="auto"/>
        <w:rPr>
          <w:rFonts w:ascii="Times New Roman" w:hAnsi="Times New Roman"/>
          <w:color w:val="000000"/>
          <w:sz w:val="24"/>
          <w:szCs w:val="24"/>
        </w:rPr>
      </w:pPr>
      <w:r>
        <w:rPr>
          <w:rFonts w:ascii="Times New Roman" w:hAnsi="Times New Roman"/>
          <w:color w:val="000000"/>
          <w:sz w:val="24"/>
          <w:szCs w:val="24"/>
        </w:rPr>
        <w:t xml:space="preserve">Georgia Power and </w:t>
      </w:r>
      <w:r w:rsidR="00FC67F9" w:rsidRPr="00ED7E20">
        <w:rPr>
          <w:rFonts w:ascii="Times New Roman" w:hAnsi="Times New Roman"/>
          <w:color w:val="000000"/>
          <w:sz w:val="24"/>
          <w:szCs w:val="24"/>
        </w:rPr>
        <w:t>Southern Company ha</w:t>
      </w:r>
      <w:r>
        <w:rPr>
          <w:rFonts w:ascii="Times New Roman" w:hAnsi="Times New Roman"/>
          <w:color w:val="000000"/>
          <w:sz w:val="24"/>
          <w:szCs w:val="24"/>
        </w:rPr>
        <w:t>ve</w:t>
      </w:r>
      <w:r w:rsidR="00FC67F9" w:rsidRPr="00ED7E20">
        <w:rPr>
          <w:rFonts w:ascii="Times New Roman" w:hAnsi="Times New Roman"/>
          <w:color w:val="000000"/>
          <w:sz w:val="24"/>
          <w:szCs w:val="24"/>
        </w:rPr>
        <w:t xml:space="preserve"> established a significant record of voluntary </w:t>
      </w:r>
      <w:r w:rsidR="00702899">
        <w:rPr>
          <w:rFonts w:ascii="Times New Roman" w:hAnsi="Times New Roman"/>
          <w:color w:val="000000"/>
          <w:sz w:val="24"/>
          <w:szCs w:val="24"/>
        </w:rPr>
        <w:t>greenhouse gas (GHG) emissions</w:t>
      </w:r>
      <w:r w:rsidR="00FC67F9" w:rsidRPr="00ED7E20">
        <w:rPr>
          <w:rFonts w:ascii="Times New Roman" w:hAnsi="Times New Roman"/>
          <w:color w:val="000000"/>
          <w:sz w:val="24"/>
          <w:szCs w:val="24"/>
        </w:rPr>
        <w:t xml:space="preserve"> reductions, beginning in the mid-1990s.  Southern Company was a charter participant in the Department of Energy (DOE) Climate Challenge Program. Since the DOE program ended in 2005, Southern Company has continued with its voluntary </w:t>
      </w:r>
      <w:r w:rsidR="00702899">
        <w:rPr>
          <w:rFonts w:ascii="Times New Roman" w:hAnsi="Times New Roman"/>
          <w:color w:val="000000"/>
          <w:sz w:val="24"/>
          <w:szCs w:val="24"/>
        </w:rPr>
        <w:t>emission</w:t>
      </w:r>
      <w:r w:rsidR="00FC67F9" w:rsidRPr="00ED7E20">
        <w:rPr>
          <w:rFonts w:ascii="Times New Roman" w:hAnsi="Times New Roman"/>
          <w:color w:val="000000"/>
          <w:sz w:val="24"/>
          <w:szCs w:val="24"/>
        </w:rPr>
        <w:t xml:space="preserve"> reduction programs and has reduced or avoided </w:t>
      </w:r>
      <w:r w:rsidR="00702899">
        <w:rPr>
          <w:rFonts w:ascii="Times New Roman" w:hAnsi="Times New Roman"/>
          <w:color w:val="000000"/>
          <w:sz w:val="24"/>
          <w:szCs w:val="24"/>
        </w:rPr>
        <w:t>311</w:t>
      </w:r>
      <w:r w:rsidR="00FC67F9" w:rsidRPr="00ED7E20">
        <w:rPr>
          <w:rFonts w:ascii="Times New Roman" w:hAnsi="Times New Roman"/>
          <w:color w:val="000000"/>
          <w:sz w:val="24"/>
          <w:szCs w:val="24"/>
        </w:rPr>
        <w:t xml:space="preserve"> million metric tons of CO</w:t>
      </w:r>
      <w:r w:rsidR="00FC67F9" w:rsidRPr="00ED7E20">
        <w:rPr>
          <w:rFonts w:ascii="Times New Roman" w:hAnsi="Times New Roman"/>
          <w:color w:val="000000"/>
          <w:sz w:val="24"/>
          <w:szCs w:val="24"/>
          <w:vertAlign w:val="subscript"/>
        </w:rPr>
        <w:t>2</w:t>
      </w:r>
      <w:r w:rsidR="00FC67F9" w:rsidRPr="00ED7E20">
        <w:rPr>
          <w:rFonts w:ascii="Times New Roman" w:hAnsi="Times New Roman"/>
          <w:color w:val="000000"/>
          <w:sz w:val="24"/>
          <w:szCs w:val="24"/>
        </w:rPr>
        <w:t xml:space="preserve"> through 201</w:t>
      </w:r>
      <w:r w:rsidR="00702899">
        <w:rPr>
          <w:rFonts w:ascii="Times New Roman" w:hAnsi="Times New Roman"/>
          <w:color w:val="000000"/>
          <w:sz w:val="24"/>
          <w:szCs w:val="24"/>
        </w:rPr>
        <w:t>1</w:t>
      </w:r>
      <w:r w:rsidR="00FC67F9" w:rsidRPr="00ED7E20">
        <w:rPr>
          <w:rFonts w:ascii="Times New Roman" w:hAnsi="Times New Roman"/>
          <w:color w:val="000000"/>
          <w:sz w:val="24"/>
          <w:szCs w:val="24"/>
        </w:rPr>
        <w:t>.  The company has achieved significant improvements in nuclear availability and generation, developed an extensive demand-side management program, increased natural gas generation, and reduced SF</w:t>
      </w:r>
      <w:r w:rsidR="00FC67F9" w:rsidRPr="00ED7E20">
        <w:rPr>
          <w:rFonts w:ascii="Times New Roman" w:hAnsi="Times New Roman"/>
          <w:color w:val="000000"/>
          <w:sz w:val="24"/>
          <w:szCs w:val="24"/>
          <w:vertAlign w:val="subscript"/>
        </w:rPr>
        <w:t>6</w:t>
      </w:r>
      <w:r w:rsidR="00FC67F9" w:rsidRPr="00ED7E20">
        <w:rPr>
          <w:rFonts w:ascii="Times New Roman" w:hAnsi="Times New Roman"/>
          <w:color w:val="000000"/>
          <w:sz w:val="24"/>
          <w:szCs w:val="24"/>
        </w:rPr>
        <w:t xml:space="preserve"> emissions by approximately 85 percent </w:t>
      </w:r>
      <w:r w:rsidR="00702899">
        <w:rPr>
          <w:rFonts w:ascii="Times New Roman" w:hAnsi="Times New Roman"/>
          <w:color w:val="000000"/>
          <w:sz w:val="24"/>
          <w:szCs w:val="24"/>
        </w:rPr>
        <w:t>in recent years.</w:t>
      </w:r>
    </w:p>
    <w:p w:rsidR="00FC67F9" w:rsidRPr="00ED7E20" w:rsidRDefault="00FC67F9" w:rsidP="002A0CD0">
      <w:pPr>
        <w:autoSpaceDE w:val="0"/>
        <w:autoSpaceDN w:val="0"/>
        <w:adjustRightInd w:val="0"/>
        <w:spacing w:after="0" w:line="240" w:lineRule="auto"/>
        <w:ind w:firstLine="720"/>
        <w:rPr>
          <w:rFonts w:ascii="Times New Roman" w:hAnsi="Times New Roman"/>
          <w:color w:val="000000"/>
          <w:sz w:val="24"/>
          <w:szCs w:val="24"/>
        </w:rPr>
      </w:pPr>
    </w:p>
    <w:p w:rsidR="00FC67F9" w:rsidRPr="00ED7E20" w:rsidRDefault="000E0EC9" w:rsidP="002A0CD0">
      <w:pPr>
        <w:numPr>
          <w:ilvl w:val="0"/>
          <w:numId w:val="21"/>
        </w:numPr>
        <w:tabs>
          <w:tab w:val="num" w:pos="360"/>
        </w:tabs>
        <w:autoSpaceDE w:val="0"/>
        <w:autoSpaceDN w:val="0"/>
        <w:adjustRightInd w:val="0"/>
        <w:spacing w:after="0" w:line="240" w:lineRule="auto"/>
        <w:ind w:left="360"/>
        <w:rPr>
          <w:rFonts w:ascii="Times New Roman" w:hAnsi="Times New Roman"/>
          <w:color w:val="000000"/>
          <w:sz w:val="24"/>
          <w:szCs w:val="24"/>
        </w:rPr>
      </w:pPr>
      <w:r w:rsidRPr="00ED7E20">
        <w:rPr>
          <w:rFonts w:ascii="Times New Roman" w:hAnsi="Times New Roman"/>
          <w:color w:val="000000"/>
          <w:sz w:val="24"/>
          <w:szCs w:val="24"/>
        </w:rPr>
        <w:t xml:space="preserve">Georgia Power’s </w:t>
      </w:r>
      <w:proofErr w:type="gramStart"/>
      <w:r w:rsidRPr="00ED7E20">
        <w:rPr>
          <w:rFonts w:ascii="Times New Roman" w:hAnsi="Times New Roman"/>
          <w:color w:val="000000"/>
          <w:sz w:val="24"/>
          <w:szCs w:val="24"/>
        </w:rPr>
        <w:t>development of two ne</w:t>
      </w:r>
      <w:r>
        <w:rPr>
          <w:rFonts w:ascii="Times New Roman" w:hAnsi="Times New Roman"/>
          <w:color w:val="000000"/>
          <w:sz w:val="24"/>
          <w:szCs w:val="24"/>
        </w:rPr>
        <w:t xml:space="preserve">w nuclear units at Plant Vogtle as well as </w:t>
      </w:r>
      <w:r w:rsidR="00FC67F9" w:rsidRPr="00ED7E20">
        <w:rPr>
          <w:rFonts w:ascii="Times New Roman" w:hAnsi="Times New Roman"/>
          <w:color w:val="000000"/>
          <w:sz w:val="24"/>
          <w:szCs w:val="24"/>
        </w:rPr>
        <w:t>Southern Company</w:t>
      </w:r>
      <w:r>
        <w:rPr>
          <w:rFonts w:ascii="Times New Roman" w:hAnsi="Times New Roman"/>
          <w:color w:val="000000"/>
          <w:sz w:val="24"/>
          <w:szCs w:val="24"/>
        </w:rPr>
        <w:t>’s</w:t>
      </w:r>
      <w:r w:rsidR="00FC67F9" w:rsidRPr="00ED7E20">
        <w:rPr>
          <w:rFonts w:ascii="Times New Roman" w:hAnsi="Times New Roman"/>
          <w:color w:val="000000"/>
          <w:sz w:val="24"/>
          <w:szCs w:val="24"/>
        </w:rPr>
        <w:t xml:space="preserve"> focus on developing advanced coal technology </w:t>
      </w:r>
      <w:r>
        <w:rPr>
          <w:rFonts w:ascii="Times New Roman" w:hAnsi="Times New Roman"/>
          <w:color w:val="000000"/>
          <w:sz w:val="24"/>
          <w:szCs w:val="24"/>
        </w:rPr>
        <w:t>are</w:t>
      </w:r>
      <w:proofErr w:type="gramEnd"/>
      <w:r>
        <w:rPr>
          <w:rFonts w:ascii="Times New Roman" w:hAnsi="Times New Roman"/>
          <w:color w:val="000000"/>
          <w:sz w:val="24"/>
          <w:szCs w:val="24"/>
        </w:rPr>
        <w:t xml:space="preserve"> important to preserving diverse fuel options in the long-term environmental compliance strategy.</w:t>
      </w:r>
      <w:r w:rsidR="00FC67F9" w:rsidRPr="00ED7E20">
        <w:rPr>
          <w:rFonts w:ascii="Times New Roman" w:hAnsi="Times New Roman"/>
          <w:color w:val="000000"/>
          <w:sz w:val="24"/>
          <w:szCs w:val="24"/>
        </w:rPr>
        <w:t xml:space="preserve"> </w:t>
      </w:r>
    </w:p>
    <w:p w:rsidR="00FC67F9" w:rsidRPr="00ED7E20" w:rsidRDefault="00FC67F9" w:rsidP="002A0CD0">
      <w:pPr>
        <w:autoSpaceDE w:val="0"/>
        <w:autoSpaceDN w:val="0"/>
        <w:adjustRightInd w:val="0"/>
        <w:spacing w:after="0" w:line="240" w:lineRule="auto"/>
        <w:ind w:left="720"/>
        <w:rPr>
          <w:rFonts w:ascii="Times New Roman" w:hAnsi="Times New Roman"/>
          <w:color w:val="000000"/>
          <w:sz w:val="24"/>
          <w:szCs w:val="24"/>
        </w:rPr>
      </w:pPr>
    </w:p>
    <w:p w:rsidR="00FC67F9" w:rsidRPr="00F26117" w:rsidRDefault="005B4484" w:rsidP="00673B12">
      <w:pPr>
        <w:numPr>
          <w:ilvl w:val="0"/>
          <w:numId w:val="21"/>
        </w:numPr>
        <w:tabs>
          <w:tab w:val="num" w:pos="360"/>
        </w:tabs>
        <w:autoSpaceDE w:val="0"/>
        <w:autoSpaceDN w:val="0"/>
        <w:adjustRightInd w:val="0"/>
        <w:spacing w:after="0" w:line="240" w:lineRule="auto"/>
        <w:ind w:left="360"/>
        <w:rPr>
          <w:rFonts w:ascii="Times New Roman" w:hAnsi="Times New Roman"/>
          <w:color w:val="000000"/>
          <w:sz w:val="24"/>
          <w:szCs w:val="24"/>
        </w:rPr>
      </w:pPr>
      <w:r w:rsidRPr="005B4484">
        <w:rPr>
          <w:rFonts w:ascii="Times New Roman" w:hAnsi="Times New Roman"/>
          <w:color w:val="000000"/>
          <w:sz w:val="24"/>
          <w:szCs w:val="24"/>
        </w:rPr>
        <w:t xml:space="preserve">Georgia Power has diligently and resourcefully pursued cost-effective opportunities to cultivate renewable generation in Georgia in a responsible manner.  As a result of the collaborative efforts of Georgia Power, the </w:t>
      </w:r>
      <w:r>
        <w:rPr>
          <w:rFonts w:ascii="Times New Roman" w:hAnsi="Times New Roman"/>
          <w:color w:val="000000"/>
          <w:sz w:val="24"/>
          <w:szCs w:val="24"/>
        </w:rPr>
        <w:t xml:space="preserve">Georgia Public Service </w:t>
      </w:r>
      <w:r w:rsidRPr="005B4484">
        <w:rPr>
          <w:rFonts w:ascii="Times New Roman" w:hAnsi="Times New Roman"/>
          <w:color w:val="000000"/>
          <w:sz w:val="24"/>
          <w:szCs w:val="24"/>
        </w:rPr>
        <w:t xml:space="preserve">Commission </w:t>
      </w:r>
      <w:r>
        <w:rPr>
          <w:rFonts w:ascii="Times New Roman" w:hAnsi="Times New Roman"/>
          <w:color w:val="000000"/>
          <w:sz w:val="24"/>
          <w:szCs w:val="24"/>
        </w:rPr>
        <w:t xml:space="preserve">(PSC) </w:t>
      </w:r>
      <w:r w:rsidRPr="005B4484">
        <w:rPr>
          <w:rFonts w:ascii="Times New Roman" w:hAnsi="Times New Roman"/>
          <w:color w:val="000000"/>
          <w:sz w:val="24"/>
          <w:szCs w:val="24"/>
        </w:rPr>
        <w:t xml:space="preserve">and the renewable energy community, there are currently 11.6 MW of solar generation serving customers (with another 50 MW under contract to begin delivering in the future), 142 MW of biomass generation including landfill methane gas, and 1,088 MW of hydro generation.  Combined, these resources provide enough electricity to power more than 257,000 homes.  </w:t>
      </w:r>
    </w:p>
    <w:p w:rsidR="00FC67F9" w:rsidRPr="00ED7E20" w:rsidRDefault="00FC67F9" w:rsidP="002A0CD0">
      <w:pPr>
        <w:autoSpaceDE w:val="0"/>
        <w:autoSpaceDN w:val="0"/>
        <w:adjustRightInd w:val="0"/>
        <w:spacing w:after="0" w:line="240" w:lineRule="auto"/>
        <w:ind w:left="360"/>
        <w:rPr>
          <w:rFonts w:ascii="Times New Roman" w:hAnsi="Times New Roman"/>
          <w:color w:val="000000"/>
          <w:sz w:val="24"/>
          <w:szCs w:val="24"/>
        </w:rPr>
      </w:pPr>
    </w:p>
    <w:p w:rsidR="00FC67F9" w:rsidRDefault="00FC67F9" w:rsidP="002A0CD0">
      <w:pPr>
        <w:spacing w:after="0" w:line="240" w:lineRule="auto"/>
        <w:rPr>
          <w:rFonts w:ascii="Times New Roman" w:hAnsi="Times New Roman"/>
          <w:color w:val="000000"/>
          <w:sz w:val="24"/>
          <w:szCs w:val="24"/>
        </w:rPr>
      </w:pPr>
      <w:r w:rsidRPr="00ED7E20">
        <w:rPr>
          <w:rFonts w:ascii="Times New Roman" w:hAnsi="Times New Roman"/>
          <w:color w:val="000000"/>
          <w:sz w:val="24"/>
          <w:szCs w:val="24"/>
        </w:rPr>
        <w:t>The following graphics show Georgia Power’s historical and projected emissions for SO</w:t>
      </w:r>
      <w:r w:rsidRPr="00ED7E20">
        <w:rPr>
          <w:rFonts w:ascii="Times New Roman" w:hAnsi="Times New Roman"/>
          <w:color w:val="000000"/>
          <w:sz w:val="24"/>
          <w:szCs w:val="24"/>
          <w:vertAlign w:val="subscript"/>
        </w:rPr>
        <w:t xml:space="preserve">2 </w:t>
      </w:r>
      <w:r w:rsidRPr="00ED7E20">
        <w:rPr>
          <w:rFonts w:ascii="Times New Roman" w:hAnsi="Times New Roman"/>
          <w:color w:val="000000"/>
          <w:sz w:val="24"/>
          <w:szCs w:val="24"/>
        </w:rPr>
        <w:t>(Fig. 1-2), NO</w:t>
      </w:r>
      <w:r w:rsidRPr="00ED7E20">
        <w:rPr>
          <w:rFonts w:ascii="Times New Roman" w:hAnsi="Times New Roman"/>
          <w:color w:val="000000"/>
          <w:sz w:val="24"/>
          <w:szCs w:val="24"/>
          <w:vertAlign w:val="subscript"/>
        </w:rPr>
        <w:t>X</w:t>
      </w:r>
      <w:r w:rsidRPr="00ED7E20">
        <w:rPr>
          <w:rFonts w:ascii="Times New Roman" w:hAnsi="Times New Roman"/>
          <w:color w:val="000000"/>
          <w:sz w:val="24"/>
          <w:szCs w:val="24"/>
        </w:rPr>
        <w:t xml:space="preserve"> (Fig. 1-3), mercury (Fig. 1-4), and carbon dioxide (Fig. 1-5)</w:t>
      </w:r>
      <w:r w:rsidR="000E0EC9">
        <w:rPr>
          <w:rFonts w:ascii="Times New Roman" w:hAnsi="Times New Roman"/>
          <w:color w:val="000000"/>
          <w:sz w:val="24"/>
          <w:szCs w:val="24"/>
        </w:rPr>
        <w:t>, including Georgia Power’s share of SEGCO</w:t>
      </w:r>
      <w:r w:rsidRPr="00ED7E20">
        <w:rPr>
          <w:rFonts w:ascii="Times New Roman" w:hAnsi="Times New Roman"/>
          <w:color w:val="000000"/>
          <w:sz w:val="24"/>
          <w:szCs w:val="24"/>
        </w:rPr>
        <w:t xml:space="preserve">.  </w:t>
      </w:r>
      <w:r w:rsidR="007F087A">
        <w:rPr>
          <w:rFonts w:ascii="Times New Roman" w:hAnsi="Times New Roman"/>
          <w:color w:val="000000"/>
          <w:sz w:val="24"/>
          <w:szCs w:val="24"/>
        </w:rPr>
        <w:t>The historical emissions for SO</w:t>
      </w:r>
      <w:r w:rsidR="007F087A" w:rsidRPr="007F087A">
        <w:rPr>
          <w:rFonts w:ascii="Times New Roman" w:hAnsi="Times New Roman"/>
          <w:color w:val="000000"/>
          <w:sz w:val="24"/>
          <w:szCs w:val="24"/>
          <w:vertAlign w:val="subscript"/>
        </w:rPr>
        <w:t>2</w:t>
      </w:r>
      <w:r w:rsidR="007F087A">
        <w:rPr>
          <w:rFonts w:ascii="Times New Roman" w:hAnsi="Times New Roman"/>
          <w:color w:val="000000"/>
          <w:sz w:val="24"/>
          <w:szCs w:val="24"/>
        </w:rPr>
        <w:t>, NO</w:t>
      </w:r>
      <w:r w:rsidR="007F087A" w:rsidRPr="007F087A">
        <w:rPr>
          <w:rFonts w:ascii="Times New Roman" w:hAnsi="Times New Roman"/>
          <w:color w:val="000000"/>
          <w:sz w:val="24"/>
          <w:szCs w:val="24"/>
          <w:vertAlign w:val="subscript"/>
        </w:rPr>
        <w:t>x</w:t>
      </w:r>
      <w:r w:rsidR="007F087A">
        <w:rPr>
          <w:rFonts w:ascii="Times New Roman" w:hAnsi="Times New Roman"/>
          <w:color w:val="000000"/>
          <w:sz w:val="24"/>
          <w:szCs w:val="24"/>
        </w:rPr>
        <w:t>, and carbon dioxide are shown back to 1990, while mercury emissions are shown back to 1998.</w:t>
      </w:r>
      <w:r w:rsidRPr="00ED7E20">
        <w:rPr>
          <w:rFonts w:ascii="Times New Roman" w:hAnsi="Times New Roman"/>
          <w:color w:val="000000"/>
          <w:sz w:val="24"/>
          <w:szCs w:val="24"/>
        </w:rPr>
        <w:t xml:space="preserve">  </w:t>
      </w:r>
    </w:p>
    <w:p w:rsidR="00D10D38" w:rsidRDefault="00D10D38" w:rsidP="002A0CD0">
      <w:pPr>
        <w:spacing w:after="0" w:line="240" w:lineRule="auto"/>
        <w:rPr>
          <w:rFonts w:ascii="Times New Roman" w:hAnsi="Times New Roman"/>
          <w:color w:val="000000"/>
          <w:sz w:val="24"/>
          <w:szCs w:val="24"/>
        </w:rPr>
      </w:pPr>
    </w:p>
    <w:p w:rsidR="00D10D38" w:rsidRDefault="00D10D38" w:rsidP="002A0CD0">
      <w:pPr>
        <w:spacing w:after="0" w:line="240" w:lineRule="auto"/>
        <w:rPr>
          <w:rFonts w:ascii="Times New Roman" w:hAnsi="Times New Roman"/>
          <w:color w:val="000000"/>
          <w:sz w:val="24"/>
          <w:szCs w:val="24"/>
        </w:rPr>
      </w:pPr>
      <w:r w:rsidRPr="00D10D38">
        <w:rPr>
          <w:noProof/>
          <w:szCs w:val="24"/>
        </w:rPr>
        <w:drawing>
          <wp:inline distT="0" distB="0" distL="0" distR="0">
            <wp:extent cx="5970982" cy="3666744"/>
            <wp:effectExtent l="19050" t="19050" r="10718" b="9906"/>
            <wp:docPr id="2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a:stretch>
                      <a:fillRect/>
                    </a:stretch>
                  </pic:blipFill>
                  <pic:spPr bwMode="auto">
                    <a:xfrm>
                      <a:off x="0" y="0"/>
                      <a:ext cx="5970982" cy="3666744"/>
                    </a:xfrm>
                    <a:prstGeom prst="rect">
                      <a:avLst/>
                    </a:prstGeom>
                    <a:noFill/>
                    <a:ln w="9525">
                      <a:solidFill>
                        <a:srgbClr val="000080"/>
                      </a:solidFill>
                      <a:miter lim="800000"/>
                      <a:headEnd/>
                      <a:tailEnd/>
                    </a:ln>
                  </pic:spPr>
                </pic:pic>
              </a:graphicData>
            </a:graphic>
          </wp:inline>
        </w:drawing>
      </w:r>
    </w:p>
    <w:p w:rsidR="00FC67F9" w:rsidRDefault="00FC67F9" w:rsidP="002A0CD0">
      <w:pPr>
        <w:tabs>
          <w:tab w:val="left" w:pos="180"/>
        </w:tabs>
        <w:spacing w:after="0" w:line="240" w:lineRule="auto"/>
        <w:jc w:val="center"/>
        <w:rPr>
          <w:rFonts w:ascii="Times New Roman" w:hAnsi="Times New Roman"/>
          <w:b/>
          <w:bCs/>
          <w:sz w:val="20"/>
          <w:szCs w:val="20"/>
        </w:rPr>
      </w:pPr>
      <w:r w:rsidRPr="00ED7E20">
        <w:rPr>
          <w:rFonts w:ascii="Times New Roman" w:hAnsi="Times New Roman"/>
          <w:b/>
          <w:bCs/>
          <w:sz w:val="20"/>
          <w:szCs w:val="20"/>
        </w:rPr>
        <w:t>Figure 1</w:t>
      </w:r>
      <w:r w:rsidRPr="00ED7E20">
        <w:rPr>
          <w:rFonts w:ascii="Times New Roman" w:hAnsi="Times New Roman"/>
          <w:b/>
          <w:bCs/>
          <w:sz w:val="20"/>
          <w:szCs w:val="20"/>
        </w:rPr>
        <w:noBreakHyphen/>
      </w:r>
      <w:r w:rsidR="00C650CE" w:rsidRPr="00ED7E20">
        <w:rPr>
          <w:rFonts w:ascii="Times New Roman" w:hAnsi="Times New Roman"/>
          <w:b/>
          <w:bCs/>
          <w:sz w:val="20"/>
          <w:szCs w:val="20"/>
        </w:rPr>
        <w:fldChar w:fldCharType="begin"/>
      </w:r>
      <w:r w:rsidRPr="00ED7E20">
        <w:rPr>
          <w:rFonts w:ascii="Times New Roman" w:hAnsi="Times New Roman"/>
          <w:b/>
          <w:bCs/>
          <w:sz w:val="20"/>
          <w:szCs w:val="20"/>
        </w:rPr>
        <w:instrText xml:space="preserve"> SEQ Figure \* ARABIC \s 3 </w:instrText>
      </w:r>
      <w:r w:rsidR="00C650CE" w:rsidRPr="00ED7E20">
        <w:rPr>
          <w:rFonts w:ascii="Times New Roman" w:hAnsi="Times New Roman"/>
          <w:b/>
          <w:bCs/>
          <w:sz w:val="20"/>
          <w:szCs w:val="20"/>
        </w:rPr>
        <w:fldChar w:fldCharType="separate"/>
      </w:r>
      <w:r w:rsidR="00913813">
        <w:rPr>
          <w:rFonts w:ascii="Times New Roman" w:hAnsi="Times New Roman"/>
          <w:b/>
          <w:bCs/>
          <w:noProof/>
          <w:sz w:val="20"/>
          <w:szCs w:val="20"/>
        </w:rPr>
        <w:t>2</w:t>
      </w:r>
      <w:r w:rsidR="00C650CE" w:rsidRPr="00ED7E20">
        <w:rPr>
          <w:rFonts w:ascii="Times New Roman" w:hAnsi="Times New Roman"/>
          <w:b/>
          <w:bCs/>
          <w:sz w:val="20"/>
          <w:szCs w:val="20"/>
        </w:rPr>
        <w:fldChar w:fldCharType="end"/>
      </w:r>
      <w:r w:rsidRPr="00ED7E20">
        <w:rPr>
          <w:rFonts w:ascii="Times New Roman" w:hAnsi="Times New Roman"/>
          <w:b/>
          <w:bCs/>
          <w:sz w:val="20"/>
          <w:szCs w:val="20"/>
        </w:rPr>
        <w:t xml:space="preserve">  Historical and Projected SO</w:t>
      </w:r>
      <w:r w:rsidRPr="00ED7E20">
        <w:rPr>
          <w:rFonts w:ascii="Times New Roman" w:hAnsi="Times New Roman"/>
          <w:b/>
          <w:bCs/>
          <w:sz w:val="20"/>
          <w:szCs w:val="20"/>
          <w:vertAlign w:val="subscript"/>
        </w:rPr>
        <w:t>2</w:t>
      </w:r>
      <w:r w:rsidRPr="00ED7E20">
        <w:rPr>
          <w:rFonts w:ascii="Times New Roman" w:hAnsi="Times New Roman"/>
          <w:b/>
          <w:bCs/>
          <w:sz w:val="20"/>
          <w:szCs w:val="20"/>
        </w:rPr>
        <w:t xml:space="preserve"> Emissions for G</w:t>
      </w:r>
      <w:r w:rsidR="00927AC8">
        <w:rPr>
          <w:rFonts w:ascii="Times New Roman" w:hAnsi="Times New Roman"/>
          <w:b/>
          <w:bCs/>
          <w:sz w:val="20"/>
          <w:szCs w:val="20"/>
        </w:rPr>
        <w:t>eorgia Power</w:t>
      </w:r>
    </w:p>
    <w:p w:rsidR="006D33C2" w:rsidRDefault="006D33C2" w:rsidP="002A0CD0">
      <w:pPr>
        <w:tabs>
          <w:tab w:val="left" w:pos="180"/>
        </w:tabs>
        <w:spacing w:after="0" w:line="240" w:lineRule="auto"/>
        <w:jc w:val="center"/>
        <w:rPr>
          <w:rFonts w:ascii="Times New Roman" w:hAnsi="Times New Roman"/>
          <w:b/>
          <w:bCs/>
          <w:sz w:val="20"/>
          <w:szCs w:val="20"/>
        </w:rPr>
      </w:pPr>
    </w:p>
    <w:p w:rsidR="006D33C2" w:rsidRPr="00ED7E20" w:rsidRDefault="006D33C2" w:rsidP="002A0CD0">
      <w:pPr>
        <w:tabs>
          <w:tab w:val="left" w:pos="180"/>
        </w:tabs>
        <w:spacing w:after="0" w:line="240" w:lineRule="auto"/>
        <w:jc w:val="center"/>
        <w:rPr>
          <w:rFonts w:ascii="Times New Roman" w:hAnsi="Times New Roman"/>
          <w:b/>
          <w:bCs/>
          <w:sz w:val="20"/>
          <w:szCs w:val="28"/>
        </w:rPr>
      </w:pPr>
    </w:p>
    <w:p w:rsidR="00FC67F9" w:rsidRPr="00ED7E20" w:rsidRDefault="00FC67F9" w:rsidP="002A0CD0">
      <w:pPr>
        <w:autoSpaceDE w:val="0"/>
        <w:autoSpaceDN w:val="0"/>
        <w:adjustRightInd w:val="0"/>
        <w:spacing w:after="0" w:line="240" w:lineRule="auto"/>
        <w:jc w:val="center"/>
        <w:rPr>
          <w:rFonts w:ascii="Times New Roman" w:hAnsi="Times New Roman"/>
          <w:b/>
          <w:bCs/>
          <w:color w:val="000080"/>
          <w:sz w:val="28"/>
          <w:szCs w:val="28"/>
          <w:u w:val="single"/>
        </w:rPr>
      </w:pPr>
    </w:p>
    <w:p w:rsidR="00546E7F" w:rsidRDefault="00546E7F" w:rsidP="002A0CD0">
      <w:pPr>
        <w:tabs>
          <w:tab w:val="left" w:pos="180"/>
        </w:tabs>
        <w:spacing w:after="0" w:line="240" w:lineRule="auto"/>
        <w:jc w:val="center"/>
        <w:rPr>
          <w:rFonts w:ascii="Times New Roman" w:hAnsi="Times New Roman"/>
          <w:b/>
          <w:bCs/>
          <w:sz w:val="20"/>
          <w:szCs w:val="20"/>
        </w:rPr>
      </w:pPr>
    </w:p>
    <w:p w:rsidR="00546E7F" w:rsidRDefault="00546E7F" w:rsidP="002A0CD0">
      <w:pPr>
        <w:tabs>
          <w:tab w:val="left" w:pos="180"/>
        </w:tabs>
        <w:spacing w:after="0" w:line="240" w:lineRule="auto"/>
        <w:jc w:val="center"/>
        <w:rPr>
          <w:rFonts w:ascii="Times New Roman" w:hAnsi="Times New Roman"/>
          <w:b/>
          <w:bCs/>
          <w:sz w:val="20"/>
          <w:szCs w:val="20"/>
        </w:rPr>
      </w:pPr>
    </w:p>
    <w:p w:rsidR="00546E7F" w:rsidRDefault="00546E7F" w:rsidP="002A0CD0">
      <w:pPr>
        <w:tabs>
          <w:tab w:val="left" w:pos="180"/>
        </w:tabs>
        <w:spacing w:after="0" w:line="240" w:lineRule="auto"/>
        <w:jc w:val="center"/>
        <w:rPr>
          <w:rFonts w:ascii="Times New Roman" w:hAnsi="Times New Roman"/>
          <w:b/>
          <w:bCs/>
          <w:sz w:val="20"/>
          <w:szCs w:val="20"/>
        </w:rPr>
      </w:pPr>
    </w:p>
    <w:p w:rsidR="00546E7F" w:rsidRDefault="00546E7F" w:rsidP="002A0CD0">
      <w:pPr>
        <w:tabs>
          <w:tab w:val="left" w:pos="180"/>
        </w:tabs>
        <w:spacing w:after="0" w:line="240" w:lineRule="auto"/>
        <w:jc w:val="center"/>
        <w:rPr>
          <w:rFonts w:ascii="Times New Roman" w:hAnsi="Times New Roman"/>
          <w:b/>
          <w:bCs/>
          <w:sz w:val="20"/>
          <w:szCs w:val="20"/>
        </w:rPr>
      </w:pPr>
    </w:p>
    <w:p w:rsidR="00A5211F" w:rsidRDefault="00A5211F" w:rsidP="002A0CD0">
      <w:pPr>
        <w:tabs>
          <w:tab w:val="left" w:pos="180"/>
        </w:tabs>
        <w:spacing w:after="0" w:line="240" w:lineRule="auto"/>
        <w:jc w:val="center"/>
        <w:rPr>
          <w:rFonts w:ascii="Times New Roman" w:hAnsi="Times New Roman"/>
          <w:b/>
          <w:bCs/>
          <w:sz w:val="20"/>
          <w:szCs w:val="20"/>
        </w:rPr>
      </w:pPr>
    </w:p>
    <w:p w:rsidR="00A5211F" w:rsidRDefault="00A5211F" w:rsidP="002A0CD0">
      <w:pPr>
        <w:tabs>
          <w:tab w:val="left" w:pos="180"/>
        </w:tabs>
        <w:spacing w:after="0" w:line="240" w:lineRule="auto"/>
        <w:jc w:val="center"/>
        <w:rPr>
          <w:rFonts w:ascii="Times New Roman" w:hAnsi="Times New Roman"/>
          <w:b/>
          <w:bCs/>
          <w:sz w:val="20"/>
          <w:szCs w:val="20"/>
        </w:rPr>
      </w:pPr>
      <w:r w:rsidRPr="00A5211F">
        <w:rPr>
          <w:noProof/>
          <w:szCs w:val="20"/>
        </w:rPr>
        <w:drawing>
          <wp:inline distT="0" distB="0" distL="0" distR="0">
            <wp:extent cx="5958328" cy="3236976"/>
            <wp:effectExtent l="19050" t="19050" r="23372" b="20574"/>
            <wp:docPr id="3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srcRect/>
                    <a:stretch>
                      <a:fillRect/>
                    </a:stretch>
                  </pic:blipFill>
                  <pic:spPr bwMode="auto">
                    <a:xfrm>
                      <a:off x="0" y="0"/>
                      <a:ext cx="5958328" cy="3236976"/>
                    </a:xfrm>
                    <a:prstGeom prst="rect">
                      <a:avLst/>
                    </a:prstGeom>
                    <a:noFill/>
                    <a:ln w="9525">
                      <a:solidFill>
                        <a:srgbClr val="000080"/>
                      </a:solidFill>
                      <a:miter lim="800000"/>
                      <a:headEnd/>
                      <a:tailEnd/>
                    </a:ln>
                  </pic:spPr>
                </pic:pic>
              </a:graphicData>
            </a:graphic>
          </wp:inline>
        </w:drawing>
      </w:r>
    </w:p>
    <w:p w:rsidR="00FC67F9" w:rsidRDefault="00FC67F9" w:rsidP="002A0CD0">
      <w:pPr>
        <w:tabs>
          <w:tab w:val="left" w:pos="180"/>
        </w:tabs>
        <w:spacing w:after="0" w:line="240" w:lineRule="auto"/>
        <w:jc w:val="center"/>
        <w:rPr>
          <w:rFonts w:ascii="Times New Roman" w:hAnsi="Times New Roman"/>
          <w:b/>
          <w:bCs/>
          <w:sz w:val="20"/>
          <w:szCs w:val="20"/>
        </w:rPr>
      </w:pPr>
      <w:r w:rsidRPr="00ED7E20">
        <w:rPr>
          <w:rFonts w:ascii="Times New Roman" w:hAnsi="Times New Roman"/>
          <w:b/>
          <w:bCs/>
          <w:sz w:val="20"/>
          <w:szCs w:val="20"/>
        </w:rPr>
        <w:t>Figure 1</w:t>
      </w:r>
      <w:r w:rsidRPr="00ED7E20">
        <w:rPr>
          <w:rFonts w:ascii="Times New Roman" w:hAnsi="Times New Roman"/>
          <w:b/>
          <w:bCs/>
          <w:sz w:val="20"/>
          <w:szCs w:val="20"/>
        </w:rPr>
        <w:noBreakHyphen/>
      </w:r>
      <w:r w:rsidR="00C650CE" w:rsidRPr="00ED7E20">
        <w:rPr>
          <w:rFonts w:ascii="Times New Roman" w:hAnsi="Times New Roman"/>
          <w:sz w:val="20"/>
          <w:szCs w:val="20"/>
        </w:rPr>
        <w:fldChar w:fldCharType="begin"/>
      </w:r>
      <w:r w:rsidRPr="00ED7E20">
        <w:rPr>
          <w:rFonts w:ascii="Times New Roman" w:hAnsi="Times New Roman"/>
          <w:b/>
          <w:bCs/>
          <w:sz w:val="20"/>
          <w:szCs w:val="20"/>
        </w:rPr>
        <w:instrText xml:space="preserve"> SEQ Figure \* ARABIC \s 3 </w:instrText>
      </w:r>
      <w:r w:rsidR="00C650CE" w:rsidRPr="00ED7E20">
        <w:rPr>
          <w:rFonts w:ascii="Times New Roman" w:hAnsi="Times New Roman"/>
          <w:sz w:val="20"/>
          <w:szCs w:val="20"/>
        </w:rPr>
        <w:fldChar w:fldCharType="separate"/>
      </w:r>
      <w:r w:rsidR="00913813">
        <w:rPr>
          <w:rFonts w:ascii="Times New Roman" w:hAnsi="Times New Roman"/>
          <w:b/>
          <w:bCs/>
          <w:noProof/>
          <w:sz w:val="20"/>
          <w:szCs w:val="20"/>
        </w:rPr>
        <w:t>3</w:t>
      </w:r>
      <w:r w:rsidR="00C650CE" w:rsidRPr="00ED7E20">
        <w:rPr>
          <w:rFonts w:ascii="Times New Roman" w:hAnsi="Times New Roman"/>
          <w:sz w:val="20"/>
          <w:szCs w:val="20"/>
        </w:rPr>
        <w:fldChar w:fldCharType="end"/>
      </w:r>
      <w:r w:rsidRPr="00ED7E20">
        <w:rPr>
          <w:rFonts w:ascii="Times New Roman" w:hAnsi="Times New Roman"/>
          <w:b/>
          <w:bCs/>
          <w:sz w:val="20"/>
          <w:szCs w:val="20"/>
        </w:rPr>
        <w:t xml:space="preserve">  Historical and Projected NO</w:t>
      </w:r>
      <w:r w:rsidRPr="00ED7E20">
        <w:rPr>
          <w:rFonts w:ascii="Times New Roman" w:hAnsi="Times New Roman"/>
          <w:b/>
          <w:bCs/>
          <w:sz w:val="20"/>
          <w:szCs w:val="20"/>
          <w:vertAlign w:val="subscript"/>
        </w:rPr>
        <w:t>X</w:t>
      </w:r>
      <w:r w:rsidRPr="00ED7E20">
        <w:rPr>
          <w:rFonts w:ascii="Times New Roman" w:hAnsi="Times New Roman"/>
          <w:b/>
          <w:bCs/>
          <w:sz w:val="20"/>
          <w:szCs w:val="20"/>
        </w:rPr>
        <w:t xml:space="preserve"> Emissions for G</w:t>
      </w:r>
      <w:r w:rsidR="00927AC8">
        <w:rPr>
          <w:rFonts w:ascii="Times New Roman" w:hAnsi="Times New Roman"/>
          <w:b/>
          <w:bCs/>
          <w:sz w:val="20"/>
          <w:szCs w:val="20"/>
        </w:rPr>
        <w:t>eorgia Power</w:t>
      </w:r>
    </w:p>
    <w:p w:rsidR="00305EB6" w:rsidRDefault="00305EB6" w:rsidP="002A0CD0">
      <w:pPr>
        <w:tabs>
          <w:tab w:val="left" w:pos="180"/>
        </w:tabs>
        <w:spacing w:after="0" w:line="240" w:lineRule="auto"/>
        <w:jc w:val="center"/>
        <w:rPr>
          <w:rFonts w:ascii="Times New Roman" w:hAnsi="Times New Roman"/>
          <w:b/>
          <w:bCs/>
          <w:sz w:val="20"/>
          <w:szCs w:val="20"/>
        </w:rPr>
      </w:pPr>
    </w:p>
    <w:p w:rsidR="00305EB6" w:rsidRDefault="00305EB6" w:rsidP="002A0CD0">
      <w:pPr>
        <w:tabs>
          <w:tab w:val="left" w:pos="180"/>
        </w:tabs>
        <w:spacing w:after="0" w:line="240" w:lineRule="auto"/>
        <w:jc w:val="center"/>
        <w:rPr>
          <w:rFonts w:ascii="Times New Roman" w:hAnsi="Times New Roman"/>
          <w:b/>
          <w:bCs/>
          <w:sz w:val="20"/>
          <w:szCs w:val="20"/>
        </w:rPr>
      </w:pPr>
    </w:p>
    <w:p w:rsidR="00A5211F" w:rsidRDefault="00A5211F" w:rsidP="002A0CD0">
      <w:pPr>
        <w:tabs>
          <w:tab w:val="left" w:pos="180"/>
        </w:tabs>
        <w:spacing w:after="0" w:line="240" w:lineRule="auto"/>
        <w:jc w:val="center"/>
        <w:rPr>
          <w:rFonts w:ascii="Times New Roman" w:hAnsi="Times New Roman"/>
          <w:b/>
          <w:bCs/>
          <w:sz w:val="20"/>
          <w:szCs w:val="20"/>
        </w:rPr>
      </w:pPr>
    </w:p>
    <w:p w:rsidR="00927AC8" w:rsidRPr="00ED7E20" w:rsidRDefault="00A5211F" w:rsidP="002A0CD0">
      <w:pPr>
        <w:tabs>
          <w:tab w:val="left" w:pos="180"/>
        </w:tabs>
        <w:spacing w:after="0" w:line="240" w:lineRule="auto"/>
        <w:jc w:val="center"/>
        <w:rPr>
          <w:rFonts w:ascii="Times New Roman" w:hAnsi="Times New Roman"/>
          <w:b/>
          <w:bCs/>
          <w:sz w:val="20"/>
          <w:szCs w:val="20"/>
        </w:rPr>
      </w:pPr>
      <w:r w:rsidRPr="00A5211F">
        <w:rPr>
          <w:noProof/>
          <w:szCs w:val="20"/>
        </w:rPr>
        <w:drawing>
          <wp:inline distT="0" distB="0" distL="0" distR="0">
            <wp:extent cx="6015557" cy="3493008"/>
            <wp:effectExtent l="19050" t="19050" r="23293" b="12192"/>
            <wp:docPr id="3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srcRect/>
                    <a:stretch>
                      <a:fillRect/>
                    </a:stretch>
                  </pic:blipFill>
                  <pic:spPr bwMode="auto">
                    <a:xfrm>
                      <a:off x="0" y="0"/>
                      <a:ext cx="6015557" cy="3493008"/>
                    </a:xfrm>
                    <a:prstGeom prst="rect">
                      <a:avLst/>
                    </a:prstGeom>
                    <a:noFill/>
                    <a:ln w="9525">
                      <a:solidFill>
                        <a:srgbClr val="000080"/>
                      </a:solidFill>
                      <a:miter lim="800000"/>
                      <a:headEnd/>
                      <a:tailEnd/>
                    </a:ln>
                  </pic:spPr>
                </pic:pic>
              </a:graphicData>
            </a:graphic>
          </wp:inline>
        </w:drawing>
      </w:r>
    </w:p>
    <w:p w:rsidR="00FC67F9" w:rsidRPr="00ED7E20" w:rsidRDefault="00FC67F9" w:rsidP="002A0CD0">
      <w:pPr>
        <w:tabs>
          <w:tab w:val="left" w:pos="180"/>
        </w:tabs>
        <w:spacing w:after="0" w:line="240" w:lineRule="auto"/>
        <w:jc w:val="center"/>
        <w:rPr>
          <w:rFonts w:ascii="Times New Roman" w:hAnsi="Times New Roman"/>
          <w:b/>
          <w:bCs/>
          <w:sz w:val="20"/>
          <w:szCs w:val="20"/>
        </w:rPr>
      </w:pPr>
      <w:r w:rsidRPr="00ED7E20">
        <w:rPr>
          <w:rFonts w:ascii="Times New Roman" w:hAnsi="Times New Roman"/>
          <w:b/>
          <w:bCs/>
          <w:sz w:val="20"/>
          <w:szCs w:val="20"/>
        </w:rPr>
        <w:t>Figure 1</w:t>
      </w:r>
      <w:r w:rsidRPr="00ED7E20">
        <w:rPr>
          <w:rFonts w:ascii="Times New Roman" w:hAnsi="Times New Roman"/>
          <w:b/>
          <w:bCs/>
          <w:sz w:val="20"/>
          <w:szCs w:val="20"/>
        </w:rPr>
        <w:noBreakHyphen/>
        <w:t>4 Historical and Projected Mercury Emissions for G</w:t>
      </w:r>
      <w:r w:rsidR="00927AC8">
        <w:rPr>
          <w:rFonts w:ascii="Times New Roman" w:hAnsi="Times New Roman"/>
          <w:b/>
          <w:bCs/>
          <w:sz w:val="20"/>
          <w:szCs w:val="20"/>
        </w:rPr>
        <w:t>eorgia Power</w:t>
      </w:r>
    </w:p>
    <w:p w:rsidR="00FC67F9" w:rsidRPr="00ED7E20" w:rsidRDefault="00A5211F" w:rsidP="002A0CD0">
      <w:pPr>
        <w:tabs>
          <w:tab w:val="left" w:pos="180"/>
        </w:tabs>
        <w:spacing w:after="0" w:line="240" w:lineRule="auto"/>
        <w:jc w:val="center"/>
        <w:rPr>
          <w:rFonts w:ascii="Times New Roman" w:hAnsi="Times New Roman"/>
          <w:b/>
          <w:bCs/>
          <w:sz w:val="20"/>
          <w:szCs w:val="20"/>
        </w:rPr>
      </w:pPr>
      <w:r w:rsidRPr="00A5211F">
        <w:rPr>
          <w:noProof/>
          <w:szCs w:val="20"/>
        </w:rPr>
        <w:drawing>
          <wp:inline distT="0" distB="0" distL="0" distR="0">
            <wp:extent cx="5943600" cy="3458438"/>
            <wp:effectExtent l="19050" t="19050" r="19050" b="27712"/>
            <wp:docPr id="3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srcRect/>
                    <a:stretch>
                      <a:fillRect/>
                    </a:stretch>
                  </pic:blipFill>
                  <pic:spPr bwMode="auto">
                    <a:xfrm>
                      <a:off x="0" y="0"/>
                      <a:ext cx="5943600" cy="3458438"/>
                    </a:xfrm>
                    <a:prstGeom prst="rect">
                      <a:avLst/>
                    </a:prstGeom>
                    <a:noFill/>
                    <a:ln w="9525">
                      <a:solidFill>
                        <a:srgbClr val="000080"/>
                      </a:solidFill>
                      <a:miter lim="800000"/>
                      <a:headEnd/>
                      <a:tailEnd/>
                    </a:ln>
                  </pic:spPr>
                </pic:pic>
              </a:graphicData>
            </a:graphic>
          </wp:inline>
        </w:drawing>
      </w:r>
      <w:r w:rsidR="00FC67F9" w:rsidRPr="00ED7E20">
        <w:rPr>
          <w:rFonts w:ascii="Times New Roman" w:hAnsi="Times New Roman"/>
          <w:b/>
          <w:bCs/>
          <w:sz w:val="20"/>
          <w:szCs w:val="20"/>
        </w:rPr>
        <w:t>Figure 1</w:t>
      </w:r>
      <w:r w:rsidR="00FC67F9" w:rsidRPr="00ED7E20">
        <w:rPr>
          <w:rFonts w:ascii="Times New Roman" w:hAnsi="Times New Roman"/>
          <w:b/>
          <w:bCs/>
          <w:sz w:val="20"/>
          <w:szCs w:val="20"/>
        </w:rPr>
        <w:noBreakHyphen/>
        <w:t>5 Historical and Projected CO</w:t>
      </w:r>
      <w:r w:rsidR="00FC67F9" w:rsidRPr="00ED7E20">
        <w:rPr>
          <w:rFonts w:ascii="Times New Roman" w:hAnsi="Times New Roman"/>
          <w:b/>
          <w:bCs/>
          <w:sz w:val="20"/>
          <w:szCs w:val="20"/>
          <w:vertAlign w:val="subscript"/>
        </w:rPr>
        <w:t>2</w:t>
      </w:r>
      <w:r w:rsidR="00FC67F9" w:rsidRPr="00ED7E20">
        <w:rPr>
          <w:rFonts w:ascii="Times New Roman" w:hAnsi="Times New Roman"/>
          <w:b/>
          <w:bCs/>
          <w:sz w:val="20"/>
          <w:szCs w:val="20"/>
        </w:rPr>
        <w:t xml:space="preserve"> Emissions for G</w:t>
      </w:r>
      <w:r w:rsidR="003D3A9F">
        <w:rPr>
          <w:rFonts w:ascii="Times New Roman" w:hAnsi="Times New Roman"/>
          <w:b/>
          <w:bCs/>
          <w:sz w:val="20"/>
          <w:szCs w:val="20"/>
        </w:rPr>
        <w:t>eorgia Power</w:t>
      </w:r>
    </w:p>
    <w:p w:rsidR="00FC67F9" w:rsidRPr="00ED7E20" w:rsidRDefault="00FC67F9" w:rsidP="002A0CD0">
      <w:pPr>
        <w:autoSpaceDE w:val="0"/>
        <w:autoSpaceDN w:val="0"/>
        <w:adjustRightInd w:val="0"/>
        <w:spacing w:after="0" w:line="240" w:lineRule="auto"/>
        <w:rPr>
          <w:rFonts w:ascii="Times New Roman" w:hAnsi="Times New Roman"/>
          <w:b/>
          <w:bCs/>
          <w:color w:val="000080"/>
          <w:sz w:val="28"/>
          <w:szCs w:val="28"/>
          <w:u w:val="single"/>
        </w:rPr>
      </w:pPr>
    </w:p>
    <w:p w:rsidR="00562DEB" w:rsidRDefault="00305EB6" w:rsidP="001954D3">
      <w:pPr>
        <w:autoSpaceDE w:val="0"/>
        <w:autoSpaceDN w:val="0"/>
        <w:adjustRightInd w:val="0"/>
        <w:spacing w:after="0" w:line="240" w:lineRule="auto"/>
        <w:outlineLvl w:val="1"/>
        <w:rPr>
          <w:rFonts w:ascii="Times New Roman" w:hAnsi="Times New Roman"/>
          <w:sz w:val="24"/>
          <w:szCs w:val="24"/>
        </w:rPr>
      </w:pPr>
      <w:bookmarkStart w:id="1" w:name="_Toc347314831"/>
      <w:r>
        <w:rPr>
          <w:rFonts w:ascii="Times New Roman" w:hAnsi="Times New Roman"/>
          <w:b/>
          <w:bCs/>
          <w:color w:val="000080"/>
          <w:sz w:val="24"/>
          <w:szCs w:val="24"/>
        </w:rPr>
        <w:t>1.1</w:t>
      </w:r>
      <w:r>
        <w:rPr>
          <w:rFonts w:ascii="Times New Roman" w:hAnsi="Times New Roman"/>
          <w:b/>
          <w:bCs/>
          <w:color w:val="000080"/>
          <w:sz w:val="24"/>
          <w:szCs w:val="24"/>
        </w:rPr>
        <w:tab/>
      </w:r>
      <w:r w:rsidR="002C7304">
        <w:rPr>
          <w:rFonts w:ascii="Times New Roman" w:hAnsi="Times New Roman"/>
          <w:b/>
          <w:bCs/>
          <w:color w:val="000080"/>
          <w:sz w:val="24"/>
          <w:szCs w:val="24"/>
        </w:rPr>
        <w:t>Notable Regulatory-</w:t>
      </w:r>
      <w:r w:rsidR="00857B90">
        <w:rPr>
          <w:rFonts w:ascii="Times New Roman" w:hAnsi="Times New Roman"/>
          <w:b/>
          <w:bCs/>
          <w:color w:val="000080"/>
          <w:sz w:val="24"/>
          <w:szCs w:val="24"/>
        </w:rPr>
        <w:t>Related Events</w:t>
      </w:r>
      <w:bookmarkEnd w:id="1"/>
    </w:p>
    <w:p w:rsidR="00FC67F9" w:rsidRPr="00ED7E20" w:rsidRDefault="00FC67F9" w:rsidP="002A0CD0">
      <w:pPr>
        <w:autoSpaceDE w:val="0"/>
        <w:autoSpaceDN w:val="0"/>
        <w:adjustRightInd w:val="0"/>
        <w:spacing w:after="0" w:line="240" w:lineRule="auto"/>
        <w:rPr>
          <w:rFonts w:ascii="Times New Roman" w:hAnsi="Times New Roman"/>
          <w:b/>
          <w:bCs/>
          <w:color w:val="000080"/>
          <w:sz w:val="28"/>
          <w:szCs w:val="28"/>
        </w:rPr>
      </w:pPr>
    </w:p>
    <w:p w:rsidR="00FC67F9" w:rsidRPr="00ED7E20" w:rsidRDefault="00FC67F9" w:rsidP="002A0CD0">
      <w:pPr>
        <w:autoSpaceDE w:val="0"/>
        <w:autoSpaceDN w:val="0"/>
        <w:adjustRightInd w:val="0"/>
        <w:spacing w:after="0" w:line="240" w:lineRule="auto"/>
        <w:rPr>
          <w:rFonts w:ascii="Times New Roman" w:hAnsi="Times New Roman"/>
          <w:sz w:val="24"/>
          <w:szCs w:val="24"/>
        </w:rPr>
      </w:pPr>
      <w:r w:rsidRPr="00ED7E20">
        <w:rPr>
          <w:rFonts w:ascii="Times New Roman" w:hAnsi="Times New Roman"/>
          <w:sz w:val="24"/>
          <w:szCs w:val="24"/>
        </w:rPr>
        <w:t xml:space="preserve">The following is a list of notable </w:t>
      </w:r>
      <w:r w:rsidR="003E24CC">
        <w:rPr>
          <w:rFonts w:ascii="Times New Roman" w:hAnsi="Times New Roman"/>
          <w:sz w:val="24"/>
          <w:szCs w:val="24"/>
        </w:rPr>
        <w:t xml:space="preserve">environmental </w:t>
      </w:r>
      <w:r w:rsidRPr="00ED7E20">
        <w:rPr>
          <w:rFonts w:ascii="Times New Roman" w:hAnsi="Times New Roman"/>
          <w:sz w:val="24"/>
          <w:szCs w:val="24"/>
        </w:rPr>
        <w:t xml:space="preserve">regulatory events over the past </w:t>
      </w:r>
      <w:r w:rsidR="006433D6">
        <w:rPr>
          <w:rFonts w:ascii="Times New Roman" w:hAnsi="Times New Roman"/>
          <w:sz w:val="24"/>
          <w:szCs w:val="24"/>
        </w:rPr>
        <w:t>six</w:t>
      </w:r>
      <w:r w:rsidR="006433D6" w:rsidRPr="00ED7E20">
        <w:rPr>
          <w:rFonts w:ascii="Times New Roman" w:hAnsi="Times New Roman"/>
          <w:sz w:val="24"/>
          <w:szCs w:val="24"/>
        </w:rPr>
        <w:t xml:space="preserve"> </w:t>
      </w:r>
      <w:r w:rsidRPr="00ED7E20">
        <w:rPr>
          <w:rFonts w:ascii="Times New Roman" w:hAnsi="Times New Roman"/>
          <w:sz w:val="24"/>
          <w:szCs w:val="24"/>
        </w:rPr>
        <w:t xml:space="preserve">years: </w:t>
      </w:r>
    </w:p>
    <w:p w:rsidR="00FC67F9" w:rsidRPr="00ED7E20" w:rsidRDefault="00FC67F9" w:rsidP="002A0CD0">
      <w:pPr>
        <w:autoSpaceDE w:val="0"/>
        <w:autoSpaceDN w:val="0"/>
        <w:adjustRightInd w:val="0"/>
        <w:spacing w:after="0" w:line="240" w:lineRule="auto"/>
        <w:rPr>
          <w:rFonts w:ascii="Times New Roman" w:hAnsi="Times New Roman"/>
          <w:sz w:val="24"/>
          <w:szCs w:val="24"/>
        </w:rPr>
      </w:pPr>
    </w:p>
    <w:p w:rsidR="00FC67F9" w:rsidRPr="00DA4DBE" w:rsidRDefault="00555788" w:rsidP="002A0CD0">
      <w:pPr>
        <w:numPr>
          <w:ilvl w:val="0"/>
          <w:numId w:val="3"/>
        </w:numPr>
        <w:autoSpaceDE w:val="0"/>
        <w:autoSpaceDN w:val="0"/>
        <w:adjustRightInd w:val="0"/>
        <w:spacing w:after="0" w:line="240" w:lineRule="auto"/>
        <w:rPr>
          <w:rFonts w:ascii="Times New Roman" w:hAnsi="Times New Roman"/>
          <w:sz w:val="21"/>
          <w:szCs w:val="21"/>
        </w:rPr>
      </w:pPr>
      <w:r w:rsidRPr="00555788">
        <w:rPr>
          <w:rFonts w:ascii="Times New Roman" w:hAnsi="Times New Roman"/>
          <w:b/>
          <w:sz w:val="21"/>
          <w:szCs w:val="21"/>
        </w:rPr>
        <w:t>June 2007</w:t>
      </w:r>
      <w:r w:rsidRPr="00555788">
        <w:rPr>
          <w:rFonts w:ascii="Times New Roman" w:hAnsi="Times New Roman"/>
          <w:sz w:val="21"/>
          <w:szCs w:val="21"/>
        </w:rPr>
        <w:t xml:space="preserve"> </w:t>
      </w:r>
      <w:r w:rsidR="000E52A1">
        <w:rPr>
          <w:rFonts w:ascii="Times New Roman" w:hAnsi="Times New Roman"/>
          <w:sz w:val="21"/>
          <w:szCs w:val="21"/>
        </w:rPr>
        <w:t>–</w:t>
      </w:r>
      <w:r w:rsidR="003A0A44">
        <w:rPr>
          <w:rFonts w:ascii="Times New Roman" w:hAnsi="Times New Roman"/>
          <w:sz w:val="21"/>
          <w:szCs w:val="21"/>
        </w:rPr>
        <w:t xml:space="preserve"> </w:t>
      </w:r>
      <w:r w:rsidRPr="00555788">
        <w:rPr>
          <w:rFonts w:ascii="Times New Roman" w:hAnsi="Times New Roman"/>
          <w:sz w:val="21"/>
          <w:szCs w:val="21"/>
        </w:rPr>
        <w:t xml:space="preserve">Georgia </w:t>
      </w:r>
      <w:r w:rsidR="000E52A1">
        <w:rPr>
          <w:rFonts w:ascii="Times New Roman" w:hAnsi="Times New Roman"/>
          <w:sz w:val="21"/>
          <w:szCs w:val="21"/>
        </w:rPr>
        <w:t>Environmental Protection Division (</w:t>
      </w:r>
      <w:r w:rsidRPr="00555788">
        <w:rPr>
          <w:rFonts w:ascii="Times New Roman" w:hAnsi="Times New Roman"/>
          <w:sz w:val="21"/>
          <w:szCs w:val="21"/>
        </w:rPr>
        <w:t>EPD</w:t>
      </w:r>
      <w:r w:rsidR="000E52A1">
        <w:rPr>
          <w:rFonts w:ascii="Times New Roman" w:hAnsi="Times New Roman"/>
          <w:sz w:val="21"/>
          <w:szCs w:val="21"/>
        </w:rPr>
        <w:t>)</w:t>
      </w:r>
      <w:r w:rsidRPr="00555788">
        <w:rPr>
          <w:rFonts w:ascii="Times New Roman" w:hAnsi="Times New Roman"/>
          <w:sz w:val="21"/>
          <w:szCs w:val="21"/>
        </w:rPr>
        <w:t xml:space="preserve"> finalizes t</w:t>
      </w:r>
      <w:r w:rsidR="004865FF">
        <w:rPr>
          <w:rFonts w:ascii="Times New Roman" w:hAnsi="Times New Roman"/>
          <w:sz w:val="21"/>
          <w:szCs w:val="21"/>
        </w:rPr>
        <w:t>he</w:t>
      </w:r>
      <w:r w:rsidR="000E52A1">
        <w:rPr>
          <w:rFonts w:ascii="Times New Roman" w:hAnsi="Times New Roman"/>
          <w:sz w:val="21"/>
          <w:szCs w:val="21"/>
        </w:rPr>
        <w:t xml:space="preserve"> Georgia Rule f</w:t>
      </w:r>
      <w:r w:rsidR="004865FF">
        <w:rPr>
          <w:rFonts w:ascii="Times New Roman" w:hAnsi="Times New Roman"/>
          <w:sz w:val="21"/>
          <w:szCs w:val="21"/>
        </w:rPr>
        <w:t>or Multi</w:t>
      </w:r>
      <w:r w:rsidRPr="00555788">
        <w:rPr>
          <w:rFonts w:ascii="Times New Roman" w:hAnsi="Times New Roman"/>
          <w:sz w:val="21"/>
          <w:szCs w:val="21"/>
        </w:rPr>
        <w:t xml:space="preserve">pollutant Control for Electric Utility Steam </w:t>
      </w:r>
      <w:r w:rsidR="004865FF">
        <w:rPr>
          <w:rFonts w:ascii="Times New Roman" w:hAnsi="Times New Roman"/>
          <w:sz w:val="21"/>
          <w:szCs w:val="21"/>
        </w:rPr>
        <w:t>Generating Units (Georgia Multi</w:t>
      </w:r>
      <w:r w:rsidRPr="00555788">
        <w:rPr>
          <w:rFonts w:ascii="Times New Roman" w:hAnsi="Times New Roman"/>
          <w:sz w:val="21"/>
          <w:szCs w:val="21"/>
        </w:rPr>
        <w:t>pollutant Rule)</w:t>
      </w:r>
      <w:r w:rsidR="000E52A1">
        <w:rPr>
          <w:rFonts w:ascii="Times New Roman" w:hAnsi="Times New Roman"/>
          <w:sz w:val="21"/>
          <w:szCs w:val="21"/>
        </w:rPr>
        <w:t>.</w:t>
      </w:r>
    </w:p>
    <w:p w:rsidR="00FC67F9" w:rsidRPr="00DA4DBE" w:rsidRDefault="00FC67F9" w:rsidP="002A0CD0">
      <w:pPr>
        <w:autoSpaceDE w:val="0"/>
        <w:autoSpaceDN w:val="0"/>
        <w:adjustRightInd w:val="0"/>
        <w:spacing w:after="0" w:line="240" w:lineRule="auto"/>
        <w:ind w:left="720"/>
        <w:rPr>
          <w:rFonts w:ascii="Times New Roman" w:hAnsi="Times New Roman"/>
          <w:sz w:val="21"/>
          <w:szCs w:val="21"/>
        </w:rPr>
      </w:pPr>
    </w:p>
    <w:p w:rsidR="00FC67F9" w:rsidRPr="00DA4DBE" w:rsidRDefault="00555788" w:rsidP="002A0CD0">
      <w:pPr>
        <w:numPr>
          <w:ilvl w:val="0"/>
          <w:numId w:val="3"/>
        </w:numPr>
        <w:autoSpaceDE w:val="0"/>
        <w:autoSpaceDN w:val="0"/>
        <w:adjustRightInd w:val="0"/>
        <w:spacing w:after="0" w:line="240" w:lineRule="auto"/>
        <w:rPr>
          <w:rFonts w:ascii="Times New Roman" w:hAnsi="Times New Roman"/>
          <w:sz w:val="21"/>
          <w:szCs w:val="21"/>
        </w:rPr>
      </w:pPr>
      <w:r w:rsidRPr="00555788">
        <w:rPr>
          <w:rFonts w:ascii="Times New Roman" w:hAnsi="Times New Roman"/>
          <w:b/>
          <w:sz w:val="21"/>
          <w:szCs w:val="21"/>
        </w:rPr>
        <w:t>July 2007</w:t>
      </w:r>
      <w:r w:rsidRPr="00555788">
        <w:rPr>
          <w:rFonts w:ascii="Times New Roman" w:hAnsi="Times New Roman"/>
          <w:sz w:val="21"/>
          <w:szCs w:val="21"/>
        </w:rPr>
        <w:t xml:space="preserve"> – D.C. Court of Appeals vacates the Industrial/Commercial/Institutional Boilers and Process Heaters (Industrial Boiler) Maximum Achievable Control Technology (MACT) rule. </w:t>
      </w:r>
    </w:p>
    <w:p w:rsidR="00FC67F9" w:rsidRPr="00DA4DBE" w:rsidRDefault="00FC67F9" w:rsidP="002A0CD0">
      <w:pPr>
        <w:autoSpaceDE w:val="0"/>
        <w:autoSpaceDN w:val="0"/>
        <w:adjustRightInd w:val="0"/>
        <w:spacing w:after="0" w:line="240" w:lineRule="auto"/>
        <w:ind w:left="720"/>
        <w:rPr>
          <w:rFonts w:ascii="Times New Roman" w:hAnsi="Times New Roman"/>
          <w:sz w:val="21"/>
          <w:szCs w:val="21"/>
        </w:rPr>
      </w:pPr>
    </w:p>
    <w:p w:rsidR="00FC67F9" w:rsidRPr="00DA4DBE" w:rsidRDefault="00555788" w:rsidP="002A0CD0">
      <w:pPr>
        <w:numPr>
          <w:ilvl w:val="0"/>
          <w:numId w:val="3"/>
        </w:numPr>
        <w:autoSpaceDE w:val="0"/>
        <w:autoSpaceDN w:val="0"/>
        <w:adjustRightInd w:val="0"/>
        <w:spacing w:after="0" w:line="240" w:lineRule="auto"/>
        <w:rPr>
          <w:rFonts w:ascii="Times New Roman" w:hAnsi="Times New Roman"/>
          <w:sz w:val="21"/>
          <w:szCs w:val="21"/>
        </w:rPr>
      </w:pPr>
      <w:r w:rsidRPr="00555788">
        <w:rPr>
          <w:rFonts w:ascii="Times New Roman" w:hAnsi="Times New Roman"/>
          <w:b/>
          <w:bCs/>
          <w:sz w:val="21"/>
          <w:szCs w:val="21"/>
        </w:rPr>
        <w:t>February 2008</w:t>
      </w:r>
      <w:r w:rsidRPr="00555788">
        <w:rPr>
          <w:rFonts w:ascii="Times New Roman" w:hAnsi="Times New Roman"/>
          <w:sz w:val="21"/>
          <w:szCs w:val="21"/>
        </w:rPr>
        <w:t xml:space="preserve"> – D.C. Court of Appeals vacates Clean Air Mercury Rule (CAMR).</w:t>
      </w:r>
    </w:p>
    <w:p w:rsidR="00FC67F9" w:rsidRPr="00DA4DBE" w:rsidRDefault="00FC67F9" w:rsidP="002A0CD0">
      <w:pPr>
        <w:autoSpaceDE w:val="0"/>
        <w:autoSpaceDN w:val="0"/>
        <w:adjustRightInd w:val="0"/>
        <w:spacing w:after="0" w:line="240" w:lineRule="auto"/>
        <w:rPr>
          <w:rFonts w:ascii="Times New Roman" w:hAnsi="Times New Roman"/>
          <w:sz w:val="21"/>
          <w:szCs w:val="21"/>
        </w:rPr>
      </w:pPr>
    </w:p>
    <w:p w:rsidR="00FC67F9" w:rsidRPr="00DA4DBE" w:rsidRDefault="00555788" w:rsidP="002A0CD0">
      <w:pPr>
        <w:numPr>
          <w:ilvl w:val="0"/>
          <w:numId w:val="3"/>
        </w:numPr>
        <w:autoSpaceDE w:val="0"/>
        <w:autoSpaceDN w:val="0"/>
        <w:adjustRightInd w:val="0"/>
        <w:spacing w:after="0" w:line="240" w:lineRule="auto"/>
        <w:rPr>
          <w:rFonts w:ascii="Times New Roman" w:hAnsi="Times New Roman"/>
          <w:sz w:val="21"/>
          <w:szCs w:val="21"/>
        </w:rPr>
      </w:pPr>
      <w:r w:rsidRPr="00555788">
        <w:rPr>
          <w:rFonts w:ascii="Times New Roman" w:hAnsi="Times New Roman"/>
          <w:b/>
          <w:bCs/>
          <w:sz w:val="21"/>
          <w:szCs w:val="21"/>
        </w:rPr>
        <w:t>March 2008</w:t>
      </w:r>
      <w:r w:rsidRPr="00555788">
        <w:rPr>
          <w:rFonts w:ascii="Times New Roman" w:hAnsi="Times New Roman"/>
          <w:sz w:val="21"/>
          <w:szCs w:val="21"/>
        </w:rPr>
        <w:t xml:space="preserve"> –</w:t>
      </w:r>
      <w:r w:rsidR="003A0A44">
        <w:rPr>
          <w:rFonts w:ascii="Times New Roman" w:hAnsi="Times New Roman"/>
          <w:sz w:val="21"/>
          <w:szCs w:val="21"/>
        </w:rPr>
        <w:t xml:space="preserve"> </w:t>
      </w:r>
      <w:r w:rsidR="000E52A1">
        <w:rPr>
          <w:rFonts w:ascii="Times New Roman" w:hAnsi="Times New Roman"/>
          <w:sz w:val="21"/>
          <w:szCs w:val="21"/>
        </w:rPr>
        <w:t>U.S. Environmental Protection Agency (</w:t>
      </w:r>
      <w:r w:rsidRPr="00555788">
        <w:rPr>
          <w:rFonts w:ascii="Times New Roman" w:hAnsi="Times New Roman"/>
          <w:sz w:val="21"/>
          <w:szCs w:val="21"/>
        </w:rPr>
        <w:t>EPA</w:t>
      </w:r>
      <w:r w:rsidR="000E52A1">
        <w:rPr>
          <w:rFonts w:ascii="Times New Roman" w:hAnsi="Times New Roman"/>
          <w:sz w:val="21"/>
          <w:szCs w:val="21"/>
        </w:rPr>
        <w:t>)</w:t>
      </w:r>
      <w:r w:rsidRPr="00555788">
        <w:rPr>
          <w:rFonts w:ascii="Times New Roman" w:hAnsi="Times New Roman"/>
          <w:sz w:val="21"/>
          <w:szCs w:val="21"/>
        </w:rPr>
        <w:t xml:space="preserve"> finalizes new 8-h</w:t>
      </w:r>
      <w:r w:rsidR="003A0A44">
        <w:rPr>
          <w:rFonts w:ascii="Times New Roman" w:hAnsi="Times New Roman"/>
          <w:sz w:val="21"/>
          <w:szCs w:val="21"/>
        </w:rPr>
        <w:t>ou</w:t>
      </w:r>
      <w:r w:rsidRPr="00555788">
        <w:rPr>
          <w:rFonts w:ascii="Times New Roman" w:hAnsi="Times New Roman"/>
          <w:sz w:val="21"/>
          <w:szCs w:val="21"/>
        </w:rPr>
        <w:t xml:space="preserve">r ozone standard at </w:t>
      </w:r>
      <w:r w:rsidR="000E52A1">
        <w:rPr>
          <w:rFonts w:ascii="Times New Roman" w:hAnsi="Times New Roman"/>
          <w:sz w:val="21"/>
          <w:szCs w:val="21"/>
        </w:rPr>
        <w:t xml:space="preserve">75 </w:t>
      </w:r>
      <w:r w:rsidR="00795A89">
        <w:rPr>
          <w:rFonts w:ascii="Times New Roman" w:hAnsi="Times New Roman"/>
          <w:sz w:val="21"/>
          <w:szCs w:val="21"/>
        </w:rPr>
        <w:t>parts per billion (</w:t>
      </w:r>
      <w:r w:rsidR="000E52A1">
        <w:rPr>
          <w:rFonts w:ascii="Times New Roman" w:hAnsi="Times New Roman"/>
          <w:sz w:val="21"/>
          <w:szCs w:val="21"/>
        </w:rPr>
        <w:t>ppb</w:t>
      </w:r>
      <w:r w:rsidR="00795A89">
        <w:rPr>
          <w:rFonts w:ascii="Times New Roman" w:hAnsi="Times New Roman"/>
          <w:sz w:val="21"/>
          <w:szCs w:val="21"/>
        </w:rPr>
        <w:t>)</w:t>
      </w:r>
      <w:r w:rsidRPr="00555788">
        <w:rPr>
          <w:rFonts w:ascii="Times New Roman" w:hAnsi="Times New Roman"/>
          <w:sz w:val="21"/>
          <w:szCs w:val="21"/>
        </w:rPr>
        <w:t>.</w:t>
      </w:r>
    </w:p>
    <w:p w:rsidR="00FC67F9" w:rsidRPr="00DA4DBE" w:rsidRDefault="00FC67F9" w:rsidP="002A0CD0">
      <w:pPr>
        <w:autoSpaceDE w:val="0"/>
        <w:autoSpaceDN w:val="0"/>
        <w:adjustRightInd w:val="0"/>
        <w:spacing w:after="0" w:line="240" w:lineRule="auto"/>
        <w:ind w:left="360"/>
        <w:rPr>
          <w:rFonts w:ascii="Times New Roman" w:hAnsi="Times New Roman"/>
          <w:sz w:val="21"/>
          <w:szCs w:val="21"/>
        </w:rPr>
      </w:pPr>
    </w:p>
    <w:p w:rsidR="00FC67F9" w:rsidRPr="00DA4DBE" w:rsidRDefault="00555788" w:rsidP="002A0CD0">
      <w:pPr>
        <w:numPr>
          <w:ilvl w:val="0"/>
          <w:numId w:val="3"/>
        </w:numPr>
        <w:autoSpaceDE w:val="0"/>
        <w:autoSpaceDN w:val="0"/>
        <w:adjustRightInd w:val="0"/>
        <w:spacing w:after="0" w:line="240" w:lineRule="auto"/>
        <w:rPr>
          <w:rFonts w:ascii="Times New Roman" w:hAnsi="Times New Roman"/>
          <w:sz w:val="21"/>
          <w:szCs w:val="21"/>
        </w:rPr>
      </w:pPr>
      <w:r w:rsidRPr="00555788">
        <w:rPr>
          <w:rFonts w:ascii="Times New Roman" w:hAnsi="Times New Roman"/>
          <w:b/>
          <w:bCs/>
          <w:sz w:val="21"/>
          <w:szCs w:val="21"/>
        </w:rPr>
        <w:t>July 2008</w:t>
      </w:r>
      <w:r w:rsidRPr="00555788">
        <w:rPr>
          <w:rFonts w:ascii="Times New Roman" w:hAnsi="Times New Roman"/>
          <w:sz w:val="21"/>
          <w:szCs w:val="21"/>
        </w:rPr>
        <w:t xml:space="preserve"> – D.C. Court of Appeals vacates Clean Air Interstate Rule (CAIR).</w:t>
      </w:r>
    </w:p>
    <w:p w:rsidR="00FC67F9" w:rsidRPr="00DA4DBE" w:rsidRDefault="00FC67F9" w:rsidP="002A0CD0">
      <w:pPr>
        <w:autoSpaceDE w:val="0"/>
        <w:autoSpaceDN w:val="0"/>
        <w:adjustRightInd w:val="0"/>
        <w:spacing w:after="0" w:line="240" w:lineRule="auto"/>
        <w:rPr>
          <w:rFonts w:ascii="Times New Roman" w:hAnsi="Times New Roman"/>
          <w:sz w:val="21"/>
          <w:szCs w:val="21"/>
        </w:rPr>
      </w:pPr>
    </w:p>
    <w:p w:rsidR="00FC67F9" w:rsidRPr="00DA4DBE" w:rsidRDefault="00555788" w:rsidP="002A0CD0">
      <w:pPr>
        <w:numPr>
          <w:ilvl w:val="0"/>
          <w:numId w:val="3"/>
        </w:numPr>
        <w:autoSpaceDE w:val="0"/>
        <w:autoSpaceDN w:val="0"/>
        <w:adjustRightInd w:val="0"/>
        <w:spacing w:after="0" w:line="240" w:lineRule="auto"/>
        <w:rPr>
          <w:rFonts w:ascii="Times New Roman" w:hAnsi="Times New Roman"/>
          <w:sz w:val="21"/>
          <w:szCs w:val="21"/>
        </w:rPr>
      </w:pPr>
      <w:r w:rsidRPr="00555788">
        <w:rPr>
          <w:rFonts w:ascii="Times New Roman" w:hAnsi="Times New Roman"/>
          <w:b/>
          <w:bCs/>
          <w:sz w:val="21"/>
          <w:szCs w:val="21"/>
        </w:rPr>
        <w:t>December 2008 –</w:t>
      </w:r>
      <w:r w:rsidRPr="00555788">
        <w:rPr>
          <w:rFonts w:ascii="Times New Roman" w:hAnsi="Times New Roman"/>
          <w:sz w:val="21"/>
          <w:szCs w:val="21"/>
        </w:rPr>
        <w:t xml:space="preserve"> D.C. Court of Appeals stays mandate vacating CAIR while EPA promulgates a new rule.  CAIR remains in place.</w:t>
      </w:r>
    </w:p>
    <w:p w:rsidR="00FC67F9" w:rsidRPr="00DA4DBE" w:rsidRDefault="00FC67F9" w:rsidP="002A0CD0">
      <w:pPr>
        <w:autoSpaceDE w:val="0"/>
        <w:autoSpaceDN w:val="0"/>
        <w:adjustRightInd w:val="0"/>
        <w:spacing w:after="0" w:line="240" w:lineRule="auto"/>
        <w:rPr>
          <w:rFonts w:ascii="Times New Roman" w:hAnsi="Times New Roman"/>
          <w:sz w:val="21"/>
          <w:szCs w:val="21"/>
        </w:rPr>
      </w:pPr>
    </w:p>
    <w:p w:rsidR="00FC67F9" w:rsidRPr="00DA4DBE" w:rsidRDefault="00555788" w:rsidP="002A0CD0">
      <w:pPr>
        <w:numPr>
          <w:ilvl w:val="0"/>
          <w:numId w:val="3"/>
        </w:numPr>
        <w:autoSpaceDE w:val="0"/>
        <w:autoSpaceDN w:val="0"/>
        <w:adjustRightInd w:val="0"/>
        <w:spacing w:after="0" w:line="240" w:lineRule="auto"/>
        <w:rPr>
          <w:rFonts w:ascii="Times New Roman" w:hAnsi="Times New Roman"/>
          <w:sz w:val="21"/>
          <w:szCs w:val="21"/>
        </w:rPr>
      </w:pPr>
      <w:r w:rsidRPr="00555788">
        <w:rPr>
          <w:rFonts w:ascii="Times New Roman" w:hAnsi="Times New Roman"/>
          <w:b/>
          <w:bCs/>
          <w:sz w:val="21"/>
          <w:szCs w:val="21"/>
        </w:rPr>
        <w:t>January 2009</w:t>
      </w:r>
      <w:r w:rsidRPr="00555788">
        <w:rPr>
          <w:rFonts w:ascii="Times New Roman" w:hAnsi="Times New Roman"/>
          <w:sz w:val="21"/>
          <w:szCs w:val="21"/>
        </w:rPr>
        <w:t xml:space="preserve"> – NO</w:t>
      </w:r>
      <w:r w:rsidRPr="00555788">
        <w:rPr>
          <w:rFonts w:ascii="Times New Roman" w:hAnsi="Times New Roman"/>
          <w:sz w:val="21"/>
          <w:szCs w:val="21"/>
          <w:vertAlign w:val="subscript"/>
        </w:rPr>
        <w:t>X</w:t>
      </w:r>
      <w:r w:rsidRPr="00555788">
        <w:rPr>
          <w:rFonts w:ascii="Times New Roman" w:hAnsi="Times New Roman"/>
          <w:sz w:val="21"/>
          <w:szCs w:val="21"/>
        </w:rPr>
        <w:t xml:space="preserve"> compliance begins under CAIR.</w:t>
      </w:r>
    </w:p>
    <w:p w:rsidR="00D763FD" w:rsidRPr="00DA4DBE" w:rsidRDefault="00D763FD" w:rsidP="002A0CD0">
      <w:pPr>
        <w:pStyle w:val="ListParagraph"/>
        <w:rPr>
          <w:sz w:val="21"/>
          <w:szCs w:val="21"/>
        </w:rPr>
      </w:pPr>
    </w:p>
    <w:p w:rsidR="000F032F" w:rsidRPr="00DA4DBE" w:rsidRDefault="00555788" w:rsidP="002A0CD0">
      <w:pPr>
        <w:numPr>
          <w:ilvl w:val="0"/>
          <w:numId w:val="3"/>
        </w:numPr>
        <w:autoSpaceDE w:val="0"/>
        <w:autoSpaceDN w:val="0"/>
        <w:adjustRightInd w:val="0"/>
        <w:spacing w:after="0" w:line="240" w:lineRule="auto"/>
        <w:rPr>
          <w:rFonts w:ascii="Times New Roman" w:hAnsi="Times New Roman"/>
          <w:sz w:val="21"/>
          <w:szCs w:val="21"/>
        </w:rPr>
      </w:pPr>
      <w:r w:rsidRPr="00555788">
        <w:rPr>
          <w:rFonts w:ascii="Times New Roman" w:hAnsi="Times New Roman"/>
          <w:b/>
          <w:sz w:val="21"/>
          <w:szCs w:val="21"/>
        </w:rPr>
        <w:t>January 2009</w:t>
      </w:r>
      <w:r w:rsidRPr="00555788">
        <w:rPr>
          <w:rFonts w:ascii="Times New Roman" w:hAnsi="Times New Roman"/>
          <w:sz w:val="21"/>
          <w:szCs w:val="21"/>
        </w:rPr>
        <w:t xml:space="preserve"> - Georgia EPD finalizes the Georgia Rule for </w:t>
      </w:r>
      <w:bookmarkStart w:id="2" w:name="OLE_LINK1"/>
      <w:bookmarkStart w:id="3" w:name="OLE_LINK2"/>
      <w:r w:rsidRPr="00555788">
        <w:rPr>
          <w:rFonts w:ascii="Times New Roman" w:hAnsi="Times New Roman"/>
          <w:sz w:val="21"/>
          <w:szCs w:val="21"/>
        </w:rPr>
        <w:t>SO</w:t>
      </w:r>
      <w:r w:rsidRPr="00555788">
        <w:rPr>
          <w:rFonts w:ascii="Times New Roman" w:hAnsi="Times New Roman"/>
          <w:sz w:val="21"/>
          <w:szCs w:val="21"/>
          <w:vertAlign w:val="subscript"/>
        </w:rPr>
        <w:t>2</w:t>
      </w:r>
      <w:r w:rsidRPr="00555788">
        <w:rPr>
          <w:rFonts w:ascii="Times New Roman" w:hAnsi="Times New Roman"/>
          <w:sz w:val="21"/>
          <w:szCs w:val="21"/>
        </w:rPr>
        <w:t xml:space="preserve"> Emissions from Electric Utility Steam Generating Units</w:t>
      </w:r>
      <w:bookmarkEnd w:id="2"/>
      <w:bookmarkEnd w:id="3"/>
      <w:r w:rsidR="000E52A1">
        <w:rPr>
          <w:rFonts w:ascii="Times New Roman" w:hAnsi="Times New Roman"/>
          <w:sz w:val="21"/>
          <w:szCs w:val="21"/>
        </w:rPr>
        <w:t xml:space="preserve"> (Georgia SO</w:t>
      </w:r>
      <w:r w:rsidR="000E52A1" w:rsidRPr="000E52A1">
        <w:rPr>
          <w:rFonts w:ascii="Times New Roman" w:hAnsi="Times New Roman"/>
          <w:sz w:val="21"/>
          <w:szCs w:val="21"/>
          <w:vertAlign w:val="subscript"/>
        </w:rPr>
        <w:t>2</w:t>
      </w:r>
      <w:r w:rsidR="000E52A1">
        <w:rPr>
          <w:rFonts w:ascii="Times New Roman" w:hAnsi="Times New Roman"/>
          <w:sz w:val="21"/>
          <w:szCs w:val="21"/>
        </w:rPr>
        <w:t xml:space="preserve"> Emissions Rule)</w:t>
      </w:r>
      <w:r w:rsidRPr="00555788">
        <w:rPr>
          <w:rFonts w:ascii="Times New Roman" w:hAnsi="Times New Roman"/>
          <w:sz w:val="21"/>
          <w:szCs w:val="21"/>
        </w:rPr>
        <w:t>.</w:t>
      </w:r>
    </w:p>
    <w:p w:rsidR="00FC67F9" w:rsidRPr="00DA4DBE" w:rsidRDefault="00FC67F9" w:rsidP="002A0CD0">
      <w:pPr>
        <w:autoSpaceDE w:val="0"/>
        <w:autoSpaceDN w:val="0"/>
        <w:adjustRightInd w:val="0"/>
        <w:spacing w:after="0" w:line="240" w:lineRule="auto"/>
        <w:rPr>
          <w:rFonts w:ascii="Times New Roman" w:hAnsi="Times New Roman"/>
          <w:sz w:val="21"/>
          <w:szCs w:val="21"/>
        </w:rPr>
      </w:pPr>
    </w:p>
    <w:p w:rsidR="00FC67F9" w:rsidRPr="00DA4DBE" w:rsidRDefault="00555788" w:rsidP="002A0CD0">
      <w:pPr>
        <w:numPr>
          <w:ilvl w:val="0"/>
          <w:numId w:val="3"/>
        </w:numPr>
        <w:autoSpaceDE w:val="0"/>
        <w:autoSpaceDN w:val="0"/>
        <w:adjustRightInd w:val="0"/>
        <w:spacing w:after="0" w:line="240" w:lineRule="auto"/>
        <w:rPr>
          <w:rFonts w:ascii="Times New Roman" w:hAnsi="Times New Roman"/>
          <w:sz w:val="21"/>
          <w:szCs w:val="21"/>
        </w:rPr>
      </w:pPr>
      <w:r w:rsidRPr="00555788">
        <w:rPr>
          <w:rFonts w:ascii="Times New Roman" w:hAnsi="Times New Roman"/>
          <w:b/>
          <w:bCs/>
          <w:sz w:val="21"/>
          <w:szCs w:val="21"/>
        </w:rPr>
        <w:t xml:space="preserve">February 2009 </w:t>
      </w:r>
      <w:r w:rsidRPr="00555788">
        <w:rPr>
          <w:rFonts w:ascii="Times New Roman" w:hAnsi="Times New Roman"/>
          <w:sz w:val="21"/>
          <w:szCs w:val="21"/>
        </w:rPr>
        <w:t>– D.C. Court of Appeals remands 2006 Annual and Secondary fine particulate matter standards to EPA for reconsideration.</w:t>
      </w:r>
    </w:p>
    <w:p w:rsidR="00FC67F9" w:rsidRPr="00DA4DBE" w:rsidRDefault="00FC67F9" w:rsidP="002A0CD0">
      <w:pPr>
        <w:spacing w:after="0" w:line="240" w:lineRule="auto"/>
        <w:ind w:left="720"/>
        <w:rPr>
          <w:rFonts w:ascii="Times New Roman" w:hAnsi="Times New Roman"/>
          <w:sz w:val="21"/>
          <w:szCs w:val="21"/>
        </w:rPr>
      </w:pPr>
    </w:p>
    <w:p w:rsidR="00FC67F9" w:rsidRPr="00DA4DBE" w:rsidRDefault="00555788" w:rsidP="002A0CD0">
      <w:pPr>
        <w:numPr>
          <w:ilvl w:val="0"/>
          <w:numId w:val="3"/>
        </w:numPr>
        <w:autoSpaceDE w:val="0"/>
        <w:autoSpaceDN w:val="0"/>
        <w:adjustRightInd w:val="0"/>
        <w:spacing w:after="0" w:line="240" w:lineRule="auto"/>
        <w:rPr>
          <w:rFonts w:ascii="Times New Roman" w:hAnsi="Times New Roman"/>
          <w:sz w:val="21"/>
          <w:szCs w:val="21"/>
        </w:rPr>
      </w:pPr>
      <w:r w:rsidRPr="00555788">
        <w:rPr>
          <w:rFonts w:ascii="Times New Roman" w:hAnsi="Times New Roman"/>
          <w:b/>
          <w:sz w:val="21"/>
          <w:szCs w:val="21"/>
        </w:rPr>
        <w:t>March 2009</w:t>
      </w:r>
      <w:r w:rsidRPr="00555788">
        <w:rPr>
          <w:rFonts w:ascii="Times New Roman" w:hAnsi="Times New Roman"/>
          <w:sz w:val="21"/>
          <w:szCs w:val="21"/>
        </w:rPr>
        <w:t xml:space="preserve"> – EPA issues </w:t>
      </w:r>
      <w:proofErr w:type="gramStart"/>
      <w:r w:rsidR="00414062">
        <w:rPr>
          <w:rFonts w:ascii="Times New Roman" w:hAnsi="Times New Roman"/>
          <w:sz w:val="21"/>
          <w:szCs w:val="21"/>
        </w:rPr>
        <w:t>a</w:t>
      </w:r>
      <w:proofErr w:type="gramEnd"/>
      <w:r w:rsidR="00414062">
        <w:rPr>
          <w:rFonts w:ascii="Times New Roman" w:hAnsi="Times New Roman"/>
          <w:sz w:val="21"/>
          <w:szCs w:val="21"/>
        </w:rPr>
        <w:t xml:space="preserve"> </w:t>
      </w:r>
      <w:r w:rsidRPr="00555788">
        <w:rPr>
          <w:rFonts w:ascii="Times New Roman" w:hAnsi="Times New Roman"/>
          <w:sz w:val="21"/>
          <w:szCs w:val="21"/>
        </w:rPr>
        <w:t xml:space="preserve">Information Request Letter on the Structural Integrity of Coal Combustion Byproducts in Surface Impoundments to the electric utility industry.  </w:t>
      </w:r>
    </w:p>
    <w:p w:rsidR="00FC67F9" w:rsidRPr="00DA4DBE" w:rsidRDefault="00FC67F9" w:rsidP="002A0CD0">
      <w:pPr>
        <w:spacing w:after="0" w:line="240" w:lineRule="auto"/>
        <w:ind w:left="720"/>
        <w:rPr>
          <w:rFonts w:ascii="Times New Roman" w:hAnsi="Times New Roman"/>
          <w:sz w:val="21"/>
          <w:szCs w:val="21"/>
        </w:rPr>
      </w:pPr>
    </w:p>
    <w:p w:rsidR="00FC67F9" w:rsidRPr="00DA4DBE" w:rsidRDefault="00555788" w:rsidP="002A0CD0">
      <w:pPr>
        <w:numPr>
          <w:ilvl w:val="0"/>
          <w:numId w:val="3"/>
        </w:numPr>
        <w:autoSpaceDE w:val="0"/>
        <w:autoSpaceDN w:val="0"/>
        <w:adjustRightInd w:val="0"/>
        <w:spacing w:after="0" w:line="240" w:lineRule="auto"/>
        <w:rPr>
          <w:rFonts w:ascii="Times New Roman" w:hAnsi="Times New Roman"/>
          <w:sz w:val="21"/>
          <w:szCs w:val="21"/>
        </w:rPr>
      </w:pPr>
      <w:r w:rsidRPr="00555788">
        <w:rPr>
          <w:rFonts w:ascii="Times New Roman" w:hAnsi="Times New Roman"/>
          <w:b/>
          <w:sz w:val="21"/>
          <w:szCs w:val="21"/>
        </w:rPr>
        <w:t>March 2009</w:t>
      </w:r>
      <w:r w:rsidRPr="00555788">
        <w:rPr>
          <w:rFonts w:ascii="Times New Roman" w:hAnsi="Times New Roman"/>
          <w:sz w:val="21"/>
          <w:szCs w:val="21"/>
        </w:rPr>
        <w:t xml:space="preserve"> – U.S. Supreme Court rules that cost-benefit analysis can be used by EPA in a 316(b) rule.</w:t>
      </w:r>
    </w:p>
    <w:p w:rsidR="00FC67F9" w:rsidRPr="00DA4DBE" w:rsidRDefault="00FC67F9" w:rsidP="002A0CD0">
      <w:pPr>
        <w:spacing w:after="0" w:line="240" w:lineRule="auto"/>
        <w:ind w:left="720"/>
        <w:rPr>
          <w:rFonts w:ascii="Times New Roman" w:hAnsi="Times New Roman"/>
          <w:sz w:val="21"/>
          <w:szCs w:val="21"/>
        </w:rPr>
      </w:pPr>
    </w:p>
    <w:p w:rsidR="003E24CC" w:rsidRDefault="00555788" w:rsidP="002A0CD0">
      <w:pPr>
        <w:numPr>
          <w:ilvl w:val="0"/>
          <w:numId w:val="3"/>
        </w:numPr>
        <w:autoSpaceDE w:val="0"/>
        <w:autoSpaceDN w:val="0"/>
        <w:adjustRightInd w:val="0"/>
        <w:spacing w:after="0" w:line="240" w:lineRule="auto"/>
        <w:rPr>
          <w:rFonts w:ascii="Times New Roman" w:hAnsi="Times New Roman"/>
          <w:sz w:val="21"/>
          <w:szCs w:val="21"/>
        </w:rPr>
      </w:pPr>
      <w:r w:rsidRPr="00555788">
        <w:rPr>
          <w:rFonts w:ascii="Times New Roman" w:hAnsi="Times New Roman"/>
          <w:b/>
          <w:bCs/>
          <w:sz w:val="21"/>
          <w:szCs w:val="21"/>
        </w:rPr>
        <w:t xml:space="preserve">September 2009 </w:t>
      </w:r>
      <w:r w:rsidRPr="00555788">
        <w:rPr>
          <w:rFonts w:ascii="Times New Roman" w:hAnsi="Times New Roman"/>
          <w:sz w:val="21"/>
          <w:szCs w:val="21"/>
        </w:rPr>
        <w:t>– EPA announces reconsideration of 2008 8-h</w:t>
      </w:r>
      <w:r w:rsidR="003A0A44">
        <w:rPr>
          <w:rFonts w:ascii="Times New Roman" w:hAnsi="Times New Roman"/>
          <w:sz w:val="21"/>
          <w:szCs w:val="21"/>
        </w:rPr>
        <w:t>ou</w:t>
      </w:r>
      <w:r w:rsidRPr="00555788">
        <w:rPr>
          <w:rFonts w:ascii="Times New Roman" w:hAnsi="Times New Roman"/>
          <w:sz w:val="21"/>
          <w:szCs w:val="21"/>
        </w:rPr>
        <w:t>r ozone standard</w:t>
      </w:r>
      <w:r w:rsidR="003E24CC">
        <w:rPr>
          <w:rFonts w:ascii="Times New Roman" w:hAnsi="Times New Roman"/>
          <w:sz w:val="21"/>
          <w:szCs w:val="21"/>
        </w:rPr>
        <w:t>.</w:t>
      </w:r>
    </w:p>
    <w:p w:rsidR="003E24CC" w:rsidRDefault="003E24CC" w:rsidP="003E24CC">
      <w:pPr>
        <w:pStyle w:val="ListParagraph"/>
        <w:rPr>
          <w:sz w:val="21"/>
          <w:szCs w:val="21"/>
        </w:rPr>
      </w:pPr>
    </w:p>
    <w:p w:rsidR="00FC67F9" w:rsidRPr="00DA4DBE" w:rsidRDefault="003E24CC" w:rsidP="002A0CD0">
      <w:pPr>
        <w:numPr>
          <w:ilvl w:val="0"/>
          <w:numId w:val="3"/>
        </w:numPr>
        <w:autoSpaceDE w:val="0"/>
        <w:autoSpaceDN w:val="0"/>
        <w:adjustRightInd w:val="0"/>
        <w:spacing w:after="0" w:line="240" w:lineRule="auto"/>
        <w:rPr>
          <w:rFonts w:ascii="Times New Roman" w:hAnsi="Times New Roman"/>
          <w:sz w:val="21"/>
          <w:szCs w:val="21"/>
        </w:rPr>
      </w:pPr>
      <w:r w:rsidRPr="003E24CC">
        <w:rPr>
          <w:rFonts w:ascii="Times New Roman" w:hAnsi="Times New Roman"/>
          <w:b/>
          <w:sz w:val="21"/>
          <w:szCs w:val="21"/>
        </w:rPr>
        <w:t>September 2009</w:t>
      </w:r>
      <w:r w:rsidR="00D940D4">
        <w:rPr>
          <w:rFonts w:ascii="Times New Roman" w:hAnsi="Times New Roman"/>
          <w:b/>
          <w:sz w:val="21"/>
          <w:szCs w:val="21"/>
        </w:rPr>
        <w:t xml:space="preserve"> </w:t>
      </w:r>
      <w:r w:rsidR="00D940D4" w:rsidRPr="00555788">
        <w:rPr>
          <w:rFonts w:ascii="Times New Roman" w:hAnsi="Times New Roman"/>
          <w:sz w:val="21"/>
          <w:szCs w:val="21"/>
        </w:rPr>
        <w:t xml:space="preserve">– </w:t>
      </w:r>
      <w:r>
        <w:rPr>
          <w:rFonts w:ascii="Times New Roman" w:hAnsi="Times New Roman"/>
          <w:sz w:val="21"/>
          <w:szCs w:val="21"/>
        </w:rPr>
        <w:t xml:space="preserve">EPA </w:t>
      </w:r>
      <w:r w:rsidR="00555788" w:rsidRPr="00555788">
        <w:rPr>
          <w:rFonts w:ascii="Times New Roman" w:hAnsi="Times New Roman"/>
          <w:sz w:val="21"/>
          <w:szCs w:val="21"/>
        </w:rPr>
        <w:t>proposes greenhouse gas regulation for stationary sources.</w:t>
      </w:r>
    </w:p>
    <w:p w:rsidR="00FC67F9" w:rsidRPr="00DA4DBE" w:rsidRDefault="00FC67F9" w:rsidP="002A0CD0">
      <w:pPr>
        <w:autoSpaceDE w:val="0"/>
        <w:autoSpaceDN w:val="0"/>
        <w:adjustRightInd w:val="0"/>
        <w:spacing w:after="0" w:line="240" w:lineRule="auto"/>
        <w:rPr>
          <w:rFonts w:ascii="Times New Roman" w:hAnsi="Times New Roman"/>
          <w:sz w:val="21"/>
          <w:szCs w:val="21"/>
        </w:rPr>
      </w:pPr>
    </w:p>
    <w:p w:rsidR="00FC67F9" w:rsidRPr="00DA4DBE" w:rsidRDefault="00555788" w:rsidP="002A0CD0">
      <w:pPr>
        <w:numPr>
          <w:ilvl w:val="0"/>
          <w:numId w:val="3"/>
        </w:numPr>
        <w:autoSpaceDE w:val="0"/>
        <w:autoSpaceDN w:val="0"/>
        <w:adjustRightInd w:val="0"/>
        <w:spacing w:after="0" w:line="240" w:lineRule="auto"/>
        <w:rPr>
          <w:rFonts w:ascii="Times New Roman" w:hAnsi="Times New Roman"/>
          <w:sz w:val="21"/>
          <w:szCs w:val="21"/>
        </w:rPr>
      </w:pPr>
      <w:r w:rsidRPr="00555788">
        <w:rPr>
          <w:rFonts w:ascii="Times New Roman" w:hAnsi="Times New Roman"/>
          <w:b/>
          <w:bCs/>
          <w:sz w:val="21"/>
          <w:szCs w:val="21"/>
        </w:rPr>
        <w:t xml:space="preserve">October 2009 </w:t>
      </w:r>
      <w:r w:rsidRPr="00555788">
        <w:rPr>
          <w:rFonts w:ascii="Times New Roman" w:hAnsi="Times New Roman"/>
          <w:sz w:val="21"/>
          <w:szCs w:val="21"/>
        </w:rPr>
        <w:t>– EPA releases draft Information Collection Request for future Steam Electric Industry Effluent Guidelines rulemaking.</w:t>
      </w:r>
    </w:p>
    <w:p w:rsidR="00FC67F9" w:rsidRPr="00DA4DBE" w:rsidRDefault="00FC67F9" w:rsidP="002A0CD0">
      <w:pPr>
        <w:spacing w:after="0" w:line="240" w:lineRule="auto"/>
        <w:ind w:left="720"/>
        <w:rPr>
          <w:rFonts w:ascii="Times New Roman" w:hAnsi="Times New Roman"/>
          <w:sz w:val="21"/>
          <w:szCs w:val="21"/>
        </w:rPr>
      </w:pPr>
    </w:p>
    <w:p w:rsidR="00FC67F9" w:rsidRPr="00DA4DBE" w:rsidRDefault="00555788" w:rsidP="002A0CD0">
      <w:pPr>
        <w:numPr>
          <w:ilvl w:val="0"/>
          <w:numId w:val="3"/>
        </w:numPr>
        <w:autoSpaceDE w:val="0"/>
        <w:autoSpaceDN w:val="0"/>
        <w:adjustRightInd w:val="0"/>
        <w:spacing w:after="0" w:line="240" w:lineRule="auto"/>
        <w:rPr>
          <w:rFonts w:ascii="Times New Roman" w:hAnsi="Times New Roman"/>
          <w:sz w:val="21"/>
          <w:szCs w:val="21"/>
        </w:rPr>
      </w:pPr>
      <w:r w:rsidRPr="00555788">
        <w:rPr>
          <w:rFonts w:ascii="Times New Roman" w:hAnsi="Times New Roman"/>
          <w:b/>
          <w:bCs/>
          <w:sz w:val="21"/>
          <w:szCs w:val="21"/>
        </w:rPr>
        <w:t xml:space="preserve">October 2009 </w:t>
      </w:r>
      <w:r w:rsidRPr="00555788">
        <w:rPr>
          <w:rFonts w:ascii="Times New Roman" w:hAnsi="Times New Roman"/>
          <w:sz w:val="21"/>
          <w:szCs w:val="21"/>
        </w:rPr>
        <w:t>– EPA finalizes nonattainment designations for 2006 24-hour fine particulate matter standard.</w:t>
      </w:r>
    </w:p>
    <w:p w:rsidR="00FC67F9" w:rsidRPr="00DA4DBE" w:rsidRDefault="00FC67F9" w:rsidP="002A0CD0">
      <w:pPr>
        <w:spacing w:after="0" w:line="240" w:lineRule="auto"/>
        <w:ind w:left="720"/>
        <w:rPr>
          <w:rFonts w:ascii="Times New Roman" w:hAnsi="Times New Roman"/>
          <w:sz w:val="21"/>
          <w:szCs w:val="21"/>
        </w:rPr>
      </w:pPr>
    </w:p>
    <w:p w:rsidR="00FC67F9" w:rsidRPr="00DA4DBE" w:rsidRDefault="00555788" w:rsidP="002A0CD0">
      <w:pPr>
        <w:numPr>
          <w:ilvl w:val="0"/>
          <w:numId w:val="3"/>
        </w:numPr>
        <w:autoSpaceDE w:val="0"/>
        <w:autoSpaceDN w:val="0"/>
        <w:adjustRightInd w:val="0"/>
        <w:spacing w:after="0" w:line="240" w:lineRule="auto"/>
        <w:rPr>
          <w:rFonts w:ascii="Times New Roman" w:hAnsi="Times New Roman"/>
          <w:sz w:val="21"/>
          <w:szCs w:val="21"/>
        </w:rPr>
      </w:pPr>
      <w:r w:rsidRPr="00555788">
        <w:rPr>
          <w:rFonts w:ascii="Times New Roman" w:hAnsi="Times New Roman"/>
          <w:b/>
          <w:bCs/>
          <w:sz w:val="21"/>
          <w:szCs w:val="21"/>
        </w:rPr>
        <w:t xml:space="preserve">November 2009 </w:t>
      </w:r>
      <w:r w:rsidRPr="00555788">
        <w:rPr>
          <w:rFonts w:ascii="Times New Roman" w:hAnsi="Times New Roman"/>
          <w:sz w:val="21"/>
          <w:szCs w:val="21"/>
        </w:rPr>
        <w:t>– EPA proposes to revise the primary SO</w:t>
      </w:r>
      <w:r w:rsidRPr="00555788">
        <w:rPr>
          <w:rFonts w:ascii="Times New Roman" w:hAnsi="Times New Roman"/>
          <w:sz w:val="21"/>
          <w:szCs w:val="21"/>
          <w:vertAlign w:val="subscript"/>
        </w:rPr>
        <w:t>2</w:t>
      </w:r>
      <w:r w:rsidRPr="00555788">
        <w:rPr>
          <w:rFonts w:ascii="Times New Roman" w:hAnsi="Times New Roman"/>
          <w:sz w:val="21"/>
          <w:szCs w:val="21"/>
        </w:rPr>
        <w:t xml:space="preserve"> standard, recommending a new 1</w:t>
      </w:r>
      <w:r w:rsidR="000E52A1">
        <w:rPr>
          <w:rFonts w:ascii="Times New Roman" w:hAnsi="Times New Roman"/>
          <w:sz w:val="21"/>
          <w:szCs w:val="21"/>
        </w:rPr>
        <w:t>-h</w:t>
      </w:r>
      <w:r w:rsidR="003A0A44">
        <w:rPr>
          <w:rFonts w:ascii="Times New Roman" w:hAnsi="Times New Roman"/>
          <w:sz w:val="21"/>
          <w:szCs w:val="21"/>
        </w:rPr>
        <w:t>ou</w:t>
      </w:r>
      <w:r w:rsidR="000E52A1">
        <w:rPr>
          <w:rFonts w:ascii="Times New Roman" w:hAnsi="Times New Roman"/>
          <w:sz w:val="21"/>
          <w:szCs w:val="21"/>
        </w:rPr>
        <w:t xml:space="preserve">r standard in the range of 50 to </w:t>
      </w:r>
      <w:r w:rsidRPr="00555788">
        <w:rPr>
          <w:rFonts w:ascii="Times New Roman" w:hAnsi="Times New Roman"/>
          <w:sz w:val="21"/>
          <w:szCs w:val="21"/>
        </w:rPr>
        <w:t>100 ppb.</w:t>
      </w:r>
    </w:p>
    <w:p w:rsidR="00FC67F9" w:rsidRPr="00DA4DBE" w:rsidRDefault="00FC67F9" w:rsidP="002A0CD0">
      <w:pPr>
        <w:autoSpaceDE w:val="0"/>
        <w:autoSpaceDN w:val="0"/>
        <w:adjustRightInd w:val="0"/>
        <w:spacing w:after="0" w:line="240" w:lineRule="auto"/>
        <w:rPr>
          <w:rFonts w:ascii="Times New Roman" w:hAnsi="Times New Roman"/>
          <w:sz w:val="21"/>
          <w:szCs w:val="21"/>
        </w:rPr>
      </w:pPr>
    </w:p>
    <w:p w:rsidR="00FC67F9" w:rsidRPr="00DA4DBE" w:rsidRDefault="00555788" w:rsidP="002A0CD0">
      <w:pPr>
        <w:numPr>
          <w:ilvl w:val="0"/>
          <w:numId w:val="3"/>
        </w:numPr>
        <w:autoSpaceDE w:val="0"/>
        <w:autoSpaceDN w:val="0"/>
        <w:adjustRightInd w:val="0"/>
        <w:spacing w:after="0" w:line="240" w:lineRule="auto"/>
        <w:rPr>
          <w:rFonts w:ascii="Times New Roman" w:hAnsi="Times New Roman"/>
          <w:sz w:val="21"/>
          <w:szCs w:val="21"/>
        </w:rPr>
      </w:pPr>
      <w:r w:rsidRPr="00555788">
        <w:rPr>
          <w:rFonts w:ascii="Times New Roman" w:hAnsi="Times New Roman"/>
          <w:b/>
          <w:bCs/>
          <w:sz w:val="21"/>
          <w:szCs w:val="21"/>
        </w:rPr>
        <w:t xml:space="preserve">December 2009 </w:t>
      </w:r>
      <w:r w:rsidRPr="00555788">
        <w:rPr>
          <w:rFonts w:ascii="Times New Roman" w:hAnsi="Times New Roman"/>
          <w:sz w:val="21"/>
          <w:szCs w:val="21"/>
        </w:rPr>
        <w:t>– EPA issues an “endangerment finding” for motor vehicles which formally determines that six greenhouse gases taken in combination endanger both the public health and public welfare.</w:t>
      </w:r>
    </w:p>
    <w:p w:rsidR="00FC67F9" w:rsidRPr="00DA4DBE" w:rsidRDefault="00FC67F9" w:rsidP="002A0CD0">
      <w:pPr>
        <w:autoSpaceDE w:val="0"/>
        <w:autoSpaceDN w:val="0"/>
        <w:adjustRightInd w:val="0"/>
        <w:spacing w:after="0" w:line="240" w:lineRule="auto"/>
        <w:rPr>
          <w:rFonts w:ascii="Times New Roman" w:hAnsi="Times New Roman"/>
          <w:sz w:val="21"/>
          <w:szCs w:val="21"/>
        </w:rPr>
      </w:pPr>
    </w:p>
    <w:p w:rsidR="00FC67F9" w:rsidRPr="00DA4DBE" w:rsidRDefault="00555788" w:rsidP="002A0CD0">
      <w:pPr>
        <w:numPr>
          <w:ilvl w:val="0"/>
          <w:numId w:val="3"/>
        </w:numPr>
        <w:autoSpaceDE w:val="0"/>
        <w:autoSpaceDN w:val="0"/>
        <w:adjustRightInd w:val="0"/>
        <w:spacing w:after="0" w:line="240" w:lineRule="auto"/>
        <w:rPr>
          <w:rFonts w:ascii="Times New Roman" w:hAnsi="Times New Roman"/>
          <w:sz w:val="21"/>
          <w:szCs w:val="21"/>
        </w:rPr>
      </w:pPr>
      <w:r w:rsidRPr="00555788">
        <w:rPr>
          <w:rFonts w:ascii="Times New Roman" w:hAnsi="Times New Roman"/>
          <w:b/>
          <w:bCs/>
          <w:sz w:val="21"/>
          <w:szCs w:val="21"/>
        </w:rPr>
        <w:t xml:space="preserve">January 2010 </w:t>
      </w:r>
      <w:r w:rsidRPr="00555788">
        <w:rPr>
          <w:rFonts w:ascii="Times New Roman" w:hAnsi="Times New Roman"/>
          <w:sz w:val="21"/>
          <w:szCs w:val="21"/>
        </w:rPr>
        <w:t>– EPA releases final Information Collection Request for future coal- and oil-fired electric utility steam generating units (EGU) MACT rulemaking.</w:t>
      </w:r>
    </w:p>
    <w:p w:rsidR="00FC67F9" w:rsidRPr="00DA4DBE" w:rsidRDefault="00FC67F9" w:rsidP="002A0CD0">
      <w:pPr>
        <w:spacing w:after="0" w:line="240" w:lineRule="auto"/>
        <w:ind w:left="720"/>
        <w:rPr>
          <w:rFonts w:ascii="Times New Roman" w:hAnsi="Times New Roman"/>
          <w:sz w:val="21"/>
          <w:szCs w:val="21"/>
        </w:rPr>
      </w:pPr>
    </w:p>
    <w:p w:rsidR="00FC67F9" w:rsidRPr="00DA4DBE" w:rsidRDefault="00555788" w:rsidP="002A0CD0">
      <w:pPr>
        <w:numPr>
          <w:ilvl w:val="0"/>
          <w:numId w:val="3"/>
        </w:numPr>
        <w:autoSpaceDE w:val="0"/>
        <w:autoSpaceDN w:val="0"/>
        <w:adjustRightInd w:val="0"/>
        <w:spacing w:after="0" w:line="240" w:lineRule="auto"/>
        <w:rPr>
          <w:rFonts w:ascii="Times New Roman" w:hAnsi="Times New Roman"/>
          <w:sz w:val="21"/>
          <w:szCs w:val="21"/>
        </w:rPr>
      </w:pPr>
      <w:r w:rsidRPr="00555788">
        <w:rPr>
          <w:rFonts w:ascii="Times New Roman" w:hAnsi="Times New Roman"/>
          <w:b/>
          <w:bCs/>
          <w:sz w:val="21"/>
          <w:szCs w:val="21"/>
        </w:rPr>
        <w:t xml:space="preserve">January 2010 </w:t>
      </w:r>
      <w:r w:rsidRPr="00555788">
        <w:rPr>
          <w:rFonts w:ascii="Times New Roman" w:hAnsi="Times New Roman"/>
          <w:sz w:val="21"/>
          <w:szCs w:val="21"/>
        </w:rPr>
        <w:t>– EPA announces a proposed revision to the 2008 8-h</w:t>
      </w:r>
      <w:r w:rsidR="003A0A44">
        <w:rPr>
          <w:rFonts w:ascii="Times New Roman" w:hAnsi="Times New Roman"/>
          <w:sz w:val="21"/>
          <w:szCs w:val="21"/>
        </w:rPr>
        <w:t>ou</w:t>
      </w:r>
      <w:r w:rsidRPr="00555788">
        <w:rPr>
          <w:rFonts w:ascii="Times New Roman" w:hAnsi="Times New Roman"/>
          <w:sz w:val="21"/>
          <w:szCs w:val="21"/>
        </w:rPr>
        <w:t xml:space="preserve">r ozone standard, lowering the level from </w:t>
      </w:r>
      <w:r w:rsidR="000E52A1">
        <w:rPr>
          <w:rFonts w:ascii="Times New Roman" w:hAnsi="Times New Roman"/>
          <w:sz w:val="21"/>
          <w:szCs w:val="21"/>
        </w:rPr>
        <w:t>75 ppb</w:t>
      </w:r>
      <w:r w:rsidRPr="00555788">
        <w:rPr>
          <w:rFonts w:ascii="Times New Roman" w:hAnsi="Times New Roman"/>
          <w:sz w:val="21"/>
          <w:szCs w:val="21"/>
        </w:rPr>
        <w:t xml:space="preserve"> to a level in the range </w:t>
      </w:r>
      <w:r w:rsidR="000E52A1">
        <w:rPr>
          <w:rFonts w:ascii="Times New Roman" w:hAnsi="Times New Roman"/>
          <w:sz w:val="21"/>
          <w:szCs w:val="21"/>
        </w:rPr>
        <w:t>60 to 70 ppb</w:t>
      </w:r>
      <w:r w:rsidRPr="00555788">
        <w:rPr>
          <w:rFonts w:ascii="Times New Roman" w:hAnsi="Times New Roman"/>
          <w:sz w:val="21"/>
          <w:szCs w:val="21"/>
        </w:rPr>
        <w:t>.</w:t>
      </w:r>
    </w:p>
    <w:p w:rsidR="00FC67F9" w:rsidRPr="00DA4DBE" w:rsidRDefault="00FC67F9" w:rsidP="002A0CD0">
      <w:pPr>
        <w:spacing w:after="0" w:line="240" w:lineRule="auto"/>
        <w:ind w:left="720"/>
        <w:rPr>
          <w:rFonts w:ascii="Times New Roman" w:hAnsi="Times New Roman"/>
          <w:sz w:val="21"/>
          <w:szCs w:val="21"/>
        </w:rPr>
      </w:pPr>
    </w:p>
    <w:p w:rsidR="00FC67F9" w:rsidRPr="00DA4DBE" w:rsidRDefault="00555788" w:rsidP="002A0CD0">
      <w:pPr>
        <w:numPr>
          <w:ilvl w:val="0"/>
          <w:numId w:val="3"/>
        </w:numPr>
        <w:autoSpaceDE w:val="0"/>
        <w:autoSpaceDN w:val="0"/>
        <w:adjustRightInd w:val="0"/>
        <w:spacing w:after="0" w:line="240" w:lineRule="auto"/>
        <w:rPr>
          <w:rFonts w:ascii="Times New Roman" w:hAnsi="Times New Roman"/>
          <w:sz w:val="21"/>
          <w:szCs w:val="21"/>
        </w:rPr>
      </w:pPr>
      <w:r w:rsidRPr="00555788">
        <w:rPr>
          <w:rFonts w:ascii="Times New Roman" w:hAnsi="Times New Roman"/>
          <w:b/>
          <w:sz w:val="21"/>
          <w:szCs w:val="21"/>
        </w:rPr>
        <w:t xml:space="preserve">January 2010 – </w:t>
      </w:r>
      <w:r w:rsidRPr="00555788">
        <w:rPr>
          <w:rFonts w:ascii="Times New Roman" w:hAnsi="Times New Roman"/>
          <w:sz w:val="21"/>
          <w:szCs w:val="21"/>
        </w:rPr>
        <w:t>EPA promulgates new NO</w:t>
      </w:r>
      <w:r w:rsidRPr="00555788">
        <w:rPr>
          <w:rFonts w:ascii="Times New Roman" w:hAnsi="Times New Roman"/>
          <w:sz w:val="21"/>
          <w:szCs w:val="21"/>
          <w:vertAlign w:val="subscript"/>
        </w:rPr>
        <w:t xml:space="preserve">2 </w:t>
      </w:r>
      <w:r w:rsidRPr="00555788">
        <w:rPr>
          <w:rFonts w:ascii="Times New Roman" w:hAnsi="Times New Roman"/>
          <w:sz w:val="21"/>
          <w:szCs w:val="21"/>
        </w:rPr>
        <w:t>1-hour 100 pp</w:t>
      </w:r>
      <w:r w:rsidR="000E52A1">
        <w:rPr>
          <w:rFonts w:ascii="Times New Roman" w:hAnsi="Times New Roman"/>
          <w:sz w:val="21"/>
          <w:szCs w:val="21"/>
        </w:rPr>
        <w:t>b</w:t>
      </w:r>
      <w:r w:rsidRPr="00555788">
        <w:rPr>
          <w:rFonts w:ascii="Times New Roman" w:hAnsi="Times New Roman"/>
          <w:sz w:val="21"/>
          <w:szCs w:val="21"/>
        </w:rPr>
        <w:t xml:space="preserve"> </w:t>
      </w:r>
      <w:r w:rsidR="004374F7" w:rsidRPr="00555788">
        <w:rPr>
          <w:rFonts w:ascii="Times New Roman" w:hAnsi="Times New Roman"/>
          <w:sz w:val="21"/>
          <w:szCs w:val="21"/>
        </w:rPr>
        <w:t>standards</w:t>
      </w:r>
      <w:r w:rsidRPr="00555788">
        <w:rPr>
          <w:rFonts w:ascii="Times New Roman" w:hAnsi="Times New Roman"/>
          <w:sz w:val="21"/>
          <w:szCs w:val="21"/>
        </w:rPr>
        <w:t>.</w:t>
      </w:r>
    </w:p>
    <w:p w:rsidR="00FC67F9" w:rsidRPr="00DA4DBE" w:rsidRDefault="00FC67F9" w:rsidP="002A0CD0">
      <w:pPr>
        <w:spacing w:after="0" w:line="240" w:lineRule="auto"/>
        <w:ind w:left="720"/>
        <w:rPr>
          <w:rFonts w:ascii="Times New Roman" w:hAnsi="Times New Roman"/>
          <w:sz w:val="21"/>
          <w:szCs w:val="21"/>
        </w:rPr>
      </w:pPr>
    </w:p>
    <w:p w:rsidR="00FC67F9" w:rsidRPr="00DA4DBE" w:rsidRDefault="00555788" w:rsidP="002A0CD0">
      <w:pPr>
        <w:numPr>
          <w:ilvl w:val="0"/>
          <w:numId w:val="3"/>
        </w:numPr>
        <w:autoSpaceDE w:val="0"/>
        <w:autoSpaceDN w:val="0"/>
        <w:adjustRightInd w:val="0"/>
        <w:spacing w:after="0" w:line="240" w:lineRule="auto"/>
        <w:rPr>
          <w:rFonts w:ascii="Times New Roman" w:hAnsi="Times New Roman"/>
          <w:sz w:val="21"/>
          <w:szCs w:val="21"/>
        </w:rPr>
      </w:pPr>
      <w:r w:rsidRPr="00555788">
        <w:rPr>
          <w:rFonts w:ascii="Times New Roman" w:hAnsi="Times New Roman"/>
          <w:b/>
          <w:sz w:val="21"/>
          <w:szCs w:val="21"/>
        </w:rPr>
        <w:t>May 2010</w:t>
      </w:r>
      <w:r w:rsidRPr="00555788">
        <w:rPr>
          <w:rFonts w:ascii="Times New Roman" w:hAnsi="Times New Roman"/>
          <w:sz w:val="21"/>
          <w:szCs w:val="21"/>
        </w:rPr>
        <w:t xml:space="preserve"> – EPA announces a proposed rule regulating Coal Combustion Byproducts under RCRA.</w:t>
      </w:r>
    </w:p>
    <w:p w:rsidR="00FC67F9" w:rsidRPr="00DA4DBE" w:rsidRDefault="00FC67F9" w:rsidP="002A0CD0">
      <w:pPr>
        <w:spacing w:after="0" w:line="240" w:lineRule="auto"/>
        <w:ind w:left="720"/>
        <w:rPr>
          <w:rFonts w:ascii="Times New Roman" w:hAnsi="Times New Roman"/>
          <w:sz w:val="21"/>
          <w:szCs w:val="21"/>
        </w:rPr>
      </w:pPr>
    </w:p>
    <w:p w:rsidR="00FC67F9" w:rsidRPr="00DA4DBE" w:rsidRDefault="00555788" w:rsidP="002A0CD0">
      <w:pPr>
        <w:numPr>
          <w:ilvl w:val="0"/>
          <w:numId w:val="3"/>
        </w:numPr>
        <w:autoSpaceDE w:val="0"/>
        <w:autoSpaceDN w:val="0"/>
        <w:adjustRightInd w:val="0"/>
        <w:spacing w:after="0" w:line="240" w:lineRule="auto"/>
        <w:rPr>
          <w:rFonts w:ascii="Times New Roman" w:hAnsi="Times New Roman"/>
          <w:sz w:val="21"/>
          <w:szCs w:val="21"/>
        </w:rPr>
      </w:pPr>
      <w:r w:rsidRPr="00555788">
        <w:rPr>
          <w:rFonts w:ascii="Times New Roman" w:hAnsi="Times New Roman"/>
          <w:b/>
          <w:sz w:val="21"/>
          <w:szCs w:val="21"/>
        </w:rPr>
        <w:t xml:space="preserve">May 2010 </w:t>
      </w:r>
      <w:r w:rsidRPr="00555788">
        <w:rPr>
          <w:rFonts w:ascii="Times New Roman" w:hAnsi="Times New Roman"/>
          <w:sz w:val="21"/>
          <w:szCs w:val="21"/>
        </w:rPr>
        <w:t>– EPA releases Tailoring Rule that applies to CO</w:t>
      </w:r>
      <w:r w:rsidRPr="00555788">
        <w:rPr>
          <w:rFonts w:ascii="Times New Roman" w:hAnsi="Times New Roman"/>
          <w:sz w:val="21"/>
          <w:szCs w:val="21"/>
          <w:vertAlign w:val="subscript"/>
        </w:rPr>
        <w:t>2</w:t>
      </w:r>
      <w:r w:rsidRPr="00555788">
        <w:rPr>
          <w:rFonts w:ascii="Times New Roman" w:hAnsi="Times New Roman"/>
          <w:sz w:val="21"/>
          <w:szCs w:val="21"/>
        </w:rPr>
        <w:t xml:space="preserve"> and other GHGs.</w:t>
      </w:r>
    </w:p>
    <w:p w:rsidR="00FC67F9" w:rsidRPr="00DA4DBE" w:rsidRDefault="00FC67F9" w:rsidP="002A0CD0">
      <w:pPr>
        <w:spacing w:after="0" w:line="240" w:lineRule="auto"/>
        <w:ind w:left="720"/>
        <w:rPr>
          <w:rFonts w:ascii="Times New Roman" w:hAnsi="Times New Roman"/>
          <w:sz w:val="21"/>
          <w:szCs w:val="21"/>
        </w:rPr>
      </w:pPr>
    </w:p>
    <w:p w:rsidR="00FC67F9" w:rsidRPr="00DA4DBE" w:rsidRDefault="00555788" w:rsidP="002A0CD0">
      <w:pPr>
        <w:numPr>
          <w:ilvl w:val="0"/>
          <w:numId w:val="3"/>
        </w:numPr>
        <w:autoSpaceDE w:val="0"/>
        <w:autoSpaceDN w:val="0"/>
        <w:adjustRightInd w:val="0"/>
        <w:spacing w:after="0" w:line="240" w:lineRule="auto"/>
        <w:rPr>
          <w:rFonts w:ascii="Times New Roman" w:hAnsi="Times New Roman"/>
          <w:sz w:val="21"/>
          <w:szCs w:val="21"/>
        </w:rPr>
      </w:pPr>
      <w:r w:rsidRPr="00555788">
        <w:rPr>
          <w:rFonts w:ascii="Times New Roman" w:hAnsi="Times New Roman"/>
          <w:b/>
          <w:sz w:val="21"/>
          <w:szCs w:val="21"/>
        </w:rPr>
        <w:t>June 2010</w:t>
      </w:r>
      <w:r w:rsidRPr="00555788">
        <w:rPr>
          <w:rFonts w:ascii="Times New Roman" w:hAnsi="Times New Roman"/>
          <w:sz w:val="21"/>
          <w:szCs w:val="21"/>
        </w:rPr>
        <w:t xml:space="preserve"> – EPA announces the proposed Transport Rule as a successor to CAIR.</w:t>
      </w:r>
    </w:p>
    <w:p w:rsidR="00FC67F9" w:rsidRPr="00DA4DBE" w:rsidRDefault="00FC67F9" w:rsidP="002A0CD0">
      <w:pPr>
        <w:spacing w:after="0" w:line="240" w:lineRule="auto"/>
        <w:ind w:left="720"/>
        <w:rPr>
          <w:rFonts w:ascii="Times New Roman" w:hAnsi="Times New Roman"/>
          <w:sz w:val="21"/>
          <w:szCs w:val="21"/>
        </w:rPr>
      </w:pPr>
    </w:p>
    <w:p w:rsidR="00FC67F9" w:rsidRPr="00DA4DBE" w:rsidRDefault="00555788" w:rsidP="002A0CD0">
      <w:pPr>
        <w:numPr>
          <w:ilvl w:val="0"/>
          <w:numId w:val="3"/>
        </w:numPr>
        <w:autoSpaceDE w:val="0"/>
        <w:autoSpaceDN w:val="0"/>
        <w:adjustRightInd w:val="0"/>
        <w:spacing w:after="0" w:line="240" w:lineRule="auto"/>
        <w:rPr>
          <w:rFonts w:ascii="Times New Roman" w:hAnsi="Times New Roman"/>
          <w:sz w:val="21"/>
          <w:szCs w:val="21"/>
        </w:rPr>
      </w:pPr>
      <w:r w:rsidRPr="00555788">
        <w:rPr>
          <w:rFonts w:ascii="Times New Roman" w:hAnsi="Times New Roman"/>
          <w:b/>
          <w:sz w:val="21"/>
          <w:szCs w:val="21"/>
        </w:rPr>
        <w:t xml:space="preserve">June 2010 – </w:t>
      </w:r>
      <w:r w:rsidRPr="00555788">
        <w:rPr>
          <w:rFonts w:ascii="Times New Roman" w:hAnsi="Times New Roman"/>
          <w:sz w:val="21"/>
          <w:szCs w:val="21"/>
        </w:rPr>
        <w:t xml:space="preserve">EPA </w:t>
      </w:r>
      <w:r w:rsidR="00DD02D3">
        <w:rPr>
          <w:rFonts w:ascii="Times New Roman" w:hAnsi="Times New Roman"/>
          <w:sz w:val="21"/>
          <w:szCs w:val="21"/>
        </w:rPr>
        <w:t>finalizes</w:t>
      </w:r>
      <w:r w:rsidR="00DD02D3" w:rsidRPr="00555788">
        <w:rPr>
          <w:rFonts w:ascii="Times New Roman" w:hAnsi="Times New Roman"/>
          <w:sz w:val="21"/>
          <w:szCs w:val="21"/>
        </w:rPr>
        <w:t xml:space="preserve"> </w:t>
      </w:r>
      <w:r w:rsidRPr="00555788">
        <w:rPr>
          <w:rFonts w:ascii="Times New Roman" w:hAnsi="Times New Roman"/>
          <w:sz w:val="21"/>
          <w:szCs w:val="21"/>
        </w:rPr>
        <w:t>new SO</w:t>
      </w:r>
      <w:r w:rsidRPr="00555788">
        <w:rPr>
          <w:rFonts w:ascii="Times New Roman" w:hAnsi="Times New Roman"/>
          <w:sz w:val="21"/>
          <w:szCs w:val="21"/>
          <w:vertAlign w:val="subscript"/>
        </w:rPr>
        <w:t>2</w:t>
      </w:r>
      <w:r w:rsidRPr="00555788">
        <w:rPr>
          <w:rFonts w:ascii="Times New Roman" w:hAnsi="Times New Roman"/>
          <w:sz w:val="21"/>
          <w:szCs w:val="21"/>
        </w:rPr>
        <w:t xml:space="preserve"> 1-hour 75 ppb standard.</w:t>
      </w:r>
    </w:p>
    <w:p w:rsidR="00FC67F9" w:rsidRPr="00DA4DBE" w:rsidRDefault="00FC67F9" w:rsidP="002A0CD0">
      <w:pPr>
        <w:spacing w:after="0" w:line="240" w:lineRule="auto"/>
        <w:ind w:left="720"/>
        <w:rPr>
          <w:rFonts w:ascii="Times New Roman" w:hAnsi="Times New Roman"/>
          <w:sz w:val="21"/>
          <w:szCs w:val="21"/>
        </w:rPr>
      </w:pPr>
    </w:p>
    <w:p w:rsidR="00FC67F9" w:rsidRPr="00DA4DBE" w:rsidRDefault="00555788" w:rsidP="002A0CD0">
      <w:pPr>
        <w:numPr>
          <w:ilvl w:val="0"/>
          <w:numId w:val="3"/>
        </w:numPr>
        <w:autoSpaceDE w:val="0"/>
        <w:autoSpaceDN w:val="0"/>
        <w:adjustRightInd w:val="0"/>
        <w:spacing w:after="0" w:line="240" w:lineRule="auto"/>
        <w:rPr>
          <w:rFonts w:ascii="Times New Roman" w:hAnsi="Times New Roman"/>
          <w:sz w:val="21"/>
          <w:szCs w:val="21"/>
        </w:rPr>
      </w:pPr>
      <w:proofErr w:type="gramStart"/>
      <w:r w:rsidRPr="00555788">
        <w:rPr>
          <w:rFonts w:ascii="Times New Roman" w:hAnsi="Times New Roman"/>
          <w:b/>
          <w:sz w:val="21"/>
          <w:szCs w:val="21"/>
        </w:rPr>
        <w:t>January  2011</w:t>
      </w:r>
      <w:proofErr w:type="gramEnd"/>
      <w:r w:rsidRPr="00555788">
        <w:rPr>
          <w:rFonts w:ascii="Times New Roman" w:hAnsi="Times New Roman"/>
          <w:b/>
          <w:sz w:val="21"/>
          <w:szCs w:val="21"/>
        </w:rPr>
        <w:t xml:space="preserve"> </w:t>
      </w:r>
      <w:r w:rsidRPr="00555788">
        <w:rPr>
          <w:rFonts w:ascii="Times New Roman" w:hAnsi="Times New Roman"/>
          <w:sz w:val="21"/>
          <w:szCs w:val="21"/>
        </w:rPr>
        <w:t xml:space="preserve">– Phase I of Tailoring Rule </w:t>
      </w:r>
      <w:r w:rsidR="003E24CC">
        <w:rPr>
          <w:rFonts w:ascii="Times New Roman" w:hAnsi="Times New Roman"/>
          <w:sz w:val="21"/>
          <w:szCs w:val="21"/>
        </w:rPr>
        <w:t xml:space="preserve">begins for </w:t>
      </w:r>
      <w:r w:rsidRPr="00555788">
        <w:rPr>
          <w:rFonts w:ascii="Times New Roman" w:hAnsi="Times New Roman"/>
          <w:sz w:val="21"/>
          <w:szCs w:val="21"/>
        </w:rPr>
        <w:t>new and modified sources.</w:t>
      </w:r>
    </w:p>
    <w:p w:rsidR="00FC67F9" w:rsidRPr="00DA4DBE" w:rsidRDefault="00FC67F9" w:rsidP="002A0CD0">
      <w:pPr>
        <w:spacing w:after="0" w:line="240" w:lineRule="auto"/>
        <w:ind w:left="720"/>
        <w:rPr>
          <w:rFonts w:ascii="Times New Roman" w:hAnsi="Times New Roman"/>
          <w:sz w:val="21"/>
          <w:szCs w:val="21"/>
        </w:rPr>
      </w:pPr>
    </w:p>
    <w:p w:rsidR="00FC67F9" w:rsidRPr="00DA4DBE" w:rsidRDefault="00555788" w:rsidP="002A0CD0">
      <w:pPr>
        <w:numPr>
          <w:ilvl w:val="0"/>
          <w:numId w:val="3"/>
        </w:numPr>
        <w:autoSpaceDE w:val="0"/>
        <w:autoSpaceDN w:val="0"/>
        <w:adjustRightInd w:val="0"/>
        <w:spacing w:after="0" w:line="240" w:lineRule="auto"/>
        <w:rPr>
          <w:rFonts w:ascii="Times New Roman" w:hAnsi="Times New Roman"/>
          <w:sz w:val="21"/>
          <w:szCs w:val="21"/>
        </w:rPr>
      </w:pPr>
      <w:r w:rsidRPr="00555788">
        <w:rPr>
          <w:rFonts w:ascii="Times New Roman" w:hAnsi="Times New Roman"/>
          <w:b/>
          <w:sz w:val="21"/>
          <w:szCs w:val="21"/>
        </w:rPr>
        <w:t>February 2011</w:t>
      </w:r>
      <w:r w:rsidRPr="00555788">
        <w:rPr>
          <w:rFonts w:ascii="Times New Roman" w:hAnsi="Times New Roman"/>
          <w:sz w:val="21"/>
          <w:szCs w:val="21"/>
        </w:rPr>
        <w:t xml:space="preserve"> – EPA finalizes MACT rule for Industrial Boilers.</w:t>
      </w:r>
    </w:p>
    <w:p w:rsidR="00FC67F9" w:rsidRPr="00DA4DBE" w:rsidRDefault="00FC67F9" w:rsidP="002A0CD0">
      <w:pPr>
        <w:spacing w:after="0" w:line="240" w:lineRule="auto"/>
        <w:ind w:left="720"/>
        <w:rPr>
          <w:rFonts w:ascii="Times New Roman" w:hAnsi="Times New Roman"/>
          <w:sz w:val="21"/>
          <w:szCs w:val="21"/>
        </w:rPr>
      </w:pPr>
    </w:p>
    <w:p w:rsidR="00FC67F9" w:rsidRPr="00DA4DBE" w:rsidRDefault="00555788" w:rsidP="002A0CD0">
      <w:pPr>
        <w:numPr>
          <w:ilvl w:val="0"/>
          <w:numId w:val="3"/>
        </w:numPr>
        <w:autoSpaceDE w:val="0"/>
        <w:autoSpaceDN w:val="0"/>
        <w:adjustRightInd w:val="0"/>
        <w:spacing w:after="0" w:line="240" w:lineRule="auto"/>
        <w:rPr>
          <w:rFonts w:ascii="Times New Roman" w:hAnsi="Times New Roman"/>
          <w:sz w:val="21"/>
          <w:szCs w:val="21"/>
        </w:rPr>
      </w:pPr>
      <w:r w:rsidRPr="00555788">
        <w:rPr>
          <w:rFonts w:ascii="Times New Roman" w:hAnsi="Times New Roman"/>
          <w:b/>
          <w:sz w:val="21"/>
          <w:szCs w:val="21"/>
        </w:rPr>
        <w:t xml:space="preserve">March 2011 – </w:t>
      </w:r>
      <w:r w:rsidRPr="00555788">
        <w:rPr>
          <w:rFonts w:ascii="Times New Roman" w:hAnsi="Times New Roman"/>
          <w:sz w:val="21"/>
          <w:szCs w:val="21"/>
        </w:rPr>
        <w:t>EPA releases proposed Utility MACT Rule</w:t>
      </w:r>
      <w:r w:rsidR="003E24CC">
        <w:rPr>
          <w:rFonts w:ascii="Times New Roman" w:hAnsi="Times New Roman"/>
          <w:sz w:val="21"/>
          <w:szCs w:val="21"/>
        </w:rPr>
        <w:t>.</w:t>
      </w:r>
    </w:p>
    <w:p w:rsidR="00FC67F9" w:rsidRPr="00DA4DBE" w:rsidRDefault="00FC67F9" w:rsidP="002A0CD0">
      <w:pPr>
        <w:spacing w:after="0" w:line="240" w:lineRule="auto"/>
        <w:ind w:left="720"/>
        <w:rPr>
          <w:rFonts w:ascii="Times New Roman" w:hAnsi="Times New Roman"/>
          <w:sz w:val="21"/>
          <w:szCs w:val="21"/>
        </w:rPr>
      </w:pPr>
    </w:p>
    <w:p w:rsidR="00FC67F9" w:rsidRPr="00DA4DBE" w:rsidRDefault="00555788" w:rsidP="002A0CD0">
      <w:pPr>
        <w:numPr>
          <w:ilvl w:val="0"/>
          <w:numId w:val="3"/>
        </w:numPr>
        <w:autoSpaceDE w:val="0"/>
        <w:autoSpaceDN w:val="0"/>
        <w:adjustRightInd w:val="0"/>
        <w:spacing w:after="0" w:line="240" w:lineRule="auto"/>
        <w:rPr>
          <w:rFonts w:ascii="Times New Roman" w:hAnsi="Times New Roman"/>
          <w:sz w:val="21"/>
          <w:szCs w:val="21"/>
        </w:rPr>
      </w:pPr>
      <w:r w:rsidRPr="00555788">
        <w:rPr>
          <w:rFonts w:ascii="Times New Roman" w:hAnsi="Times New Roman"/>
          <w:b/>
          <w:sz w:val="21"/>
          <w:szCs w:val="21"/>
        </w:rPr>
        <w:t xml:space="preserve">March 2011 – </w:t>
      </w:r>
      <w:r w:rsidRPr="00555788">
        <w:rPr>
          <w:rFonts w:ascii="Times New Roman" w:hAnsi="Times New Roman"/>
          <w:sz w:val="21"/>
          <w:szCs w:val="21"/>
        </w:rPr>
        <w:t>EPA releases proposed 316(b) Rule</w:t>
      </w:r>
      <w:r w:rsidR="003E24CC">
        <w:rPr>
          <w:rFonts w:ascii="Times New Roman" w:hAnsi="Times New Roman"/>
          <w:sz w:val="21"/>
          <w:szCs w:val="21"/>
        </w:rPr>
        <w:t>.</w:t>
      </w:r>
    </w:p>
    <w:p w:rsidR="00FC67F9" w:rsidRPr="00DA4DBE" w:rsidRDefault="00FC67F9" w:rsidP="002A0CD0">
      <w:pPr>
        <w:autoSpaceDE w:val="0"/>
        <w:autoSpaceDN w:val="0"/>
        <w:adjustRightInd w:val="0"/>
        <w:spacing w:after="0" w:line="240" w:lineRule="auto"/>
        <w:ind w:left="720"/>
        <w:rPr>
          <w:rFonts w:ascii="Times New Roman" w:hAnsi="Times New Roman"/>
          <w:sz w:val="21"/>
          <w:szCs w:val="21"/>
        </w:rPr>
      </w:pPr>
    </w:p>
    <w:p w:rsidR="00E8571D" w:rsidRPr="00DA4DBE" w:rsidRDefault="00555788" w:rsidP="002A0CD0">
      <w:pPr>
        <w:numPr>
          <w:ilvl w:val="0"/>
          <w:numId w:val="3"/>
        </w:numPr>
        <w:autoSpaceDE w:val="0"/>
        <w:autoSpaceDN w:val="0"/>
        <w:adjustRightInd w:val="0"/>
        <w:spacing w:after="0" w:line="240" w:lineRule="auto"/>
        <w:rPr>
          <w:rFonts w:ascii="Times New Roman" w:hAnsi="Times New Roman"/>
          <w:sz w:val="21"/>
          <w:szCs w:val="21"/>
        </w:rPr>
      </w:pPr>
      <w:r w:rsidRPr="00555788">
        <w:rPr>
          <w:rFonts w:ascii="Times New Roman" w:hAnsi="Times New Roman"/>
          <w:b/>
          <w:sz w:val="21"/>
          <w:szCs w:val="21"/>
        </w:rPr>
        <w:t>July 2011</w:t>
      </w:r>
      <w:r w:rsidRPr="00555788">
        <w:rPr>
          <w:rFonts w:ascii="Times New Roman" w:hAnsi="Times New Roman"/>
          <w:sz w:val="21"/>
          <w:szCs w:val="21"/>
        </w:rPr>
        <w:t xml:space="preserve"> – EPA releases final Cross State Air Pollution Rule</w:t>
      </w:r>
      <w:r w:rsidR="003E24CC">
        <w:rPr>
          <w:rFonts w:ascii="Times New Roman" w:hAnsi="Times New Roman"/>
          <w:sz w:val="21"/>
          <w:szCs w:val="21"/>
        </w:rPr>
        <w:t xml:space="preserve"> (CSAPR, formerly known as Transport Rule).</w:t>
      </w:r>
    </w:p>
    <w:p w:rsidR="00541B03" w:rsidRDefault="00541B03" w:rsidP="002A0CD0">
      <w:pPr>
        <w:pStyle w:val="ListParagraph"/>
        <w:rPr>
          <w:sz w:val="21"/>
          <w:szCs w:val="21"/>
        </w:rPr>
      </w:pPr>
    </w:p>
    <w:p w:rsidR="00E8571D" w:rsidRPr="00DA4DBE" w:rsidRDefault="00555788" w:rsidP="002A0CD0">
      <w:pPr>
        <w:pStyle w:val="ListParagraph"/>
        <w:numPr>
          <w:ilvl w:val="0"/>
          <w:numId w:val="3"/>
        </w:numPr>
        <w:rPr>
          <w:sz w:val="21"/>
          <w:szCs w:val="21"/>
        </w:rPr>
      </w:pPr>
      <w:r w:rsidRPr="00555788">
        <w:rPr>
          <w:b/>
          <w:sz w:val="21"/>
          <w:szCs w:val="21"/>
        </w:rPr>
        <w:t>July 2011</w:t>
      </w:r>
      <w:r w:rsidRPr="00555788">
        <w:rPr>
          <w:sz w:val="21"/>
          <w:szCs w:val="21"/>
        </w:rPr>
        <w:t xml:space="preserve"> – EPA release</w:t>
      </w:r>
      <w:r w:rsidR="003E24CC">
        <w:rPr>
          <w:sz w:val="21"/>
          <w:szCs w:val="21"/>
        </w:rPr>
        <w:t>s</w:t>
      </w:r>
      <w:r w:rsidRPr="00555788">
        <w:rPr>
          <w:sz w:val="21"/>
          <w:szCs w:val="21"/>
        </w:rPr>
        <w:t xml:space="preserve"> final rule defer</w:t>
      </w:r>
      <w:r w:rsidR="003E24CC">
        <w:rPr>
          <w:sz w:val="21"/>
          <w:szCs w:val="21"/>
        </w:rPr>
        <w:t>ring</w:t>
      </w:r>
      <w:r w:rsidRPr="00555788">
        <w:rPr>
          <w:sz w:val="21"/>
          <w:szCs w:val="21"/>
        </w:rPr>
        <w:t xml:space="preserve"> for a period of three years </w:t>
      </w:r>
      <w:r w:rsidR="003E24CC">
        <w:rPr>
          <w:sz w:val="21"/>
          <w:szCs w:val="21"/>
        </w:rPr>
        <w:t xml:space="preserve">PSD and Title V </w:t>
      </w:r>
      <w:r w:rsidRPr="00555788">
        <w:rPr>
          <w:sz w:val="21"/>
          <w:szCs w:val="21"/>
        </w:rPr>
        <w:t>permitting requirements for biogenic CO</w:t>
      </w:r>
      <w:r w:rsidRPr="00555788">
        <w:rPr>
          <w:sz w:val="21"/>
          <w:szCs w:val="21"/>
          <w:vertAlign w:val="subscript"/>
        </w:rPr>
        <w:t>2</w:t>
      </w:r>
      <w:r w:rsidRPr="00555788">
        <w:rPr>
          <w:sz w:val="21"/>
          <w:szCs w:val="21"/>
        </w:rPr>
        <w:t>.</w:t>
      </w:r>
    </w:p>
    <w:p w:rsidR="00E8571D" w:rsidRPr="00DA4DBE" w:rsidRDefault="00E8571D" w:rsidP="002A0CD0">
      <w:pPr>
        <w:pStyle w:val="ListParagraph"/>
        <w:rPr>
          <w:sz w:val="21"/>
          <w:szCs w:val="21"/>
        </w:rPr>
      </w:pPr>
    </w:p>
    <w:p w:rsidR="007E5200" w:rsidRPr="00DA4DBE" w:rsidRDefault="00555788" w:rsidP="002A0CD0">
      <w:pPr>
        <w:numPr>
          <w:ilvl w:val="0"/>
          <w:numId w:val="3"/>
        </w:numPr>
        <w:autoSpaceDE w:val="0"/>
        <w:autoSpaceDN w:val="0"/>
        <w:adjustRightInd w:val="0"/>
        <w:spacing w:after="0" w:line="240" w:lineRule="auto"/>
        <w:rPr>
          <w:rFonts w:ascii="Times New Roman" w:hAnsi="Times New Roman"/>
          <w:sz w:val="21"/>
          <w:szCs w:val="21"/>
        </w:rPr>
      </w:pPr>
      <w:r w:rsidRPr="00555788">
        <w:rPr>
          <w:rFonts w:ascii="Times New Roman" w:hAnsi="Times New Roman"/>
          <w:b/>
          <w:sz w:val="21"/>
          <w:szCs w:val="21"/>
        </w:rPr>
        <w:t>September 2011</w:t>
      </w:r>
      <w:r w:rsidRPr="00555788">
        <w:rPr>
          <w:rFonts w:ascii="Times New Roman" w:hAnsi="Times New Roman"/>
          <w:sz w:val="21"/>
          <w:szCs w:val="21"/>
        </w:rPr>
        <w:t xml:space="preserve"> – </w:t>
      </w:r>
      <w:r w:rsidR="00D00DCF">
        <w:rPr>
          <w:rFonts w:ascii="Times New Roman" w:hAnsi="Times New Roman"/>
          <w:sz w:val="21"/>
          <w:szCs w:val="21"/>
        </w:rPr>
        <w:t xml:space="preserve">At the request of the </w:t>
      </w:r>
      <w:r w:rsidRPr="00555788">
        <w:rPr>
          <w:rFonts w:ascii="Times New Roman" w:hAnsi="Times New Roman"/>
          <w:sz w:val="21"/>
          <w:szCs w:val="21"/>
        </w:rPr>
        <w:t>White House</w:t>
      </w:r>
      <w:proofErr w:type="gramStart"/>
      <w:r w:rsidR="00D00DCF">
        <w:rPr>
          <w:rFonts w:ascii="Times New Roman" w:hAnsi="Times New Roman"/>
          <w:sz w:val="21"/>
          <w:szCs w:val="21"/>
        </w:rPr>
        <w:t>,</w:t>
      </w:r>
      <w:r w:rsidRPr="00555788">
        <w:rPr>
          <w:rFonts w:ascii="Times New Roman" w:hAnsi="Times New Roman"/>
          <w:sz w:val="21"/>
          <w:szCs w:val="21"/>
        </w:rPr>
        <w:t xml:space="preserve">  EPA</w:t>
      </w:r>
      <w:proofErr w:type="gramEnd"/>
      <w:r w:rsidRPr="00555788">
        <w:rPr>
          <w:rFonts w:ascii="Times New Roman" w:hAnsi="Times New Roman"/>
          <w:sz w:val="21"/>
          <w:szCs w:val="21"/>
        </w:rPr>
        <w:t xml:space="preserve"> rescind</w:t>
      </w:r>
      <w:r w:rsidR="003E24CC">
        <w:rPr>
          <w:rFonts w:ascii="Times New Roman" w:hAnsi="Times New Roman"/>
          <w:sz w:val="21"/>
          <w:szCs w:val="21"/>
        </w:rPr>
        <w:t>s</w:t>
      </w:r>
      <w:r w:rsidRPr="00555788">
        <w:rPr>
          <w:rFonts w:ascii="Times New Roman" w:hAnsi="Times New Roman"/>
          <w:sz w:val="21"/>
          <w:szCs w:val="21"/>
        </w:rPr>
        <w:t xml:space="preserve"> its reconsideration of the 2008 ozone </w:t>
      </w:r>
      <w:r w:rsidR="003E24CC" w:rsidRPr="00555788">
        <w:rPr>
          <w:rFonts w:ascii="Times New Roman" w:hAnsi="Times New Roman"/>
          <w:sz w:val="21"/>
          <w:szCs w:val="21"/>
        </w:rPr>
        <w:t xml:space="preserve">8-hr ozone standard </w:t>
      </w:r>
      <w:r w:rsidR="00D00DCF">
        <w:rPr>
          <w:rFonts w:ascii="Times New Roman" w:hAnsi="Times New Roman"/>
          <w:sz w:val="21"/>
          <w:szCs w:val="21"/>
        </w:rPr>
        <w:t>and establish</w:t>
      </w:r>
      <w:r w:rsidR="003E24CC">
        <w:rPr>
          <w:rFonts w:ascii="Times New Roman" w:hAnsi="Times New Roman"/>
          <w:sz w:val="21"/>
          <w:szCs w:val="21"/>
        </w:rPr>
        <w:t>s</w:t>
      </w:r>
      <w:r w:rsidR="00D00DCF">
        <w:rPr>
          <w:rFonts w:ascii="Times New Roman" w:hAnsi="Times New Roman"/>
          <w:sz w:val="21"/>
          <w:szCs w:val="21"/>
        </w:rPr>
        <w:t xml:space="preserve"> a timeline for implementation</w:t>
      </w:r>
      <w:r w:rsidR="003E24CC">
        <w:rPr>
          <w:rFonts w:ascii="Times New Roman" w:hAnsi="Times New Roman"/>
          <w:sz w:val="21"/>
          <w:szCs w:val="21"/>
        </w:rPr>
        <w:t>.</w:t>
      </w:r>
    </w:p>
    <w:p w:rsidR="00541B03" w:rsidRDefault="00541B03" w:rsidP="002A0CD0">
      <w:pPr>
        <w:pStyle w:val="ListParagraph"/>
        <w:rPr>
          <w:b/>
          <w:sz w:val="21"/>
          <w:szCs w:val="21"/>
        </w:rPr>
      </w:pPr>
    </w:p>
    <w:p w:rsidR="00E8571D" w:rsidRPr="00DA4DBE" w:rsidRDefault="00555788" w:rsidP="002A0CD0">
      <w:pPr>
        <w:numPr>
          <w:ilvl w:val="0"/>
          <w:numId w:val="3"/>
        </w:numPr>
        <w:autoSpaceDE w:val="0"/>
        <w:autoSpaceDN w:val="0"/>
        <w:adjustRightInd w:val="0"/>
        <w:spacing w:after="0" w:line="240" w:lineRule="auto"/>
        <w:rPr>
          <w:rFonts w:ascii="Times New Roman" w:hAnsi="Times New Roman"/>
          <w:sz w:val="21"/>
          <w:szCs w:val="21"/>
        </w:rPr>
      </w:pPr>
      <w:r w:rsidRPr="00555788">
        <w:rPr>
          <w:rFonts w:ascii="Times New Roman" w:hAnsi="Times New Roman"/>
          <w:b/>
          <w:sz w:val="21"/>
          <w:szCs w:val="21"/>
        </w:rPr>
        <w:t>December 2011</w:t>
      </w:r>
      <w:r w:rsidRPr="00555788">
        <w:rPr>
          <w:rFonts w:ascii="Times New Roman" w:hAnsi="Times New Roman"/>
          <w:sz w:val="21"/>
          <w:szCs w:val="21"/>
        </w:rPr>
        <w:t xml:space="preserve"> – </w:t>
      </w:r>
      <w:r w:rsidR="003E24CC">
        <w:rPr>
          <w:rFonts w:ascii="Times New Roman" w:hAnsi="Times New Roman"/>
          <w:sz w:val="21"/>
          <w:szCs w:val="21"/>
        </w:rPr>
        <w:t xml:space="preserve">Upon challenge by industry and states, </w:t>
      </w:r>
      <w:r w:rsidRPr="00555788">
        <w:rPr>
          <w:rFonts w:ascii="Times New Roman" w:hAnsi="Times New Roman"/>
          <w:sz w:val="21"/>
          <w:szCs w:val="21"/>
        </w:rPr>
        <w:t>D.C. Circuit Court stays CSAPR and orders EPA to continue administering CAIR pending judicial review.</w:t>
      </w:r>
    </w:p>
    <w:p w:rsidR="00541B03" w:rsidRDefault="00541B03" w:rsidP="002A0CD0">
      <w:pPr>
        <w:pStyle w:val="ListParagraph"/>
        <w:rPr>
          <w:sz w:val="21"/>
          <w:szCs w:val="21"/>
        </w:rPr>
      </w:pPr>
    </w:p>
    <w:p w:rsidR="00E8571D" w:rsidRPr="00DA4DBE" w:rsidRDefault="00555788" w:rsidP="002A0CD0">
      <w:pPr>
        <w:numPr>
          <w:ilvl w:val="0"/>
          <w:numId w:val="3"/>
        </w:numPr>
        <w:autoSpaceDE w:val="0"/>
        <w:autoSpaceDN w:val="0"/>
        <w:adjustRightInd w:val="0"/>
        <w:spacing w:after="0" w:line="240" w:lineRule="auto"/>
        <w:rPr>
          <w:rFonts w:ascii="Times New Roman" w:hAnsi="Times New Roman"/>
          <w:sz w:val="21"/>
          <w:szCs w:val="21"/>
        </w:rPr>
      </w:pPr>
      <w:r w:rsidRPr="00555788">
        <w:rPr>
          <w:rFonts w:ascii="Times New Roman" w:hAnsi="Times New Roman"/>
          <w:b/>
          <w:sz w:val="21"/>
          <w:szCs w:val="21"/>
        </w:rPr>
        <w:t>December 2011</w:t>
      </w:r>
      <w:r w:rsidRPr="00555788">
        <w:rPr>
          <w:rFonts w:ascii="Times New Roman" w:hAnsi="Times New Roman"/>
          <w:sz w:val="21"/>
          <w:szCs w:val="21"/>
        </w:rPr>
        <w:t xml:space="preserve"> – EPA releases proposed </w:t>
      </w:r>
      <w:r w:rsidR="00397351">
        <w:rPr>
          <w:rFonts w:ascii="Times New Roman" w:hAnsi="Times New Roman"/>
          <w:sz w:val="21"/>
          <w:szCs w:val="21"/>
        </w:rPr>
        <w:t xml:space="preserve">reconsideration of the </w:t>
      </w:r>
      <w:r w:rsidRPr="00555788">
        <w:rPr>
          <w:rFonts w:ascii="Times New Roman" w:hAnsi="Times New Roman"/>
          <w:sz w:val="21"/>
          <w:szCs w:val="21"/>
        </w:rPr>
        <w:t>Industrial Boiler MACT Rule.</w:t>
      </w:r>
    </w:p>
    <w:p w:rsidR="00E8571D" w:rsidRPr="00DA4DBE" w:rsidRDefault="00E8571D" w:rsidP="002A0CD0">
      <w:pPr>
        <w:pStyle w:val="ListParagraph"/>
        <w:rPr>
          <w:sz w:val="21"/>
          <w:szCs w:val="21"/>
        </w:rPr>
      </w:pPr>
    </w:p>
    <w:p w:rsidR="00E8571D" w:rsidRPr="00DA4DBE" w:rsidRDefault="00555788" w:rsidP="002A0CD0">
      <w:pPr>
        <w:numPr>
          <w:ilvl w:val="0"/>
          <w:numId w:val="3"/>
        </w:numPr>
        <w:autoSpaceDE w:val="0"/>
        <w:autoSpaceDN w:val="0"/>
        <w:adjustRightInd w:val="0"/>
        <w:spacing w:after="0" w:line="240" w:lineRule="auto"/>
        <w:rPr>
          <w:rFonts w:ascii="Times New Roman" w:hAnsi="Times New Roman"/>
          <w:sz w:val="21"/>
          <w:szCs w:val="21"/>
        </w:rPr>
      </w:pPr>
      <w:r w:rsidRPr="00555788">
        <w:rPr>
          <w:rFonts w:ascii="Times New Roman" w:hAnsi="Times New Roman"/>
          <w:b/>
          <w:sz w:val="21"/>
          <w:szCs w:val="21"/>
        </w:rPr>
        <w:t>December 2011</w:t>
      </w:r>
      <w:r w:rsidRPr="00555788">
        <w:rPr>
          <w:rFonts w:ascii="Times New Roman" w:hAnsi="Times New Roman"/>
          <w:sz w:val="21"/>
          <w:szCs w:val="21"/>
        </w:rPr>
        <w:t xml:space="preserve"> – EPA </w:t>
      </w:r>
      <w:r w:rsidR="00D940D4">
        <w:rPr>
          <w:rFonts w:ascii="Times New Roman" w:hAnsi="Times New Roman"/>
          <w:sz w:val="21"/>
          <w:szCs w:val="21"/>
        </w:rPr>
        <w:t>releases</w:t>
      </w:r>
      <w:r w:rsidRPr="00555788">
        <w:rPr>
          <w:rFonts w:ascii="Times New Roman" w:hAnsi="Times New Roman"/>
          <w:sz w:val="21"/>
          <w:szCs w:val="21"/>
        </w:rPr>
        <w:t xml:space="preserve"> the final MATS Rule</w:t>
      </w:r>
      <w:r w:rsidR="003E24CC">
        <w:rPr>
          <w:rFonts w:ascii="Times New Roman" w:hAnsi="Times New Roman"/>
          <w:sz w:val="21"/>
          <w:szCs w:val="21"/>
        </w:rPr>
        <w:t xml:space="preserve"> (formerly known as the </w:t>
      </w:r>
      <w:r w:rsidR="003E24CC" w:rsidRPr="00555788">
        <w:rPr>
          <w:rFonts w:ascii="Times New Roman" w:hAnsi="Times New Roman"/>
          <w:sz w:val="21"/>
          <w:szCs w:val="21"/>
        </w:rPr>
        <w:t>Utility MACT Rule</w:t>
      </w:r>
      <w:r w:rsidR="003E24CC">
        <w:rPr>
          <w:rFonts w:ascii="Times New Roman" w:hAnsi="Times New Roman"/>
          <w:sz w:val="21"/>
          <w:szCs w:val="21"/>
        </w:rPr>
        <w:t>).</w:t>
      </w:r>
    </w:p>
    <w:p w:rsidR="00541B03" w:rsidRDefault="00541B03" w:rsidP="002A0CD0">
      <w:pPr>
        <w:pStyle w:val="ListParagraph"/>
        <w:rPr>
          <w:sz w:val="21"/>
          <w:szCs w:val="21"/>
        </w:rPr>
      </w:pPr>
    </w:p>
    <w:p w:rsidR="00397351" w:rsidRPr="00895581" w:rsidRDefault="00895581" w:rsidP="00895581">
      <w:pPr>
        <w:numPr>
          <w:ilvl w:val="0"/>
          <w:numId w:val="3"/>
        </w:numPr>
        <w:autoSpaceDE w:val="0"/>
        <w:autoSpaceDN w:val="0"/>
        <w:adjustRightInd w:val="0"/>
        <w:spacing w:after="0" w:line="240" w:lineRule="auto"/>
        <w:rPr>
          <w:rFonts w:ascii="Times New Roman" w:hAnsi="Times New Roman"/>
          <w:sz w:val="21"/>
          <w:szCs w:val="21"/>
        </w:rPr>
      </w:pPr>
      <w:r>
        <w:rPr>
          <w:rFonts w:ascii="Times New Roman" w:hAnsi="Times New Roman"/>
          <w:b/>
          <w:sz w:val="21"/>
          <w:szCs w:val="21"/>
        </w:rPr>
        <w:t>March</w:t>
      </w:r>
      <w:r w:rsidR="00555788" w:rsidRPr="00555788">
        <w:rPr>
          <w:rFonts w:ascii="Times New Roman" w:hAnsi="Times New Roman"/>
          <w:b/>
          <w:sz w:val="21"/>
          <w:szCs w:val="21"/>
        </w:rPr>
        <w:t xml:space="preserve"> 2012</w:t>
      </w:r>
      <w:r w:rsidR="00555788" w:rsidRPr="00555788">
        <w:rPr>
          <w:rFonts w:ascii="Times New Roman" w:hAnsi="Times New Roman"/>
          <w:sz w:val="21"/>
          <w:szCs w:val="21"/>
        </w:rPr>
        <w:t xml:space="preserve"> – EPA </w:t>
      </w:r>
      <w:r>
        <w:rPr>
          <w:rFonts w:ascii="Times New Roman" w:hAnsi="Times New Roman"/>
          <w:sz w:val="21"/>
          <w:szCs w:val="21"/>
        </w:rPr>
        <w:t xml:space="preserve">releases the </w:t>
      </w:r>
      <w:r w:rsidR="00555788" w:rsidRPr="00555788">
        <w:rPr>
          <w:rFonts w:ascii="Times New Roman" w:hAnsi="Times New Roman"/>
          <w:sz w:val="21"/>
          <w:szCs w:val="21"/>
        </w:rPr>
        <w:t>propose</w:t>
      </w:r>
      <w:r>
        <w:rPr>
          <w:rFonts w:ascii="Times New Roman" w:hAnsi="Times New Roman"/>
          <w:sz w:val="21"/>
          <w:szCs w:val="21"/>
        </w:rPr>
        <w:t>d</w:t>
      </w:r>
      <w:r w:rsidR="00555788" w:rsidRPr="00555788">
        <w:rPr>
          <w:rFonts w:ascii="Times New Roman" w:hAnsi="Times New Roman"/>
          <w:sz w:val="21"/>
          <w:szCs w:val="21"/>
        </w:rPr>
        <w:t xml:space="preserve"> </w:t>
      </w:r>
      <w:r w:rsidRPr="00895581">
        <w:rPr>
          <w:rFonts w:ascii="Times New Roman" w:hAnsi="Times New Roman"/>
          <w:sz w:val="21"/>
          <w:szCs w:val="21"/>
        </w:rPr>
        <w:t>Carbon Pollution Standard for New Power Plants</w:t>
      </w:r>
      <w:r>
        <w:rPr>
          <w:rFonts w:ascii="Times New Roman" w:hAnsi="Times New Roman"/>
          <w:sz w:val="21"/>
          <w:szCs w:val="21"/>
        </w:rPr>
        <w:t>, affecting</w:t>
      </w:r>
      <w:r w:rsidRPr="00895581">
        <w:rPr>
          <w:rFonts w:ascii="Times New Roman" w:hAnsi="Times New Roman"/>
          <w:sz w:val="21"/>
          <w:szCs w:val="21"/>
        </w:rPr>
        <w:t xml:space="preserve"> </w:t>
      </w:r>
      <w:r w:rsidR="00555788" w:rsidRPr="00555788">
        <w:rPr>
          <w:rFonts w:ascii="Times New Roman" w:hAnsi="Times New Roman"/>
          <w:sz w:val="21"/>
          <w:szCs w:val="21"/>
        </w:rPr>
        <w:t xml:space="preserve">new </w:t>
      </w:r>
      <w:r w:rsidR="003E24CC">
        <w:rPr>
          <w:rFonts w:ascii="Times New Roman" w:hAnsi="Times New Roman"/>
          <w:sz w:val="21"/>
          <w:szCs w:val="21"/>
        </w:rPr>
        <w:t xml:space="preserve">coal-fired and gas-fired Electric Generating Units.  </w:t>
      </w:r>
    </w:p>
    <w:p w:rsidR="00DA4DBE" w:rsidRPr="00DA4DBE" w:rsidRDefault="00DA4DBE" w:rsidP="002A0CD0">
      <w:pPr>
        <w:pStyle w:val="ListParagraph"/>
        <w:rPr>
          <w:b/>
          <w:sz w:val="21"/>
          <w:szCs w:val="21"/>
        </w:rPr>
      </w:pPr>
    </w:p>
    <w:p w:rsidR="00DA4DBE" w:rsidRPr="00DA4DBE" w:rsidRDefault="00555788" w:rsidP="002A0CD0">
      <w:pPr>
        <w:numPr>
          <w:ilvl w:val="0"/>
          <w:numId w:val="3"/>
        </w:numPr>
        <w:autoSpaceDE w:val="0"/>
        <w:autoSpaceDN w:val="0"/>
        <w:adjustRightInd w:val="0"/>
        <w:spacing w:after="0" w:line="240" w:lineRule="auto"/>
        <w:rPr>
          <w:rFonts w:ascii="Times New Roman" w:hAnsi="Times New Roman"/>
          <w:sz w:val="21"/>
          <w:szCs w:val="21"/>
        </w:rPr>
      </w:pPr>
      <w:r w:rsidRPr="00555788">
        <w:rPr>
          <w:rFonts w:ascii="Times New Roman" w:hAnsi="Times New Roman"/>
          <w:b/>
          <w:sz w:val="21"/>
          <w:szCs w:val="21"/>
        </w:rPr>
        <w:t>June 2012</w:t>
      </w:r>
      <w:r w:rsidRPr="00555788">
        <w:rPr>
          <w:rFonts w:ascii="Times New Roman" w:hAnsi="Times New Roman"/>
          <w:sz w:val="21"/>
          <w:szCs w:val="21"/>
        </w:rPr>
        <w:t xml:space="preserve"> – EPA propose</w:t>
      </w:r>
      <w:r w:rsidR="00A31851">
        <w:rPr>
          <w:rFonts w:ascii="Times New Roman" w:hAnsi="Times New Roman"/>
          <w:sz w:val="21"/>
          <w:szCs w:val="21"/>
        </w:rPr>
        <w:t>s</w:t>
      </w:r>
      <w:r w:rsidRPr="00555788">
        <w:rPr>
          <w:rFonts w:ascii="Times New Roman" w:hAnsi="Times New Roman"/>
          <w:sz w:val="21"/>
          <w:szCs w:val="21"/>
        </w:rPr>
        <w:t xml:space="preserve"> </w:t>
      </w:r>
      <w:r w:rsidR="00397351">
        <w:rPr>
          <w:rFonts w:ascii="Times New Roman" w:hAnsi="Times New Roman"/>
          <w:sz w:val="21"/>
          <w:szCs w:val="21"/>
        </w:rPr>
        <w:t>to revise the PM2.5 NAAQS by lowering the primary annual standard and setting a new</w:t>
      </w:r>
      <w:r w:rsidRPr="00555788">
        <w:rPr>
          <w:rFonts w:ascii="Times New Roman" w:hAnsi="Times New Roman"/>
          <w:sz w:val="21"/>
          <w:szCs w:val="21"/>
        </w:rPr>
        <w:t xml:space="preserve"> separate secondary standard to improve visibility.</w:t>
      </w:r>
    </w:p>
    <w:p w:rsidR="00541B03" w:rsidRDefault="00541B03" w:rsidP="002A0CD0">
      <w:pPr>
        <w:pStyle w:val="ListParagraph"/>
        <w:rPr>
          <w:b/>
          <w:sz w:val="21"/>
          <w:szCs w:val="21"/>
        </w:rPr>
      </w:pPr>
    </w:p>
    <w:p w:rsidR="00A31851" w:rsidRDefault="00555788" w:rsidP="002A0CD0">
      <w:pPr>
        <w:numPr>
          <w:ilvl w:val="0"/>
          <w:numId w:val="3"/>
        </w:numPr>
        <w:autoSpaceDE w:val="0"/>
        <w:autoSpaceDN w:val="0"/>
        <w:adjustRightInd w:val="0"/>
        <w:spacing w:after="0" w:line="240" w:lineRule="auto"/>
        <w:rPr>
          <w:rFonts w:ascii="Times New Roman" w:hAnsi="Times New Roman"/>
          <w:sz w:val="21"/>
          <w:szCs w:val="21"/>
        </w:rPr>
      </w:pPr>
      <w:r w:rsidRPr="00555788">
        <w:rPr>
          <w:rFonts w:ascii="Times New Roman" w:hAnsi="Times New Roman"/>
          <w:b/>
          <w:sz w:val="21"/>
          <w:szCs w:val="21"/>
        </w:rPr>
        <w:t>June 2012</w:t>
      </w:r>
      <w:r w:rsidRPr="00555788">
        <w:rPr>
          <w:rFonts w:ascii="Times New Roman" w:hAnsi="Times New Roman"/>
          <w:sz w:val="21"/>
          <w:szCs w:val="21"/>
        </w:rPr>
        <w:t xml:space="preserve"> – EPA </w:t>
      </w:r>
      <w:r w:rsidR="00417AE3">
        <w:rPr>
          <w:rFonts w:ascii="Times New Roman" w:hAnsi="Times New Roman"/>
          <w:sz w:val="21"/>
          <w:szCs w:val="21"/>
        </w:rPr>
        <w:t xml:space="preserve">requests comment on additional compliance options </w:t>
      </w:r>
      <w:r w:rsidRPr="00555788">
        <w:rPr>
          <w:rFonts w:ascii="Times New Roman" w:hAnsi="Times New Roman"/>
          <w:sz w:val="21"/>
          <w:szCs w:val="21"/>
        </w:rPr>
        <w:t>for 316(b) rulemaking; EPA announces a delay in the 316(b) final rule to June 2013</w:t>
      </w:r>
      <w:r w:rsidR="00A31851">
        <w:rPr>
          <w:rFonts w:ascii="Times New Roman" w:hAnsi="Times New Roman"/>
          <w:sz w:val="21"/>
          <w:szCs w:val="21"/>
        </w:rPr>
        <w:t>.</w:t>
      </w:r>
      <w:r w:rsidRPr="00555788">
        <w:rPr>
          <w:rFonts w:ascii="Times New Roman" w:hAnsi="Times New Roman"/>
          <w:sz w:val="21"/>
          <w:szCs w:val="21"/>
        </w:rPr>
        <w:t xml:space="preserve"> </w:t>
      </w:r>
    </w:p>
    <w:p w:rsidR="00A31851" w:rsidRDefault="00A31851" w:rsidP="00A31851">
      <w:pPr>
        <w:pStyle w:val="ListParagraph"/>
        <w:rPr>
          <w:sz w:val="21"/>
          <w:szCs w:val="21"/>
        </w:rPr>
      </w:pPr>
    </w:p>
    <w:p w:rsidR="000252FA" w:rsidRDefault="006D2DDC" w:rsidP="000252FA">
      <w:pPr>
        <w:numPr>
          <w:ilvl w:val="0"/>
          <w:numId w:val="3"/>
        </w:numPr>
        <w:autoSpaceDE w:val="0"/>
        <w:autoSpaceDN w:val="0"/>
        <w:adjustRightInd w:val="0"/>
        <w:spacing w:after="0" w:line="240" w:lineRule="auto"/>
        <w:rPr>
          <w:rFonts w:ascii="Times New Roman" w:hAnsi="Times New Roman"/>
          <w:sz w:val="21"/>
          <w:szCs w:val="21"/>
        </w:rPr>
      </w:pPr>
      <w:r w:rsidRPr="005F08E3">
        <w:rPr>
          <w:rFonts w:ascii="Times New Roman" w:hAnsi="Times New Roman"/>
          <w:b/>
          <w:sz w:val="21"/>
          <w:szCs w:val="21"/>
        </w:rPr>
        <w:t>August 2012</w:t>
      </w:r>
      <w:r w:rsidR="005F08E3">
        <w:rPr>
          <w:rFonts w:ascii="Times New Roman" w:hAnsi="Times New Roman"/>
          <w:sz w:val="21"/>
          <w:szCs w:val="21"/>
        </w:rPr>
        <w:t xml:space="preserve"> </w:t>
      </w:r>
      <w:r>
        <w:rPr>
          <w:rFonts w:ascii="Times New Roman" w:hAnsi="Times New Roman"/>
          <w:sz w:val="21"/>
          <w:szCs w:val="21"/>
        </w:rPr>
        <w:t>- D.C. Circuit Court vacates CSAPR and remands the proceeding back to EPA</w:t>
      </w:r>
      <w:r w:rsidR="00A31851">
        <w:rPr>
          <w:rFonts w:ascii="Times New Roman" w:hAnsi="Times New Roman"/>
          <w:sz w:val="21"/>
          <w:szCs w:val="21"/>
        </w:rPr>
        <w:t xml:space="preserve">, requiring the Agency to </w:t>
      </w:r>
      <w:r w:rsidR="00A31851" w:rsidRPr="00555788">
        <w:rPr>
          <w:rFonts w:ascii="Times New Roman" w:hAnsi="Times New Roman"/>
          <w:sz w:val="21"/>
          <w:szCs w:val="21"/>
        </w:rPr>
        <w:t>continue administering CAIR</w:t>
      </w:r>
      <w:r w:rsidR="00A31851">
        <w:rPr>
          <w:rFonts w:ascii="Times New Roman" w:hAnsi="Times New Roman"/>
          <w:sz w:val="21"/>
          <w:szCs w:val="21"/>
        </w:rPr>
        <w:t xml:space="preserve"> pending a lawful replacement</w:t>
      </w:r>
      <w:r>
        <w:rPr>
          <w:rFonts w:ascii="Times New Roman" w:hAnsi="Times New Roman"/>
          <w:sz w:val="21"/>
          <w:szCs w:val="21"/>
        </w:rPr>
        <w:t xml:space="preserve">.  </w:t>
      </w:r>
    </w:p>
    <w:p w:rsidR="000252FA" w:rsidRDefault="000252FA" w:rsidP="000252FA">
      <w:pPr>
        <w:pStyle w:val="ListParagraph"/>
        <w:rPr>
          <w:b/>
          <w:sz w:val="21"/>
          <w:szCs w:val="21"/>
        </w:rPr>
      </w:pPr>
    </w:p>
    <w:p w:rsidR="00A31851" w:rsidRPr="00A31851" w:rsidRDefault="00A31851" w:rsidP="000252FA">
      <w:pPr>
        <w:numPr>
          <w:ilvl w:val="0"/>
          <w:numId w:val="3"/>
        </w:numPr>
        <w:autoSpaceDE w:val="0"/>
        <w:autoSpaceDN w:val="0"/>
        <w:adjustRightInd w:val="0"/>
        <w:spacing w:after="0" w:line="240" w:lineRule="auto"/>
        <w:rPr>
          <w:rFonts w:ascii="Times New Roman" w:hAnsi="Times New Roman"/>
          <w:sz w:val="21"/>
          <w:szCs w:val="21"/>
        </w:rPr>
      </w:pPr>
      <w:r w:rsidRPr="00A31851">
        <w:rPr>
          <w:rFonts w:ascii="Times New Roman" w:hAnsi="Times New Roman"/>
          <w:b/>
          <w:sz w:val="21"/>
          <w:szCs w:val="21"/>
        </w:rPr>
        <w:t>August 2012</w:t>
      </w:r>
      <w:r>
        <w:rPr>
          <w:rFonts w:ascii="Times New Roman" w:hAnsi="Times New Roman"/>
          <w:sz w:val="21"/>
          <w:szCs w:val="21"/>
        </w:rPr>
        <w:t xml:space="preserve"> – EPA announces delay in implementation of SO</w:t>
      </w:r>
      <w:r w:rsidRPr="00A92183">
        <w:rPr>
          <w:rFonts w:ascii="Times New Roman" w:hAnsi="Times New Roman"/>
          <w:sz w:val="21"/>
          <w:szCs w:val="21"/>
          <w:vertAlign w:val="subscript"/>
        </w:rPr>
        <w:t>2</w:t>
      </w:r>
      <w:r>
        <w:rPr>
          <w:rFonts w:ascii="Times New Roman" w:hAnsi="Times New Roman"/>
          <w:sz w:val="21"/>
          <w:szCs w:val="21"/>
        </w:rPr>
        <w:t xml:space="preserve"> NAAQS and attainment designations until 2013.  </w:t>
      </w:r>
    </w:p>
    <w:p w:rsidR="00327CEE" w:rsidRDefault="00327CEE">
      <w:pPr>
        <w:pStyle w:val="ListParagraph"/>
        <w:rPr>
          <w:sz w:val="21"/>
          <w:szCs w:val="21"/>
        </w:rPr>
      </w:pPr>
    </w:p>
    <w:p w:rsidR="00451081" w:rsidRDefault="00451081" w:rsidP="00451081">
      <w:pPr>
        <w:numPr>
          <w:ilvl w:val="0"/>
          <w:numId w:val="3"/>
        </w:numPr>
        <w:autoSpaceDE w:val="0"/>
        <w:autoSpaceDN w:val="0"/>
        <w:adjustRightInd w:val="0"/>
        <w:spacing w:after="0" w:line="240" w:lineRule="auto"/>
        <w:rPr>
          <w:rFonts w:ascii="Times New Roman" w:hAnsi="Times New Roman"/>
          <w:sz w:val="21"/>
          <w:szCs w:val="21"/>
        </w:rPr>
      </w:pPr>
      <w:r w:rsidRPr="00555788">
        <w:rPr>
          <w:rFonts w:ascii="Times New Roman" w:hAnsi="Times New Roman"/>
          <w:b/>
          <w:sz w:val="21"/>
          <w:szCs w:val="21"/>
        </w:rPr>
        <w:t>December 2012</w:t>
      </w:r>
      <w:r w:rsidRPr="00555788">
        <w:rPr>
          <w:rFonts w:ascii="Times New Roman" w:hAnsi="Times New Roman"/>
          <w:sz w:val="21"/>
          <w:szCs w:val="21"/>
        </w:rPr>
        <w:t xml:space="preserve"> – EPA </w:t>
      </w:r>
      <w:r>
        <w:rPr>
          <w:rFonts w:ascii="Times New Roman" w:hAnsi="Times New Roman"/>
          <w:sz w:val="21"/>
          <w:szCs w:val="21"/>
        </w:rPr>
        <w:t>finalizes</w:t>
      </w:r>
      <w:r w:rsidRPr="00555788">
        <w:rPr>
          <w:rFonts w:ascii="Times New Roman" w:hAnsi="Times New Roman"/>
          <w:sz w:val="21"/>
          <w:szCs w:val="21"/>
        </w:rPr>
        <w:t xml:space="preserve"> a new PM2.5 NAAQS</w:t>
      </w:r>
      <w:r>
        <w:rPr>
          <w:rFonts w:ascii="Times New Roman" w:hAnsi="Times New Roman"/>
          <w:sz w:val="21"/>
          <w:szCs w:val="21"/>
        </w:rPr>
        <w:t>.</w:t>
      </w:r>
    </w:p>
    <w:p w:rsidR="00562DEB" w:rsidRDefault="00562DEB">
      <w:pPr>
        <w:pStyle w:val="ListParagraph"/>
        <w:rPr>
          <w:sz w:val="21"/>
          <w:szCs w:val="21"/>
        </w:rPr>
      </w:pPr>
    </w:p>
    <w:p w:rsidR="002C7304" w:rsidRDefault="002C7304" w:rsidP="00451081">
      <w:pPr>
        <w:numPr>
          <w:ilvl w:val="0"/>
          <w:numId w:val="3"/>
        </w:numPr>
        <w:autoSpaceDE w:val="0"/>
        <w:autoSpaceDN w:val="0"/>
        <w:adjustRightInd w:val="0"/>
        <w:spacing w:after="0" w:line="240" w:lineRule="auto"/>
        <w:rPr>
          <w:rFonts w:ascii="Times New Roman" w:hAnsi="Times New Roman"/>
          <w:sz w:val="21"/>
          <w:szCs w:val="21"/>
        </w:rPr>
      </w:pPr>
      <w:r>
        <w:rPr>
          <w:rFonts w:ascii="Times New Roman" w:hAnsi="Times New Roman"/>
          <w:b/>
          <w:sz w:val="21"/>
          <w:szCs w:val="21"/>
        </w:rPr>
        <w:t>December 2012</w:t>
      </w:r>
      <w:r>
        <w:rPr>
          <w:rFonts w:ascii="Times New Roman" w:hAnsi="Times New Roman"/>
          <w:sz w:val="21"/>
          <w:szCs w:val="21"/>
        </w:rPr>
        <w:t xml:space="preserve"> – EPA finalizes a revised Industrial Boiler MACT rule.</w:t>
      </w:r>
    </w:p>
    <w:p w:rsidR="00305EB6" w:rsidRDefault="00305EB6" w:rsidP="00305EB6">
      <w:pPr>
        <w:pStyle w:val="ListParagraph"/>
        <w:rPr>
          <w:sz w:val="21"/>
          <w:szCs w:val="21"/>
        </w:rPr>
      </w:pPr>
    </w:p>
    <w:p w:rsidR="00305EB6" w:rsidRDefault="00305EB6" w:rsidP="00451081">
      <w:pPr>
        <w:numPr>
          <w:ilvl w:val="0"/>
          <w:numId w:val="3"/>
        </w:numPr>
        <w:autoSpaceDE w:val="0"/>
        <w:autoSpaceDN w:val="0"/>
        <w:adjustRightInd w:val="0"/>
        <w:spacing w:after="0" w:line="240" w:lineRule="auto"/>
        <w:rPr>
          <w:rFonts w:ascii="Times New Roman" w:hAnsi="Times New Roman"/>
          <w:sz w:val="21"/>
          <w:szCs w:val="21"/>
        </w:rPr>
      </w:pPr>
      <w:r>
        <w:rPr>
          <w:rFonts w:ascii="Times New Roman" w:hAnsi="Times New Roman"/>
          <w:b/>
          <w:sz w:val="21"/>
          <w:szCs w:val="21"/>
        </w:rPr>
        <w:t xml:space="preserve">January 2013 – </w:t>
      </w:r>
      <w:r w:rsidRPr="00305EB6">
        <w:rPr>
          <w:rFonts w:ascii="Times New Roman" w:hAnsi="Times New Roman"/>
          <w:sz w:val="21"/>
          <w:szCs w:val="21"/>
        </w:rPr>
        <w:t>Georgia EPD</w:t>
      </w:r>
      <w:r>
        <w:rPr>
          <w:rFonts w:ascii="Times New Roman" w:hAnsi="Times New Roman"/>
          <w:sz w:val="21"/>
          <w:szCs w:val="21"/>
        </w:rPr>
        <w:t xml:space="preserve"> announces proposed revisions to the Georgia Multipollutant Rule and SO</w:t>
      </w:r>
      <w:r w:rsidRPr="00305EB6">
        <w:rPr>
          <w:rFonts w:ascii="Times New Roman" w:hAnsi="Times New Roman"/>
          <w:sz w:val="21"/>
          <w:szCs w:val="21"/>
          <w:vertAlign w:val="subscript"/>
        </w:rPr>
        <w:t>2</w:t>
      </w:r>
      <w:r>
        <w:rPr>
          <w:rFonts w:ascii="Times New Roman" w:hAnsi="Times New Roman"/>
          <w:sz w:val="21"/>
          <w:szCs w:val="21"/>
        </w:rPr>
        <w:t xml:space="preserve"> Emissions Rule.</w:t>
      </w:r>
    </w:p>
    <w:p w:rsidR="002864A7" w:rsidRDefault="002864A7" w:rsidP="002864A7">
      <w:pPr>
        <w:pStyle w:val="ListParagraph"/>
        <w:rPr>
          <w:sz w:val="21"/>
          <w:szCs w:val="21"/>
        </w:rPr>
      </w:pPr>
    </w:p>
    <w:p w:rsidR="002864A7" w:rsidRPr="002864A7" w:rsidRDefault="002864A7" w:rsidP="002864A7">
      <w:pPr>
        <w:numPr>
          <w:ilvl w:val="0"/>
          <w:numId w:val="3"/>
        </w:numPr>
        <w:autoSpaceDE w:val="0"/>
        <w:autoSpaceDN w:val="0"/>
        <w:adjustRightInd w:val="0"/>
        <w:spacing w:after="0" w:line="240" w:lineRule="auto"/>
        <w:rPr>
          <w:rFonts w:ascii="Times New Roman" w:hAnsi="Times New Roman"/>
          <w:sz w:val="21"/>
          <w:szCs w:val="21"/>
        </w:rPr>
      </w:pPr>
      <w:r>
        <w:rPr>
          <w:rFonts w:ascii="Times New Roman" w:hAnsi="Times New Roman"/>
          <w:b/>
          <w:sz w:val="21"/>
          <w:szCs w:val="21"/>
        </w:rPr>
        <w:t xml:space="preserve">January 2013 – </w:t>
      </w:r>
      <w:r>
        <w:rPr>
          <w:rFonts w:ascii="Times New Roman" w:hAnsi="Times New Roman"/>
          <w:sz w:val="21"/>
          <w:szCs w:val="21"/>
        </w:rPr>
        <w:t>D.C. Circuit Court denies petitions for rehearing the CSAPR vacatur decision.</w:t>
      </w:r>
    </w:p>
    <w:p w:rsidR="007E7FE2" w:rsidRDefault="007E7FE2" w:rsidP="002A0CD0">
      <w:pPr>
        <w:keepNext/>
        <w:widowControl w:val="0"/>
        <w:spacing w:after="0" w:line="240" w:lineRule="auto"/>
        <w:ind w:left="90"/>
        <w:jc w:val="center"/>
        <w:outlineLvl w:val="0"/>
        <w:rPr>
          <w:rFonts w:ascii="Arial" w:hAnsi="Arial" w:cs="Arial"/>
          <w:b/>
          <w:bCs/>
          <w:color w:val="000080"/>
          <w:kern w:val="28"/>
          <w:sz w:val="28"/>
          <w:szCs w:val="28"/>
        </w:rPr>
      </w:pPr>
    </w:p>
    <w:p w:rsidR="00562DEB" w:rsidRDefault="002C7304" w:rsidP="001954D3">
      <w:pPr>
        <w:autoSpaceDE w:val="0"/>
        <w:autoSpaceDN w:val="0"/>
        <w:adjustRightInd w:val="0"/>
        <w:spacing w:after="0" w:line="240" w:lineRule="auto"/>
        <w:outlineLvl w:val="1"/>
        <w:rPr>
          <w:rFonts w:ascii="Arial" w:hAnsi="Arial" w:cs="Arial"/>
          <w:b/>
          <w:color w:val="000080"/>
          <w:sz w:val="24"/>
          <w:szCs w:val="24"/>
        </w:rPr>
      </w:pPr>
      <w:bookmarkStart w:id="4" w:name="_Toc347314832"/>
      <w:r>
        <w:rPr>
          <w:rFonts w:ascii="Times New Roman" w:hAnsi="Times New Roman"/>
          <w:b/>
          <w:bCs/>
          <w:color w:val="000080"/>
          <w:sz w:val="24"/>
          <w:szCs w:val="24"/>
        </w:rPr>
        <w:t>1.2</w:t>
      </w:r>
      <w:r>
        <w:rPr>
          <w:rFonts w:ascii="Times New Roman" w:hAnsi="Times New Roman"/>
          <w:b/>
          <w:bCs/>
          <w:color w:val="000080"/>
          <w:sz w:val="24"/>
          <w:szCs w:val="24"/>
        </w:rPr>
        <w:tab/>
        <w:t>Future Key Environmental Dates</w:t>
      </w:r>
      <w:bookmarkEnd w:id="4"/>
    </w:p>
    <w:p w:rsidR="007E7FE2" w:rsidRPr="00ED7E20" w:rsidRDefault="007E7FE2" w:rsidP="007E7FE2">
      <w:pPr>
        <w:autoSpaceDE w:val="0"/>
        <w:autoSpaceDN w:val="0"/>
        <w:adjustRightInd w:val="0"/>
        <w:spacing w:after="0" w:line="240" w:lineRule="auto"/>
        <w:rPr>
          <w:rFonts w:ascii="Times New Roman" w:hAnsi="Times New Roman"/>
          <w:b/>
          <w:color w:val="000080"/>
          <w:sz w:val="28"/>
          <w:szCs w:val="28"/>
          <w:u w:val="single"/>
        </w:rPr>
      </w:pPr>
    </w:p>
    <w:p w:rsidR="007E7FE2" w:rsidRPr="00ED7E20" w:rsidRDefault="007E7FE2" w:rsidP="007E7FE2">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The following is a</w:t>
      </w:r>
      <w:r w:rsidRPr="00ED7E20">
        <w:rPr>
          <w:rFonts w:ascii="Times New Roman" w:hAnsi="Times New Roman"/>
          <w:sz w:val="24"/>
          <w:szCs w:val="24"/>
        </w:rPr>
        <w:t xml:space="preserve"> summary of</w:t>
      </w:r>
      <w:r>
        <w:rPr>
          <w:rFonts w:ascii="Times New Roman" w:hAnsi="Times New Roman"/>
          <w:sz w:val="24"/>
          <w:szCs w:val="24"/>
        </w:rPr>
        <w:t xml:space="preserve"> </w:t>
      </w:r>
      <w:r w:rsidR="00E875B2">
        <w:rPr>
          <w:rFonts w:ascii="Times New Roman" w:hAnsi="Times New Roman"/>
          <w:sz w:val="24"/>
          <w:szCs w:val="24"/>
        </w:rPr>
        <w:t>upcoming</w:t>
      </w:r>
      <w:r>
        <w:rPr>
          <w:rFonts w:ascii="Times New Roman" w:hAnsi="Times New Roman"/>
          <w:sz w:val="24"/>
          <w:szCs w:val="24"/>
        </w:rPr>
        <w:t xml:space="preserve"> key environmental </w:t>
      </w:r>
      <w:r w:rsidR="00A31851">
        <w:rPr>
          <w:rFonts w:ascii="Times New Roman" w:hAnsi="Times New Roman"/>
          <w:sz w:val="24"/>
          <w:szCs w:val="24"/>
        </w:rPr>
        <w:t xml:space="preserve">developments and likely </w:t>
      </w:r>
      <w:r>
        <w:rPr>
          <w:rFonts w:ascii="Times New Roman" w:hAnsi="Times New Roman"/>
          <w:sz w:val="24"/>
          <w:szCs w:val="24"/>
        </w:rPr>
        <w:t>dates</w:t>
      </w:r>
      <w:r w:rsidRPr="00ED7E20">
        <w:rPr>
          <w:rFonts w:ascii="Times New Roman" w:hAnsi="Times New Roman"/>
          <w:sz w:val="24"/>
          <w:szCs w:val="24"/>
        </w:rPr>
        <w:t>.</w:t>
      </w:r>
    </w:p>
    <w:p w:rsidR="007E7FE2" w:rsidRPr="0087118D" w:rsidRDefault="007E7FE2" w:rsidP="007E7FE2">
      <w:pPr>
        <w:autoSpaceDE w:val="0"/>
        <w:autoSpaceDN w:val="0"/>
        <w:adjustRightInd w:val="0"/>
        <w:spacing w:after="0" w:line="240" w:lineRule="auto"/>
        <w:ind w:left="720"/>
        <w:rPr>
          <w:sz w:val="21"/>
          <w:szCs w:val="21"/>
        </w:rPr>
      </w:pPr>
    </w:p>
    <w:p w:rsidR="00305EB6" w:rsidRPr="00305EB6" w:rsidRDefault="00305EB6" w:rsidP="007E7FE2">
      <w:pPr>
        <w:numPr>
          <w:ilvl w:val="0"/>
          <w:numId w:val="3"/>
        </w:numPr>
        <w:autoSpaceDE w:val="0"/>
        <w:autoSpaceDN w:val="0"/>
        <w:adjustRightInd w:val="0"/>
        <w:spacing w:after="0" w:line="240" w:lineRule="auto"/>
        <w:rPr>
          <w:rFonts w:ascii="Times New Roman" w:hAnsi="Times New Roman"/>
          <w:sz w:val="21"/>
          <w:szCs w:val="21"/>
        </w:rPr>
      </w:pPr>
      <w:r>
        <w:rPr>
          <w:rFonts w:ascii="Times New Roman" w:hAnsi="Times New Roman"/>
          <w:b/>
          <w:sz w:val="21"/>
          <w:szCs w:val="21"/>
        </w:rPr>
        <w:t xml:space="preserve">April 2013 </w:t>
      </w:r>
      <w:r w:rsidRPr="00305EB6">
        <w:rPr>
          <w:rFonts w:ascii="Times New Roman" w:hAnsi="Times New Roman"/>
          <w:sz w:val="21"/>
          <w:szCs w:val="21"/>
        </w:rPr>
        <w:t>– Georgia EPD expected to finalize revisions to the Georgia Multipollutant Rule and SO</w:t>
      </w:r>
      <w:r w:rsidRPr="00305EB6">
        <w:rPr>
          <w:rFonts w:ascii="Times New Roman" w:hAnsi="Times New Roman"/>
          <w:sz w:val="21"/>
          <w:szCs w:val="21"/>
          <w:vertAlign w:val="subscript"/>
        </w:rPr>
        <w:t>2</w:t>
      </w:r>
      <w:r w:rsidRPr="00305EB6">
        <w:rPr>
          <w:rFonts w:ascii="Times New Roman" w:hAnsi="Times New Roman"/>
          <w:sz w:val="21"/>
          <w:szCs w:val="21"/>
        </w:rPr>
        <w:t xml:space="preserve"> Emissions Rule.</w:t>
      </w:r>
    </w:p>
    <w:p w:rsidR="00305EB6" w:rsidRPr="00305EB6" w:rsidRDefault="00305EB6" w:rsidP="00305EB6">
      <w:pPr>
        <w:autoSpaceDE w:val="0"/>
        <w:autoSpaceDN w:val="0"/>
        <w:adjustRightInd w:val="0"/>
        <w:spacing w:after="0" w:line="240" w:lineRule="auto"/>
        <w:ind w:left="360"/>
        <w:rPr>
          <w:rFonts w:ascii="Times New Roman" w:hAnsi="Times New Roman"/>
          <w:sz w:val="21"/>
          <w:szCs w:val="21"/>
        </w:rPr>
      </w:pPr>
    </w:p>
    <w:p w:rsidR="007E7FE2" w:rsidRDefault="00451081" w:rsidP="007E7FE2">
      <w:pPr>
        <w:numPr>
          <w:ilvl w:val="0"/>
          <w:numId w:val="3"/>
        </w:numPr>
        <w:autoSpaceDE w:val="0"/>
        <w:autoSpaceDN w:val="0"/>
        <w:adjustRightInd w:val="0"/>
        <w:spacing w:after="0" w:line="240" w:lineRule="auto"/>
        <w:rPr>
          <w:rFonts w:ascii="Times New Roman" w:hAnsi="Times New Roman"/>
          <w:sz w:val="21"/>
          <w:szCs w:val="21"/>
        </w:rPr>
      </w:pPr>
      <w:r>
        <w:rPr>
          <w:rFonts w:ascii="Times New Roman" w:hAnsi="Times New Roman"/>
          <w:b/>
          <w:sz w:val="21"/>
          <w:szCs w:val="21"/>
        </w:rPr>
        <w:t>April</w:t>
      </w:r>
      <w:r w:rsidRPr="00555788">
        <w:rPr>
          <w:rFonts w:ascii="Times New Roman" w:hAnsi="Times New Roman"/>
          <w:b/>
          <w:sz w:val="21"/>
          <w:szCs w:val="21"/>
        </w:rPr>
        <w:t xml:space="preserve"> </w:t>
      </w:r>
      <w:r w:rsidR="007E7FE2" w:rsidRPr="00555788">
        <w:rPr>
          <w:rFonts w:ascii="Times New Roman" w:hAnsi="Times New Roman"/>
          <w:b/>
          <w:sz w:val="21"/>
          <w:szCs w:val="21"/>
        </w:rPr>
        <w:t>201</w:t>
      </w:r>
      <w:r>
        <w:rPr>
          <w:rFonts w:ascii="Times New Roman" w:hAnsi="Times New Roman"/>
          <w:b/>
          <w:sz w:val="21"/>
          <w:szCs w:val="21"/>
        </w:rPr>
        <w:t>3</w:t>
      </w:r>
      <w:r w:rsidR="007E7FE2" w:rsidRPr="00555788">
        <w:rPr>
          <w:rFonts w:ascii="Times New Roman" w:hAnsi="Times New Roman"/>
          <w:sz w:val="21"/>
          <w:szCs w:val="21"/>
        </w:rPr>
        <w:t xml:space="preserve"> – EPA scheduled to propose steam electric effluent guidelines rule for wastewater discharges</w:t>
      </w:r>
      <w:r w:rsidR="00A31851">
        <w:rPr>
          <w:rFonts w:ascii="Times New Roman" w:hAnsi="Times New Roman"/>
          <w:sz w:val="21"/>
          <w:szCs w:val="21"/>
        </w:rPr>
        <w:t>.</w:t>
      </w:r>
    </w:p>
    <w:p w:rsidR="007E7FE2" w:rsidRPr="0087118D" w:rsidRDefault="007E7FE2" w:rsidP="007E7FE2">
      <w:pPr>
        <w:pStyle w:val="ListParagraph"/>
        <w:rPr>
          <w:sz w:val="21"/>
          <w:szCs w:val="21"/>
        </w:rPr>
      </w:pPr>
    </w:p>
    <w:p w:rsidR="00D90D87" w:rsidRDefault="00D90D87" w:rsidP="007E7FE2">
      <w:pPr>
        <w:numPr>
          <w:ilvl w:val="0"/>
          <w:numId w:val="3"/>
        </w:numPr>
        <w:autoSpaceDE w:val="0"/>
        <w:autoSpaceDN w:val="0"/>
        <w:adjustRightInd w:val="0"/>
        <w:spacing w:after="0" w:line="240" w:lineRule="auto"/>
        <w:rPr>
          <w:rFonts w:ascii="Times New Roman" w:hAnsi="Times New Roman"/>
          <w:sz w:val="21"/>
          <w:szCs w:val="21"/>
        </w:rPr>
      </w:pPr>
      <w:r w:rsidRPr="00D90D87">
        <w:rPr>
          <w:rFonts w:ascii="Times New Roman" w:hAnsi="Times New Roman"/>
          <w:b/>
          <w:sz w:val="21"/>
          <w:szCs w:val="21"/>
        </w:rPr>
        <w:t xml:space="preserve">June 2013 </w:t>
      </w:r>
      <w:r>
        <w:rPr>
          <w:rFonts w:ascii="Times New Roman" w:hAnsi="Times New Roman"/>
          <w:sz w:val="21"/>
          <w:szCs w:val="21"/>
        </w:rPr>
        <w:t>– EPA scheduled to finalize the 316(b) rule.</w:t>
      </w:r>
    </w:p>
    <w:p w:rsidR="00D90D87" w:rsidRDefault="00D90D87" w:rsidP="00D90D87">
      <w:pPr>
        <w:pStyle w:val="ListParagraph"/>
        <w:rPr>
          <w:sz w:val="21"/>
          <w:szCs w:val="21"/>
        </w:rPr>
      </w:pPr>
    </w:p>
    <w:p w:rsidR="007E7FE2" w:rsidRDefault="007E7FE2" w:rsidP="007E7FE2">
      <w:pPr>
        <w:numPr>
          <w:ilvl w:val="0"/>
          <w:numId w:val="3"/>
        </w:numPr>
        <w:autoSpaceDE w:val="0"/>
        <w:autoSpaceDN w:val="0"/>
        <w:adjustRightInd w:val="0"/>
        <w:spacing w:after="0" w:line="240" w:lineRule="auto"/>
        <w:rPr>
          <w:rFonts w:ascii="Times New Roman" w:hAnsi="Times New Roman"/>
          <w:sz w:val="21"/>
          <w:szCs w:val="21"/>
        </w:rPr>
      </w:pPr>
      <w:r w:rsidRPr="008A0944">
        <w:rPr>
          <w:rFonts w:ascii="Times New Roman" w:hAnsi="Times New Roman"/>
          <w:b/>
          <w:sz w:val="21"/>
          <w:szCs w:val="21"/>
        </w:rPr>
        <w:t>Mid 2013</w:t>
      </w:r>
      <w:r>
        <w:rPr>
          <w:rFonts w:ascii="Times New Roman" w:hAnsi="Times New Roman"/>
          <w:sz w:val="21"/>
          <w:szCs w:val="21"/>
        </w:rPr>
        <w:t xml:space="preserve"> – Potential for EPA to </w:t>
      </w:r>
      <w:r w:rsidR="002C7304">
        <w:rPr>
          <w:rFonts w:ascii="Times New Roman" w:hAnsi="Times New Roman"/>
          <w:sz w:val="21"/>
          <w:szCs w:val="21"/>
        </w:rPr>
        <w:t>finalize the Carbon Pollution Standard for New Power Plants</w:t>
      </w:r>
      <w:r w:rsidR="00A31851">
        <w:rPr>
          <w:rFonts w:ascii="Times New Roman" w:hAnsi="Times New Roman"/>
          <w:sz w:val="21"/>
          <w:szCs w:val="21"/>
        </w:rPr>
        <w:t>.</w:t>
      </w:r>
      <w:r>
        <w:rPr>
          <w:rFonts w:ascii="Times New Roman" w:hAnsi="Times New Roman"/>
          <w:sz w:val="21"/>
          <w:szCs w:val="21"/>
        </w:rPr>
        <w:t>*</w:t>
      </w:r>
    </w:p>
    <w:p w:rsidR="007E7FE2" w:rsidRDefault="007E7FE2" w:rsidP="007E7FE2">
      <w:pPr>
        <w:pStyle w:val="ListParagraph"/>
        <w:rPr>
          <w:sz w:val="21"/>
          <w:szCs w:val="21"/>
        </w:rPr>
      </w:pPr>
    </w:p>
    <w:p w:rsidR="007E7FE2" w:rsidRDefault="007E7FE2" w:rsidP="007E7FE2">
      <w:pPr>
        <w:numPr>
          <w:ilvl w:val="0"/>
          <w:numId w:val="3"/>
        </w:numPr>
        <w:autoSpaceDE w:val="0"/>
        <w:autoSpaceDN w:val="0"/>
        <w:adjustRightInd w:val="0"/>
        <w:spacing w:after="0" w:line="240" w:lineRule="auto"/>
        <w:rPr>
          <w:rFonts w:ascii="Times New Roman" w:hAnsi="Times New Roman"/>
          <w:sz w:val="21"/>
          <w:szCs w:val="21"/>
        </w:rPr>
      </w:pPr>
      <w:r>
        <w:rPr>
          <w:rFonts w:ascii="Times New Roman" w:hAnsi="Times New Roman"/>
          <w:b/>
          <w:sz w:val="21"/>
          <w:szCs w:val="21"/>
        </w:rPr>
        <w:t>July</w:t>
      </w:r>
      <w:r w:rsidRPr="00555788">
        <w:rPr>
          <w:rFonts w:ascii="Times New Roman" w:hAnsi="Times New Roman"/>
          <w:b/>
          <w:sz w:val="21"/>
          <w:szCs w:val="21"/>
        </w:rPr>
        <w:t xml:space="preserve"> 201</w:t>
      </w:r>
      <w:r>
        <w:rPr>
          <w:rFonts w:ascii="Times New Roman" w:hAnsi="Times New Roman"/>
          <w:b/>
          <w:sz w:val="21"/>
          <w:szCs w:val="21"/>
        </w:rPr>
        <w:t>3</w:t>
      </w:r>
      <w:r w:rsidRPr="00555788">
        <w:rPr>
          <w:rFonts w:ascii="Times New Roman" w:hAnsi="Times New Roman"/>
          <w:sz w:val="21"/>
          <w:szCs w:val="21"/>
        </w:rPr>
        <w:t xml:space="preserve"> – Final SO</w:t>
      </w:r>
      <w:r w:rsidRPr="00555788">
        <w:rPr>
          <w:rFonts w:ascii="Times New Roman" w:hAnsi="Times New Roman"/>
          <w:sz w:val="21"/>
          <w:szCs w:val="21"/>
          <w:vertAlign w:val="subscript"/>
        </w:rPr>
        <w:t>2</w:t>
      </w:r>
      <w:r w:rsidRPr="00555788">
        <w:rPr>
          <w:rFonts w:ascii="Times New Roman" w:hAnsi="Times New Roman"/>
          <w:sz w:val="21"/>
          <w:szCs w:val="21"/>
        </w:rPr>
        <w:t xml:space="preserve"> NAAQS designations expected.</w:t>
      </w:r>
      <w:r>
        <w:rPr>
          <w:rFonts w:ascii="Times New Roman" w:hAnsi="Times New Roman"/>
          <w:sz w:val="21"/>
          <w:szCs w:val="21"/>
        </w:rPr>
        <w:t xml:space="preserve">  Infrastructure SIPs must be submitted to EPA by states</w:t>
      </w:r>
      <w:r w:rsidR="00A31851">
        <w:rPr>
          <w:rFonts w:ascii="Times New Roman" w:hAnsi="Times New Roman"/>
          <w:sz w:val="21"/>
          <w:szCs w:val="21"/>
        </w:rPr>
        <w:t>.</w:t>
      </w:r>
    </w:p>
    <w:p w:rsidR="00BF559E" w:rsidRDefault="00BF559E" w:rsidP="00BF559E">
      <w:pPr>
        <w:pStyle w:val="ListParagraph"/>
        <w:rPr>
          <w:sz w:val="21"/>
          <w:szCs w:val="21"/>
        </w:rPr>
      </w:pPr>
    </w:p>
    <w:p w:rsidR="00BF559E" w:rsidRDefault="00BF559E" w:rsidP="007E7FE2">
      <w:pPr>
        <w:numPr>
          <w:ilvl w:val="0"/>
          <w:numId w:val="3"/>
        </w:numPr>
        <w:autoSpaceDE w:val="0"/>
        <w:autoSpaceDN w:val="0"/>
        <w:adjustRightInd w:val="0"/>
        <w:spacing w:after="0" w:line="240" w:lineRule="auto"/>
        <w:rPr>
          <w:rFonts w:ascii="Times New Roman" w:hAnsi="Times New Roman"/>
          <w:sz w:val="21"/>
          <w:szCs w:val="21"/>
        </w:rPr>
      </w:pPr>
      <w:r w:rsidRPr="00A93953">
        <w:rPr>
          <w:rFonts w:ascii="Times New Roman" w:hAnsi="Times New Roman"/>
          <w:b/>
          <w:sz w:val="21"/>
          <w:szCs w:val="21"/>
        </w:rPr>
        <w:t>Mid 2013</w:t>
      </w:r>
      <w:r>
        <w:rPr>
          <w:rFonts w:ascii="Times New Roman" w:hAnsi="Times New Roman"/>
          <w:sz w:val="21"/>
          <w:szCs w:val="21"/>
        </w:rPr>
        <w:t xml:space="preserve"> – Potential for EPA to issue a rule for implementing the 2010 1-h</w:t>
      </w:r>
      <w:r w:rsidR="003A0A44">
        <w:rPr>
          <w:rFonts w:ascii="Times New Roman" w:hAnsi="Times New Roman"/>
          <w:sz w:val="21"/>
          <w:szCs w:val="21"/>
        </w:rPr>
        <w:t>ou</w:t>
      </w:r>
      <w:r>
        <w:rPr>
          <w:rFonts w:ascii="Times New Roman" w:hAnsi="Times New Roman"/>
          <w:sz w:val="21"/>
          <w:szCs w:val="21"/>
        </w:rPr>
        <w:t>r SO2 NAAQS.</w:t>
      </w:r>
    </w:p>
    <w:p w:rsidR="007E7FE2" w:rsidRDefault="007E7FE2" w:rsidP="007E7FE2">
      <w:pPr>
        <w:pStyle w:val="ListParagraph"/>
        <w:rPr>
          <w:sz w:val="21"/>
          <w:szCs w:val="21"/>
        </w:rPr>
      </w:pPr>
    </w:p>
    <w:p w:rsidR="00BF559E" w:rsidRDefault="00BF559E" w:rsidP="00BF559E">
      <w:pPr>
        <w:numPr>
          <w:ilvl w:val="0"/>
          <w:numId w:val="3"/>
        </w:numPr>
        <w:autoSpaceDE w:val="0"/>
        <w:autoSpaceDN w:val="0"/>
        <w:adjustRightInd w:val="0"/>
        <w:spacing w:after="0" w:line="240" w:lineRule="auto"/>
        <w:rPr>
          <w:rFonts w:ascii="Times New Roman" w:hAnsi="Times New Roman"/>
          <w:sz w:val="21"/>
          <w:szCs w:val="21"/>
        </w:rPr>
      </w:pPr>
      <w:r>
        <w:rPr>
          <w:rFonts w:ascii="Times New Roman" w:hAnsi="Times New Roman"/>
          <w:b/>
          <w:sz w:val="21"/>
          <w:szCs w:val="21"/>
        </w:rPr>
        <w:t>Early 2014</w:t>
      </w:r>
      <w:r>
        <w:rPr>
          <w:rFonts w:ascii="Times New Roman" w:hAnsi="Times New Roman"/>
          <w:sz w:val="21"/>
          <w:szCs w:val="21"/>
        </w:rPr>
        <w:t xml:space="preserve"> – Potential for EPA to finalize Coal Combustion Residuals rule.*</w:t>
      </w:r>
    </w:p>
    <w:p w:rsidR="00BF559E" w:rsidRPr="00BF559E" w:rsidRDefault="00BF559E" w:rsidP="00BF559E">
      <w:pPr>
        <w:pStyle w:val="ListParagraph"/>
        <w:rPr>
          <w:b/>
          <w:sz w:val="21"/>
          <w:szCs w:val="21"/>
        </w:rPr>
      </w:pPr>
    </w:p>
    <w:p w:rsidR="007E7FE2" w:rsidRDefault="000252FA" w:rsidP="007E7FE2">
      <w:pPr>
        <w:pStyle w:val="ListParagraph"/>
        <w:numPr>
          <w:ilvl w:val="0"/>
          <w:numId w:val="3"/>
        </w:numPr>
        <w:rPr>
          <w:sz w:val="21"/>
          <w:szCs w:val="21"/>
        </w:rPr>
      </w:pPr>
      <w:r>
        <w:rPr>
          <w:b/>
          <w:sz w:val="21"/>
          <w:szCs w:val="21"/>
        </w:rPr>
        <w:t>May</w:t>
      </w:r>
      <w:r w:rsidR="007E7FE2" w:rsidRPr="00E433DE">
        <w:rPr>
          <w:b/>
          <w:sz w:val="21"/>
          <w:szCs w:val="21"/>
        </w:rPr>
        <w:t xml:space="preserve"> 2014</w:t>
      </w:r>
      <w:r w:rsidR="007E7FE2">
        <w:rPr>
          <w:sz w:val="21"/>
          <w:szCs w:val="21"/>
        </w:rPr>
        <w:t xml:space="preserve"> – EPA scheduled to finalize the steam electric effluent guidelines rule for wastewater discharges</w:t>
      </w:r>
      <w:r w:rsidR="00A31851">
        <w:rPr>
          <w:sz w:val="21"/>
          <w:szCs w:val="21"/>
        </w:rPr>
        <w:t>.</w:t>
      </w:r>
    </w:p>
    <w:p w:rsidR="007E7FE2" w:rsidRDefault="007E7FE2" w:rsidP="007E7FE2">
      <w:pPr>
        <w:pStyle w:val="ListParagraph"/>
        <w:rPr>
          <w:sz w:val="21"/>
          <w:szCs w:val="21"/>
        </w:rPr>
      </w:pPr>
      <w:r w:rsidDel="005F08E3">
        <w:rPr>
          <w:sz w:val="21"/>
          <w:szCs w:val="21"/>
        </w:rPr>
        <w:t xml:space="preserve"> </w:t>
      </w:r>
    </w:p>
    <w:p w:rsidR="007E7FE2" w:rsidRPr="005F08E3" w:rsidRDefault="007E7FE2" w:rsidP="007E7FE2">
      <w:pPr>
        <w:numPr>
          <w:ilvl w:val="0"/>
          <w:numId w:val="3"/>
        </w:numPr>
        <w:autoSpaceDE w:val="0"/>
        <w:autoSpaceDN w:val="0"/>
        <w:adjustRightInd w:val="0"/>
        <w:spacing w:after="0" w:line="240" w:lineRule="auto"/>
        <w:rPr>
          <w:rFonts w:ascii="Times New Roman" w:hAnsi="Times New Roman"/>
          <w:sz w:val="21"/>
          <w:szCs w:val="21"/>
        </w:rPr>
      </w:pPr>
      <w:r w:rsidRPr="005F08E3">
        <w:rPr>
          <w:rFonts w:ascii="Times New Roman" w:hAnsi="Times New Roman"/>
          <w:b/>
          <w:sz w:val="21"/>
          <w:szCs w:val="21"/>
        </w:rPr>
        <w:t xml:space="preserve">July 2014 </w:t>
      </w:r>
      <w:r w:rsidRPr="005F08E3">
        <w:rPr>
          <w:rFonts w:ascii="Times New Roman" w:hAnsi="Times New Roman"/>
          <w:sz w:val="21"/>
          <w:szCs w:val="21"/>
        </w:rPr>
        <w:t xml:space="preserve">– Next </w:t>
      </w:r>
      <w:r w:rsidR="00BF559E">
        <w:rPr>
          <w:rFonts w:ascii="Times New Roman" w:hAnsi="Times New Roman"/>
          <w:sz w:val="21"/>
          <w:szCs w:val="21"/>
        </w:rPr>
        <w:t xml:space="preserve">final </w:t>
      </w:r>
      <w:r w:rsidRPr="005F08E3">
        <w:rPr>
          <w:rFonts w:ascii="Times New Roman" w:hAnsi="Times New Roman"/>
          <w:sz w:val="21"/>
          <w:szCs w:val="21"/>
        </w:rPr>
        <w:t>ozone NAAQS revision expected</w:t>
      </w:r>
      <w:r w:rsidR="00A31851">
        <w:rPr>
          <w:rFonts w:ascii="Times New Roman" w:hAnsi="Times New Roman"/>
          <w:sz w:val="21"/>
          <w:szCs w:val="21"/>
        </w:rPr>
        <w:t>.</w:t>
      </w:r>
    </w:p>
    <w:p w:rsidR="007E7FE2" w:rsidRPr="005F08E3" w:rsidRDefault="007E7FE2" w:rsidP="007E7FE2">
      <w:pPr>
        <w:pStyle w:val="ListParagraph"/>
        <w:rPr>
          <w:sz w:val="21"/>
          <w:szCs w:val="21"/>
        </w:rPr>
      </w:pPr>
    </w:p>
    <w:p w:rsidR="007E7FE2" w:rsidRDefault="007E7FE2" w:rsidP="007E7FE2">
      <w:pPr>
        <w:numPr>
          <w:ilvl w:val="0"/>
          <w:numId w:val="3"/>
        </w:numPr>
        <w:autoSpaceDE w:val="0"/>
        <w:autoSpaceDN w:val="0"/>
        <w:adjustRightInd w:val="0"/>
        <w:spacing w:after="0" w:line="240" w:lineRule="auto"/>
        <w:rPr>
          <w:rFonts w:ascii="Times New Roman" w:hAnsi="Times New Roman"/>
          <w:sz w:val="21"/>
          <w:szCs w:val="21"/>
        </w:rPr>
      </w:pPr>
      <w:r w:rsidRPr="005F08E3">
        <w:rPr>
          <w:rFonts w:ascii="Times New Roman" w:hAnsi="Times New Roman"/>
          <w:b/>
          <w:sz w:val="21"/>
          <w:szCs w:val="21"/>
        </w:rPr>
        <w:t>April 2015</w:t>
      </w:r>
      <w:r w:rsidRPr="005F08E3">
        <w:rPr>
          <w:rFonts w:ascii="Times New Roman" w:hAnsi="Times New Roman"/>
          <w:sz w:val="21"/>
          <w:szCs w:val="21"/>
        </w:rPr>
        <w:t xml:space="preserve"> – MATS compliance date </w:t>
      </w:r>
      <w:r w:rsidR="00980AB7">
        <w:rPr>
          <w:rFonts w:ascii="Times New Roman" w:hAnsi="Times New Roman"/>
          <w:sz w:val="21"/>
          <w:szCs w:val="21"/>
        </w:rPr>
        <w:t>for existing sources</w:t>
      </w:r>
      <w:r w:rsidR="00414062">
        <w:rPr>
          <w:rFonts w:ascii="Times New Roman" w:hAnsi="Times New Roman"/>
          <w:sz w:val="21"/>
          <w:szCs w:val="21"/>
        </w:rPr>
        <w:t>.</w:t>
      </w:r>
    </w:p>
    <w:p w:rsidR="007E7FE2" w:rsidRPr="005F08E3" w:rsidRDefault="007E7FE2" w:rsidP="007E7FE2">
      <w:pPr>
        <w:autoSpaceDE w:val="0"/>
        <w:autoSpaceDN w:val="0"/>
        <w:adjustRightInd w:val="0"/>
        <w:spacing w:after="0" w:line="240" w:lineRule="auto"/>
        <w:ind w:left="720"/>
        <w:rPr>
          <w:rFonts w:ascii="Times New Roman" w:hAnsi="Times New Roman"/>
          <w:sz w:val="21"/>
          <w:szCs w:val="21"/>
        </w:rPr>
      </w:pPr>
    </w:p>
    <w:p w:rsidR="007E7FE2" w:rsidRPr="007E7FE2" w:rsidRDefault="007E7FE2" w:rsidP="007E7FE2">
      <w:pPr>
        <w:autoSpaceDE w:val="0"/>
        <w:autoSpaceDN w:val="0"/>
        <w:adjustRightInd w:val="0"/>
        <w:spacing w:after="0" w:line="240" w:lineRule="auto"/>
        <w:rPr>
          <w:rFonts w:ascii="Times New Roman" w:hAnsi="Times New Roman"/>
          <w:b/>
          <w:sz w:val="24"/>
          <w:szCs w:val="24"/>
        </w:rPr>
      </w:pPr>
      <w:r w:rsidRPr="007E7FE2">
        <w:rPr>
          <w:rFonts w:ascii="Times New Roman" w:hAnsi="Times New Roman"/>
          <w:b/>
          <w:sz w:val="24"/>
          <w:szCs w:val="24"/>
        </w:rPr>
        <w:t xml:space="preserve">* </w:t>
      </w:r>
      <w:r w:rsidR="00E875B2">
        <w:rPr>
          <w:rFonts w:ascii="Times New Roman" w:hAnsi="Times New Roman"/>
          <w:b/>
          <w:sz w:val="24"/>
          <w:szCs w:val="24"/>
        </w:rPr>
        <w:t>Estimated r</w:t>
      </w:r>
      <w:r w:rsidRPr="007E7FE2">
        <w:rPr>
          <w:rFonts w:ascii="Times New Roman" w:hAnsi="Times New Roman"/>
          <w:b/>
          <w:sz w:val="24"/>
          <w:szCs w:val="24"/>
        </w:rPr>
        <w:t>egulatory date not based on official EPA schedule</w:t>
      </w:r>
    </w:p>
    <w:p w:rsidR="007E7FE2" w:rsidRPr="00ED7E20" w:rsidRDefault="007E7FE2" w:rsidP="007E7FE2">
      <w:pPr>
        <w:autoSpaceDE w:val="0"/>
        <w:autoSpaceDN w:val="0"/>
        <w:adjustRightInd w:val="0"/>
        <w:spacing w:after="0" w:line="240" w:lineRule="auto"/>
        <w:rPr>
          <w:rFonts w:ascii="Times New Roman" w:hAnsi="Times New Roman"/>
          <w:b/>
          <w:color w:val="FF0000"/>
          <w:sz w:val="28"/>
          <w:szCs w:val="28"/>
        </w:rPr>
      </w:pPr>
    </w:p>
    <w:p w:rsidR="007E7FE2" w:rsidRPr="00ED7E20" w:rsidRDefault="007E7FE2" w:rsidP="007E7FE2">
      <w:pPr>
        <w:autoSpaceDE w:val="0"/>
        <w:autoSpaceDN w:val="0"/>
        <w:adjustRightInd w:val="0"/>
        <w:spacing w:after="0" w:line="240" w:lineRule="auto"/>
        <w:rPr>
          <w:rFonts w:ascii="Times New Roman" w:hAnsi="Times New Roman"/>
          <w:b/>
          <w:color w:val="FF0000"/>
          <w:sz w:val="28"/>
          <w:szCs w:val="28"/>
        </w:rPr>
      </w:pPr>
      <w:r w:rsidRPr="00ED7E20">
        <w:rPr>
          <w:rFonts w:ascii="Times New Roman" w:hAnsi="Times New Roman"/>
          <w:sz w:val="24"/>
          <w:szCs w:val="24"/>
        </w:rPr>
        <w:t xml:space="preserve">These federal rules </w:t>
      </w:r>
      <w:r w:rsidR="00D94100">
        <w:rPr>
          <w:rFonts w:ascii="Times New Roman" w:hAnsi="Times New Roman"/>
          <w:sz w:val="24"/>
          <w:szCs w:val="24"/>
        </w:rPr>
        <w:t xml:space="preserve">as well as applicable state rules </w:t>
      </w:r>
      <w:r w:rsidRPr="00ED7E20">
        <w:rPr>
          <w:rFonts w:ascii="Times New Roman" w:hAnsi="Times New Roman"/>
          <w:sz w:val="24"/>
          <w:szCs w:val="24"/>
        </w:rPr>
        <w:t xml:space="preserve">are discussed in detail </w:t>
      </w:r>
      <w:r w:rsidR="002C7304">
        <w:rPr>
          <w:rFonts w:ascii="Times New Roman" w:hAnsi="Times New Roman"/>
          <w:sz w:val="24"/>
          <w:szCs w:val="24"/>
        </w:rPr>
        <w:t>in</w:t>
      </w:r>
      <w:r w:rsidR="00D94100">
        <w:rPr>
          <w:rFonts w:ascii="Times New Roman" w:hAnsi="Times New Roman"/>
          <w:sz w:val="24"/>
          <w:szCs w:val="24"/>
        </w:rPr>
        <w:t xml:space="preserve"> Section 2.0</w:t>
      </w:r>
      <w:r w:rsidR="00193A96">
        <w:rPr>
          <w:rFonts w:ascii="Times New Roman" w:hAnsi="Times New Roman"/>
          <w:sz w:val="24"/>
          <w:szCs w:val="24"/>
        </w:rPr>
        <w:t>.  Section 3.0 of this document</w:t>
      </w:r>
      <w:r w:rsidR="00D94100">
        <w:rPr>
          <w:rFonts w:ascii="Times New Roman" w:hAnsi="Times New Roman"/>
          <w:sz w:val="24"/>
          <w:szCs w:val="24"/>
        </w:rPr>
        <w:t xml:space="preserve"> details the process of developing the Environmental Compliance Strategy, and Section 4.0 discusses the results of the strategy and impacts of </w:t>
      </w:r>
      <w:r w:rsidR="004865FF">
        <w:rPr>
          <w:rFonts w:ascii="Times New Roman" w:hAnsi="Times New Roman"/>
          <w:sz w:val="24"/>
          <w:szCs w:val="24"/>
        </w:rPr>
        <w:t xml:space="preserve">these </w:t>
      </w:r>
      <w:r w:rsidR="00193A96">
        <w:rPr>
          <w:rFonts w:ascii="Times New Roman" w:hAnsi="Times New Roman"/>
          <w:sz w:val="24"/>
          <w:szCs w:val="24"/>
        </w:rPr>
        <w:t>environmental regulations to Georgia Power’s</w:t>
      </w:r>
      <w:r w:rsidR="00D94100">
        <w:rPr>
          <w:rFonts w:ascii="Times New Roman" w:hAnsi="Times New Roman"/>
          <w:sz w:val="24"/>
          <w:szCs w:val="24"/>
        </w:rPr>
        <w:t xml:space="preserve"> operations</w:t>
      </w:r>
      <w:r w:rsidRPr="00ED7E20">
        <w:rPr>
          <w:rFonts w:ascii="Times New Roman" w:hAnsi="Times New Roman"/>
          <w:sz w:val="24"/>
          <w:szCs w:val="24"/>
        </w:rPr>
        <w:t>.</w:t>
      </w:r>
    </w:p>
    <w:p w:rsidR="00FC67F9" w:rsidRPr="00ED7E20" w:rsidRDefault="00FC67F9" w:rsidP="002A0CD0">
      <w:pPr>
        <w:keepNext/>
        <w:widowControl w:val="0"/>
        <w:spacing w:after="0" w:line="240" w:lineRule="auto"/>
        <w:ind w:left="90"/>
        <w:jc w:val="center"/>
        <w:outlineLvl w:val="0"/>
        <w:rPr>
          <w:rFonts w:ascii="Arial" w:hAnsi="Arial" w:cs="Arial"/>
          <w:b/>
          <w:bCs/>
          <w:color w:val="FF0000"/>
          <w:kern w:val="28"/>
          <w:sz w:val="28"/>
          <w:szCs w:val="28"/>
        </w:rPr>
      </w:pPr>
      <w:r w:rsidRPr="00ED7E20">
        <w:rPr>
          <w:rFonts w:ascii="Arial" w:hAnsi="Arial" w:cs="Arial"/>
          <w:b/>
          <w:bCs/>
          <w:color w:val="000080"/>
          <w:kern w:val="28"/>
          <w:sz w:val="28"/>
          <w:szCs w:val="28"/>
        </w:rPr>
        <w:br w:type="page"/>
      </w:r>
      <w:bookmarkStart w:id="5" w:name="_Toc347314833"/>
      <w:r>
        <w:rPr>
          <w:rFonts w:ascii="Arial" w:hAnsi="Arial" w:cs="Arial"/>
          <w:b/>
          <w:bCs/>
          <w:color w:val="000080"/>
          <w:kern w:val="28"/>
          <w:sz w:val="28"/>
          <w:szCs w:val="28"/>
        </w:rPr>
        <w:t xml:space="preserve">2.0 </w:t>
      </w:r>
      <w:r w:rsidRPr="00ED7E20">
        <w:rPr>
          <w:rFonts w:ascii="Arial" w:hAnsi="Arial" w:cs="Arial"/>
          <w:b/>
          <w:bCs/>
          <w:color w:val="000080"/>
          <w:kern w:val="28"/>
          <w:sz w:val="28"/>
          <w:szCs w:val="28"/>
        </w:rPr>
        <w:t>Regulatory, Legislative, and Judicial Review</w:t>
      </w:r>
      <w:bookmarkEnd w:id="5"/>
    </w:p>
    <w:p w:rsidR="00FC67F9" w:rsidRPr="001832A5" w:rsidRDefault="00FC67F9" w:rsidP="002A0CD0">
      <w:pPr>
        <w:autoSpaceDE w:val="0"/>
        <w:autoSpaceDN w:val="0"/>
        <w:adjustRightInd w:val="0"/>
        <w:spacing w:after="0" w:line="240" w:lineRule="auto"/>
        <w:rPr>
          <w:rFonts w:ascii="Times New Roman" w:hAnsi="Times New Roman"/>
          <w:sz w:val="28"/>
          <w:szCs w:val="24"/>
        </w:rPr>
      </w:pPr>
    </w:p>
    <w:p w:rsidR="00FC67F9" w:rsidRPr="00ED7E20" w:rsidRDefault="00FC67F9" w:rsidP="002A0CD0">
      <w:pPr>
        <w:autoSpaceDE w:val="0"/>
        <w:autoSpaceDN w:val="0"/>
        <w:adjustRightInd w:val="0"/>
        <w:spacing w:after="0" w:line="240" w:lineRule="auto"/>
        <w:rPr>
          <w:rFonts w:ascii="Times New Roman" w:hAnsi="Times New Roman"/>
          <w:b/>
          <w:bCs/>
          <w:color w:val="000080"/>
          <w:sz w:val="28"/>
          <w:szCs w:val="28"/>
          <w:u w:val="single"/>
        </w:rPr>
      </w:pPr>
      <w:r w:rsidRPr="00ED7E20">
        <w:rPr>
          <w:rFonts w:ascii="Times New Roman" w:hAnsi="Times New Roman"/>
          <w:sz w:val="24"/>
          <w:szCs w:val="24"/>
        </w:rPr>
        <w:t xml:space="preserve">Environmental compliance and regulation for Georgia Power Company (GPC) and all of Southern Company are principally governed by the </w:t>
      </w:r>
      <w:r w:rsidR="002C6C10">
        <w:rPr>
          <w:rFonts w:ascii="Times New Roman" w:hAnsi="Times New Roman"/>
          <w:sz w:val="24"/>
          <w:szCs w:val="24"/>
        </w:rPr>
        <w:t xml:space="preserve">U.S. </w:t>
      </w:r>
      <w:r w:rsidRPr="00ED7E20">
        <w:rPr>
          <w:rFonts w:ascii="Times New Roman" w:hAnsi="Times New Roman"/>
          <w:sz w:val="24"/>
          <w:szCs w:val="24"/>
        </w:rPr>
        <w:t>Environmental Protection Agency (EPA), the State of Georgia Environmental Protection Division (EPD), and other state and local authorities.</w:t>
      </w:r>
      <w:r w:rsidR="00D94100">
        <w:rPr>
          <w:rFonts w:ascii="Times New Roman" w:hAnsi="Times New Roman"/>
          <w:sz w:val="24"/>
          <w:szCs w:val="24"/>
        </w:rPr>
        <w:t xml:space="preserve">  The major environmental laws and regulations impacting Georgia Power</w:t>
      </w:r>
      <w:r w:rsidR="00B928E7">
        <w:rPr>
          <w:rFonts w:ascii="Times New Roman" w:hAnsi="Times New Roman"/>
          <w:sz w:val="24"/>
          <w:szCs w:val="24"/>
        </w:rPr>
        <w:t>, including any recent legislative, regulatory, or judicial developments,</w:t>
      </w:r>
      <w:r w:rsidR="00D94100">
        <w:rPr>
          <w:rFonts w:ascii="Times New Roman" w:hAnsi="Times New Roman"/>
          <w:sz w:val="24"/>
          <w:szCs w:val="24"/>
        </w:rPr>
        <w:t xml:space="preserve"> are detailed in this section.  </w:t>
      </w:r>
    </w:p>
    <w:p w:rsidR="00FC67F9" w:rsidRPr="00ED7E20" w:rsidRDefault="00FC67F9" w:rsidP="002A0CD0">
      <w:pPr>
        <w:autoSpaceDE w:val="0"/>
        <w:autoSpaceDN w:val="0"/>
        <w:adjustRightInd w:val="0"/>
        <w:spacing w:after="0" w:line="240" w:lineRule="auto"/>
        <w:rPr>
          <w:rFonts w:ascii="Times New Roman" w:hAnsi="Times New Roman"/>
          <w:b/>
          <w:bCs/>
          <w:color w:val="000080"/>
          <w:sz w:val="24"/>
          <w:szCs w:val="24"/>
        </w:rPr>
      </w:pPr>
    </w:p>
    <w:p w:rsidR="00FC67F9" w:rsidRPr="00ED7E20" w:rsidRDefault="00FC67F9" w:rsidP="002A0CD0">
      <w:pPr>
        <w:autoSpaceDE w:val="0"/>
        <w:autoSpaceDN w:val="0"/>
        <w:adjustRightInd w:val="0"/>
        <w:spacing w:after="0" w:line="240" w:lineRule="auto"/>
        <w:jc w:val="both"/>
        <w:outlineLvl w:val="1"/>
        <w:rPr>
          <w:rFonts w:ascii="Times New Roman" w:hAnsi="Times New Roman"/>
          <w:b/>
          <w:bCs/>
          <w:color w:val="000080"/>
          <w:sz w:val="24"/>
          <w:szCs w:val="24"/>
        </w:rPr>
      </w:pPr>
      <w:bookmarkStart w:id="6" w:name="_Toc347314834"/>
      <w:r>
        <w:rPr>
          <w:rFonts w:ascii="Times New Roman" w:hAnsi="Times New Roman"/>
          <w:b/>
          <w:bCs/>
          <w:color w:val="000080"/>
          <w:sz w:val="24"/>
          <w:szCs w:val="24"/>
        </w:rPr>
        <w:t>2.1</w:t>
      </w:r>
      <w:r>
        <w:rPr>
          <w:rFonts w:ascii="Times New Roman" w:hAnsi="Times New Roman"/>
          <w:b/>
          <w:bCs/>
          <w:color w:val="000080"/>
          <w:sz w:val="24"/>
          <w:szCs w:val="24"/>
        </w:rPr>
        <w:tab/>
      </w:r>
      <w:r w:rsidRPr="00ED7E20">
        <w:rPr>
          <w:rFonts w:ascii="Times New Roman" w:hAnsi="Times New Roman"/>
          <w:b/>
          <w:bCs/>
          <w:color w:val="000080"/>
          <w:sz w:val="24"/>
          <w:szCs w:val="24"/>
        </w:rPr>
        <w:t xml:space="preserve">Major U.S. </w:t>
      </w:r>
      <w:r w:rsidRPr="00305EB6">
        <w:rPr>
          <w:rFonts w:ascii="Times New Roman Bold" w:hAnsi="Times New Roman Bold"/>
          <w:b/>
          <w:bCs/>
          <w:color w:val="000080"/>
          <w:sz w:val="24"/>
          <w:szCs w:val="24"/>
        </w:rPr>
        <w:t>Environmental</w:t>
      </w:r>
      <w:r w:rsidRPr="00ED7E20">
        <w:rPr>
          <w:rFonts w:ascii="Times New Roman" w:hAnsi="Times New Roman"/>
          <w:b/>
          <w:bCs/>
          <w:color w:val="000080"/>
          <w:sz w:val="24"/>
          <w:szCs w:val="24"/>
        </w:rPr>
        <w:t xml:space="preserve"> Laws</w:t>
      </w:r>
      <w:bookmarkEnd w:id="6"/>
    </w:p>
    <w:p w:rsidR="00FC67F9" w:rsidRPr="00ED7E20" w:rsidRDefault="00FC67F9" w:rsidP="002A0CD0">
      <w:pPr>
        <w:autoSpaceDE w:val="0"/>
        <w:autoSpaceDN w:val="0"/>
        <w:adjustRightInd w:val="0"/>
        <w:spacing w:after="0" w:line="240" w:lineRule="auto"/>
        <w:rPr>
          <w:rFonts w:ascii="Times New Roman" w:hAnsi="Times New Roman"/>
          <w:b/>
          <w:bCs/>
          <w:sz w:val="16"/>
          <w:szCs w:val="16"/>
        </w:rPr>
      </w:pPr>
    </w:p>
    <w:p w:rsidR="00FC67F9" w:rsidRPr="00ED7E20" w:rsidRDefault="00FC67F9" w:rsidP="002A0CD0">
      <w:pPr>
        <w:spacing w:after="0" w:line="240" w:lineRule="auto"/>
        <w:rPr>
          <w:rFonts w:ascii="Times New Roman" w:hAnsi="Times New Roman"/>
          <w:b/>
          <w:sz w:val="24"/>
          <w:szCs w:val="24"/>
        </w:rPr>
      </w:pPr>
      <w:r w:rsidRPr="00ED7E20">
        <w:rPr>
          <w:rFonts w:ascii="Times New Roman" w:hAnsi="Times New Roman"/>
          <w:b/>
          <w:color w:val="000080"/>
          <w:sz w:val="24"/>
          <w:szCs w:val="24"/>
        </w:rPr>
        <w:t>Clean Air Act (CAA)</w:t>
      </w:r>
      <w:r w:rsidRPr="00ED7E20">
        <w:rPr>
          <w:rFonts w:ascii="Times New Roman" w:hAnsi="Times New Roman"/>
          <w:b/>
          <w:sz w:val="24"/>
          <w:szCs w:val="24"/>
        </w:rPr>
        <w:t xml:space="preserve"> </w:t>
      </w:r>
    </w:p>
    <w:p w:rsidR="00FC67F9" w:rsidRPr="00ED7E20" w:rsidRDefault="00FC67F9" w:rsidP="002A0CD0">
      <w:pPr>
        <w:spacing w:after="0" w:line="240" w:lineRule="auto"/>
        <w:rPr>
          <w:rFonts w:ascii="Times New Roman" w:hAnsi="Times New Roman"/>
          <w:sz w:val="24"/>
          <w:szCs w:val="24"/>
        </w:rPr>
      </w:pPr>
      <w:r w:rsidRPr="00ED7E20">
        <w:rPr>
          <w:rFonts w:ascii="Times New Roman" w:hAnsi="Times New Roman"/>
          <w:sz w:val="24"/>
          <w:szCs w:val="24"/>
        </w:rPr>
        <w:t xml:space="preserve">The portions of the </w:t>
      </w:r>
      <w:r w:rsidR="001A3E76">
        <w:rPr>
          <w:rFonts w:ascii="Times New Roman" w:hAnsi="Times New Roman"/>
          <w:sz w:val="24"/>
          <w:szCs w:val="24"/>
        </w:rPr>
        <w:t xml:space="preserve">Clean Air Act and the </w:t>
      </w:r>
      <w:r w:rsidRPr="00ED7E20">
        <w:rPr>
          <w:rFonts w:ascii="Times New Roman" w:hAnsi="Times New Roman"/>
          <w:sz w:val="24"/>
          <w:szCs w:val="24"/>
        </w:rPr>
        <w:t>1990 Clean Air Act Amendments (CAAA) that impact the electric utility industry most directly are:</w:t>
      </w:r>
    </w:p>
    <w:p w:rsidR="00E433DE" w:rsidRDefault="00E433DE" w:rsidP="002A0CD0">
      <w:pPr>
        <w:spacing w:after="0" w:line="240" w:lineRule="auto"/>
        <w:ind w:left="765"/>
        <w:rPr>
          <w:rFonts w:ascii="Times New Roman" w:hAnsi="Times New Roman"/>
          <w:sz w:val="24"/>
          <w:szCs w:val="24"/>
        </w:rPr>
      </w:pPr>
    </w:p>
    <w:p w:rsidR="00FC67F9" w:rsidRPr="00ED7E20" w:rsidRDefault="00FC67F9" w:rsidP="002A0CD0">
      <w:pPr>
        <w:numPr>
          <w:ilvl w:val="0"/>
          <w:numId w:val="25"/>
        </w:numPr>
        <w:spacing w:after="0" w:line="240" w:lineRule="auto"/>
        <w:rPr>
          <w:rFonts w:ascii="Times New Roman" w:hAnsi="Times New Roman"/>
          <w:sz w:val="24"/>
          <w:szCs w:val="24"/>
        </w:rPr>
      </w:pPr>
      <w:r w:rsidRPr="00ED7E20">
        <w:rPr>
          <w:rFonts w:ascii="Times New Roman" w:hAnsi="Times New Roman"/>
          <w:sz w:val="24"/>
          <w:szCs w:val="24"/>
        </w:rPr>
        <w:t>Title I, National Ambient Air Quality Standards</w:t>
      </w:r>
    </w:p>
    <w:p w:rsidR="00FC67F9" w:rsidRPr="00ED7E20" w:rsidRDefault="00FC67F9" w:rsidP="002A0CD0">
      <w:pPr>
        <w:numPr>
          <w:ilvl w:val="0"/>
          <w:numId w:val="25"/>
        </w:numPr>
        <w:spacing w:after="0" w:line="240" w:lineRule="auto"/>
        <w:rPr>
          <w:rFonts w:ascii="Times New Roman" w:hAnsi="Times New Roman"/>
          <w:sz w:val="24"/>
          <w:szCs w:val="24"/>
        </w:rPr>
      </w:pPr>
      <w:r w:rsidRPr="00ED7E20">
        <w:rPr>
          <w:rFonts w:ascii="Times New Roman" w:hAnsi="Times New Roman"/>
          <w:sz w:val="24"/>
          <w:szCs w:val="24"/>
        </w:rPr>
        <w:t>Title III, Air Toxics</w:t>
      </w:r>
    </w:p>
    <w:p w:rsidR="00FC67F9" w:rsidRPr="00ED7E20" w:rsidRDefault="00FC67F9" w:rsidP="002A0CD0">
      <w:pPr>
        <w:numPr>
          <w:ilvl w:val="0"/>
          <w:numId w:val="25"/>
        </w:numPr>
        <w:spacing w:after="0" w:line="240" w:lineRule="auto"/>
        <w:rPr>
          <w:rFonts w:ascii="Times New Roman" w:hAnsi="Times New Roman"/>
          <w:sz w:val="24"/>
          <w:szCs w:val="24"/>
        </w:rPr>
      </w:pPr>
      <w:r w:rsidRPr="00ED7E20">
        <w:rPr>
          <w:rFonts w:ascii="Times New Roman" w:hAnsi="Times New Roman"/>
          <w:sz w:val="24"/>
          <w:szCs w:val="24"/>
        </w:rPr>
        <w:t>Title IV, Acid Rain</w:t>
      </w:r>
    </w:p>
    <w:p w:rsidR="00FC67F9" w:rsidRPr="00ED7E20" w:rsidRDefault="00FC67F9" w:rsidP="002A0CD0">
      <w:pPr>
        <w:numPr>
          <w:ilvl w:val="0"/>
          <w:numId w:val="25"/>
        </w:numPr>
        <w:spacing w:after="0" w:line="240" w:lineRule="auto"/>
        <w:rPr>
          <w:rFonts w:ascii="Times New Roman" w:hAnsi="Times New Roman"/>
          <w:sz w:val="24"/>
          <w:szCs w:val="24"/>
        </w:rPr>
      </w:pPr>
      <w:r w:rsidRPr="00ED7E20">
        <w:rPr>
          <w:rFonts w:ascii="Times New Roman" w:hAnsi="Times New Roman"/>
          <w:sz w:val="24"/>
          <w:szCs w:val="24"/>
        </w:rPr>
        <w:t>Title V,  Permits</w:t>
      </w:r>
    </w:p>
    <w:p w:rsidR="00FC67F9" w:rsidRPr="00ED7E20" w:rsidRDefault="00FC67F9" w:rsidP="002A0CD0">
      <w:pPr>
        <w:spacing w:after="0" w:line="240" w:lineRule="auto"/>
        <w:rPr>
          <w:rFonts w:ascii="Times New Roman" w:hAnsi="Times New Roman"/>
          <w:sz w:val="24"/>
          <w:szCs w:val="24"/>
        </w:rPr>
      </w:pPr>
    </w:p>
    <w:p w:rsidR="00FC67F9" w:rsidRPr="00ED7E20" w:rsidRDefault="00FC67F9" w:rsidP="002A0CD0">
      <w:pPr>
        <w:spacing w:after="0" w:line="240" w:lineRule="auto"/>
        <w:rPr>
          <w:rFonts w:ascii="Times New Roman" w:hAnsi="Times New Roman"/>
          <w:sz w:val="24"/>
          <w:szCs w:val="24"/>
        </w:rPr>
      </w:pPr>
      <w:r w:rsidRPr="00ED7E20">
        <w:rPr>
          <w:rFonts w:ascii="Times New Roman" w:hAnsi="Times New Roman"/>
          <w:sz w:val="24"/>
          <w:szCs w:val="24"/>
        </w:rPr>
        <w:t>The heart of the CAA is the National Ambient Air Quality Standards (NAAQS or “standards”).  The Act requires that the U.S. EPA determine what level of six specific pollutants (ozone, particulate matter, sulfur dioxide, lead, carbon monoxide, and nitrogen dioxide) in the ambient (outside) air is protective of human health with a margin of safety.  Areas of the country where levels of these pollutants exceed the NAAQS are known as “nonattainment” areas.  States must develop State Implementation Plans (SIPs) with control strategies designed to bring these areas into attainment.</w:t>
      </w:r>
      <w:r w:rsidR="00795A89">
        <w:rPr>
          <w:rFonts w:ascii="Times New Roman" w:hAnsi="Times New Roman"/>
          <w:sz w:val="24"/>
          <w:szCs w:val="24"/>
        </w:rPr>
        <w:t xml:space="preserve"> </w:t>
      </w:r>
      <w:r w:rsidRPr="00ED7E20">
        <w:rPr>
          <w:rFonts w:ascii="Times New Roman" w:hAnsi="Times New Roman"/>
          <w:sz w:val="24"/>
          <w:szCs w:val="24"/>
        </w:rPr>
        <w:t xml:space="preserve"> EPA is required to review the NAAQS every five years, and update them if necessary.  In addition, the CAA authorizes EPA to issue regulations necessary to prevent emissions in one or more states from contributing to nonattainment in other states.  EPA has issued t</w:t>
      </w:r>
      <w:r w:rsidR="00397351">
        <w:rPr>
          <w:rFonts w:ascii="Times New Roman" w:hAnsi="Times New Roman"/>
          <w:sz w:val="24"/>
          <w:szCs w:val="24"/>
        </w:rPr>
        <w:t>hree</w:t>
      </w:r>
      <w:r w:rsidRPr="00ED7E20">
        <w:rPr>
          <w:rFonts w:ascii="Times New Roman" w:hAnsi="Times New Roman"/>
          <w:sz w:val="24"/>
          <w:szCs w:val="24"/>
        </w:rPr>
        <w:t xml:space="preserve"> sets of rules for </w:t>
      </w:r>
      <w:r w:rsidR="00EC35B8" w:rsidRPr="00EC35B8">
        <w:rPr>
          <w:rFonts w:ascii="Times New Roman" w:hAnsi="Times New Roman"/>
          <w:sz w:val="24"/>
          <w:szCs w:val="24"/>
        </w:rPr>
        <w:t xml:space="preserve">managing interstate nonattainment </w:t>
      </w:r>
      <w:r w:rsidR="00EC35B8">
        <w:rPr>
          <w:rFonts w:ascii="Times New Roman" w:hAnsi="Times New Roman"/>
          <w:sz w:val="24"/>
          <w:szCs w:val="24"/>
        </w:rPr>
        <w:t xml:space="preserve">that have been </w:t>
      </w:r>
      <w:r w:rsidRPr="00ED7E20">
        <w:rPr>
          <w:rFonts w:ascii="Times New Roman" w:hAnsi="Times New Roman"/>
          <w:sz w:val="24"/>
          <w:szCs w:val="24"/>
        </w:rPr>
        <w:t>applicable to Southern Company units – the NO</w:t>
      </w:r>
      <w:r w:rsidRPr="00ED7E20">
        <w:rPr>
          <w:rFonts w:ascii="Times New Roman" w:hAnsi="Times New Roman"/>
          <w:sz w:val="24"/>
          <w:szCs w:val="24"/>
          <w:vertAlign w:val="subscript"/>
        </w:rPr>
        <w:t>x</w:t>
      </w:r>
      <w:r w:rsidRPr="00ED7E20">
        <w:rPr>
          <w:rFonts w:ascii="Times New Roman" w:hAnsi="Times New Roman"/>
          <w:sz w:val="24"/>
          <w:szCs w:val="24"/>
        </w:rPr>
        <w:t xml:space="preserve"> Budget Trading Rule (NO</w:t>
      </w:r>
      <w:r w:rsidRPr="00ED7E20">
        <w:rPr>
          <w:rFonts w:ascii="Times New Roman" w:hAnsi="Times New Roman"/>
          <w:sz w:val="24"/>
          <w:szCs w:val="24"/>
          <w:vertAlign w:val="subscript"/>
        </w:rPr>
        <w:t>x</w:t>
      </w:r>
      <w:r w:rsidRPr="00ED7E20">
        <w:rPr>
          <w:rFonts w:ascii="Times New Roman" w:hAnsi="Times New Roman"/>
          <w:sz w:val="24"/>
          <w:szCs w:val="24"/>
        </w:rPr>
        <w:t xml:space="preserve"> SIP Call), CAIR, and </w:t>
      </w:r>
      <w:r w:rsidR="00A31851">
        <w:rPr>
          <w:rFonts w:ascii="Times New Roman" w:hAnsi="Times New Roman"/>
          <w:sz w:val="24"/>
          <w:szCs w:val="24"/>
        </w:rPr>
        <w:t xml:space="preserve">CSAPR </w:t>
      </w:r>
      <w:r w:rsidRPr="00ED7E20">
        <w:rPr>
          <w:rFonts w:ascii="Times New Roman" w:hAnsi="Times New Roman"/>
          <w:sz w:val="24"/>
          <w:szCs w:val="24"/>
        </w:rPr>
        <w:t>(as a replacement to CAIR)</w:t>
      </w:r>
      <w:r w:rsidR="00397351">
        <w:rPr>
          <w:rFonts w:ascii="Times New Roman" w:hAnsi="Times New Roman"/>
          <w:sz w:val="24"/>
          <w:szCs w:val="24"/>
        </w:rPr>
        <w:t xml:space="preserve">.  </w:t>
      </w:r>
      <w:r w:rsidR="002C7304">
        <w:rPr>
          <w:rFonts w:ascii="Times New Roman" w:hAnsi="Times New Roman"/>
          <w:sz w:val="24"/>
          <w:szCs w:val="24"/>
        </w:rPr>
        <w:t>Since</w:t>
      </w:r>
      <w:r w:rsidR="00397351">
        <w:rPr>
          <w:rFonts w:ascii="Times New Roman" w:hAnsi="Times New Roman"/>
          <w:sz w:val="24"/>
          <w:szCs w:val="24"/>
        </w:rPr>
        <w:t xml:space="preserve"> CSAPR has been </w:t>
      </w:r>
      <w:r w:rsidR="009840DF">
        <w:rPr>
          <w:rFonts w:ascii="Times New Roman" w:hAnsi="Times New Roman"/>
          <w:sz w:val="24"/>
          <w:szCs w:val="24"/>
        </w:rPr>
        <w:t>vacated by the DC Circuit Court</w:t>
      </w:r>
      <w:r w:rsidR="002C7304">
        <w:rPr>
          <w:rFonts w:ascii="Times New Roman" w:hAnsi="Times New Roman"/>
          <w:sz w:val="24"/>
          <w:szCs w:val="24"/>
        </w:rPr>
        <w:t>,</w:t>
      </w:r>
      <w:r w:rsidR="00A31851">
        <w:rPr>
          <w:rFonts w:ascii="Times New Roman" w:hAnsi="Times New Roman"/>
          <w:sz w:val="24"/>
          <w:szCs w:val="24"/>
        </w:rPr>
        <w:t xml:space="preserve"> CAIR remains in place until a replacement rule can be developed by EPA</w:t>
      </w:r>
      <w:r w:rsidR="009840DF">
        <w:rPr>
          <w:rFonts w:ascii="Times New Roman" w:hAnsi="Times New Roman"/>
          <w:sz w:val="24"/>
          <w:szCs w:val="24"/>
        </w:rPr>
        <w:t>.</w:t>
      </w:r>
    </w:p>
    <w:p w:rsidR="00FC67F9" w:rsidRPr="00ED7E20" w:rsidRDefault="00FC67F9" w:rsidP="002A0CD0">
      <w:pPr>
        <w:spacing w:after="0" w:line="240" w:lineRule="auto"/>
        <w:rPr>
          <w:rFonts w:ascii="Times New Roman" w:hAnsi="Times New Roman"/>
          <w:b/>
          <w:color w:val="000000"/>
          <w:sz w:val="24"/>
          <w:szCs w:val="24"/>
        </w:rPr>
      </w:pPr>
    </w:p>
    <w:p w:rsidR="00FC67F9" w:rsidRPr="00ED7E20" w:rsidRDefault="00FC67F9" w:rsidP="002A0CD0">
      <w:pPr>
        <w:tabs>
          <w:tab w:val="left" w:pos="360"/>
        </w:tabs>
        <w:spacing w:after="0" w:line="240" w:lineRule="auto"/>
        <w:ind w:right="240"/>
        <w:rPr>
          <w:rFonts w:ascii="Times New Roman" w:hAnsi="Times New Roman"/>
          <w:color w:val="000000"/>
          <w:sz w:val="24"/>
          <w:szCs w:val="24"/>
        </w:rPr>
      </w:pPr>
      <w:r w:rsidRPr="00ED7E20">
        <w:rPr>
          <w:rFonts w:ascii="Times New Roman" w:hAnsi="Times New Roman"/>
          <w:sz w:val="24"/>
          <w:szCs w:val="24"/>
        </w:rPr>
        <w:t>Title III of the CAA</w:t>
      </w:r>
      <w:r w:rsidR="000F032F">
        <w:rPr>
          <w:rFonts w:ascii="Times New Roman" w:hAnsi="Times New Roman"/>
          <w:sz w:val="24"/>
          <w:szCs w:val="24"/>
        </w:rPr>
        <w:t>A</w:t>
      </w:r>
      <w:r w:rsidRPr="00ED7E20">
        <w:rPr>
          <w:rFonts w:ascii="Times New Roman" w:hAnsi="Times New Roman"/>
          <w:sz w:val="24"/>
          <w:szCs w:val="24"/>
        </w:rPr>
        <w:t xml:space="preserve"> </w:t>
      </w:r>
      <w:r w:rsidR="00301AB3">
        <w:rPr>
          <w:rFonts w:ascii="Times New Roman" w:hAnsi="Times New Roman"/>
          <w:sz w:val="24"/>
          <w:szCs w:val="24"/>
        </w:rPr>
        <w:t xml:space="preserve">requires </w:t>
      </w:r>
      <w:r w:rsidRPr="00ED7E20">
        <w:rPr>
          <w:rFonts w:ascii="Times New Roman" w:hAnsi="Times New Roman"/>
          <w:sz w:val="24"/>
          <w:szCs w:val="24"/>
        </w:rPr>
        <w:t>regulat</w:t>
      </w:r>
      <w:r w:rsidR="00301AB3">
        <w:rPr>
          <w:rFonts w:ascii="Times New Roman" w:hAnsi="Times New Roman"/>
          <w:sz w:val="24"/>
          <w:szCs w:val="24"/>
        </w:rPr>
        <w:t>ion of 187</w:t>
      </w:r>
      <w:r w:rsidRPr="00ED7E20">
        <w:rPr>
          <w:rFonts w:ascii="Times New Roman" w:hAnsi="Times New Roman"/>
          <w:sz w:val="24"/>
          <w:szCs w:val="24"/>
        </w:rPr>
        <w:t xml:space="preserve"> Hazardous Air Pollutants (HAPs) and requires </w:t>
      </w:r>
      <w:r w:rsidR="00301AB3">
        <w:rPr>
          <w:rFonts w:ascii="Times New Roman" w:hAnsi="Times New Roman"/>
          <w:sz w:val="24"/>
          <w:szCs w:val="24"/>
        </w:rPr>
        <w:t xml:space="preserve">implementation of emission limits equivalent to the </w:t>
      </w:r>
      <w:r w:rsidRPr="00ED7E20">
        <w:rPr>
          <w:rFonts w:ascii="Times New Roman" w:hAnsi="Times New Roman"/>
          <w:sz w:val="24"/>
          <w:szCs w:val="24"/>
        </w:rPr>
        <w:t>Maximum Achievable Control Technology</w:t>
      </w:r>
      <w:r w:rsidR="00B706E7">
        <w:rPr>
          <w:rFonts w:ascii="Times New Roman" w:hAnsi="Times New Roman"/>
          <w:sz w:val="24"/>
          <w:szCs w:val="24"/>
        </w:rPr>
        <w:t xml:space="preserve"> </w:t>
      </w:r>
      <w:r w:rsidRPr="00ED7E20">
        <w:rPr>
          <w:rFonts w:ascii="Times New Roman" w:hAnsi="Times New Roman"/>
          <w:sz w:val="24"/>
          <w:szCs w:val="24"/>
        </w:rPr>
        <w:t>(MACT)</w:t>
      </w:r>
      <w:r w:rsidR="00301AB3">
        <w:rPr>
          <w:rFonts w:ascii="Times New Roman" w:hAnsi="Times New Roman"/>
          <w:sz w:val="24"/>
          <w:szCs w:val="24"/>
        </w:rPr>
        <w:t xml:space="preserve"> for specfic source categories</w:t>
      </w:r>
      <w:r w:rsidR="006A29FE">
        <w:rPr>
          <w:rFonts w:ascii="Times New Roman" w:hAnsi="Times New Roman"/>
          <w:sz w:val="24"/>
          <w:szCs w:val="24"/>
        </w:rPr>
        <w:t>, as determined by EPA</w:t>
      </w:r>
      <w:r w:rsidRPr="00ED7E20">
        <w:rPr>
          <w:rFonts w:ascii="Times New Roman" w:hAnsi="Times New Roman"/>
          <w:sz w:val="24"/>
          <w:szCs w:val="24"/>
        </w:rPr>
        <w:t xml:space="preserve">.  </w:t>
      </w:r>
      <w:r w:rsidR="00301AB3" w:rsidRPr="00301AB3">
        <w:rPr>
          <w:rFonts w:ascii="Times New Roman" w:hAnsi="Times New Roman"/>
          <w:sz w:val="24"/>
          <w:szCs w:val="24"/>
        </w:rPr>
        <w:t xml:space="preserve">Many different MACT rules affect the electric utility industry, including, notably, the final Mercury and Air Toxics Standards (MATS, formerly known as the Utility MACT Rule).  MACT standards are set </w:t>
      </w:r>
      <w:r w:rsidR="006A29FE">
        <w:rPr>
          <w:rFonts w:ascii="Times New Roman" w:hAnsi="Times New Roman"/>
          <w:sz w:val="24"/>
          <w:szCs w:val="24"/>
        </w:rPr>
        <w:t xml:space="preserve">by EPA </w:t>
      </w:r>
      <w:r w:rsidR="00301AB3" w:rsidRPr="00301AB3">
        <w:rPr>
          <w:rFonts w:ascii="Times New Roman" w:hAnsi="Times New Roman"/>
          <w:sz w:val="24"/>
          <w:szCs w:val="24"/>
        </w:rPr>
        <w:t>according to the emissions performance of the best performing sources in the country for a particular source category.  Once in place, MACT standards are to be reviewed by EPA every eight years.</w:t>
      </w:r>
    </w:p>
    <w:p w:rsidR="00D277EA" w:rsidRDefault="00D277EA" w:rsidP="002A0CD0">
      <w:pPr>
        <w:spacing w:after="0" w:line="240" w:lineRule="auto"/>
        <w:rPr>
          <w:rFonts w:ascii="Times New Roman" w:hAnsi="Times New Roman"/>
          <w:sz w:val="24"/>
          <w:szCs w:val="24"/>
        </w:rPr>
      </w:pPr>
    </w:p>
    <w:p w:rsidR="00B60CA0" w:rsidRDefault="00FC67F9" w:rsidP="002A0CD0">
      <w:pPr>
        <w:spacing w:after="0" w:line="240" w:lineRule="auto"/>
        <w:rPr>
          <w:rFonts w:ascii="Times New Roman" w:hAnsi="Times New Roman"/>
          <w:color w:val="000000"/>
          <w:sz w:val="24"/>
          <w:szCs w:val="24"/>
        </w:rPr>
      </w:pPr>
      <w:r w:rsidRPr="00ED7E20">
        <w:rPr>
          <w:rFonts w:ascii="Times New Roman" w:hAnsi="Times New Roman"/>
          <w:sz w:val="24"/>
          <w:szCs w:val="24"/>
        </w:rPr>
        <w:t xml:space="preserve">The 1990 Amendments </w:t>
      </w:r>
      <w:r w:rsidR="00B60CA0">
        <w:rPr>
          <w:rFonts w:ascii="Times New Roman" w:hAnsi="Times New Roman"/>
          <w:sz w:val="24"/>
          <w:szCs w:val="24"/>
        </w:rPr>
        <w:t xml:space="preserve">also </w:t>
      </w:r>
      <w:r w:rsidRPr="00ED7E20">
        <w:rPr>
          <w:rFonts w:ascii="Times New Roman" w:hAnsi="Times New Roman"/>
          <w:sz w:val="24"/>
          <w:szCs w:val="24"/>
        </w:rPr>
        <w:t xml:space="preserve">added the Acid Rain Program (Title IV).  This program required reductions in the emissions of sulfur dioxide and nitrogen oxides </w:t>
      </w:r>
      <w:r w:rsidR="002C7304">
        <w:rPr>
          <w:rFonts w:ascii="Times New Roman" w:hAnsi="Times New Roman"/>
          <w:sz w:val="24"/>
          <w:szCs w:val="24"/>
        </w:rPr>
        <w:t>to reduce</w:t>
      </w:r>
      <w:r w:rsidRPr="00ED7E20">
        <w:rPr>
          <w:rFonts w:ascii="Times New Roman" w:hAnsi="Times New Roman"/>
          <w:sz w:val="24"/>
          <w:szCs w:val="24"/>
        </w:rPr>
        <w:t xml:space="preserve"> </w:t>
      </w:r>
      <w:r w:rsidRPr="00ED7E20">
        <w:rPr>
          <w:rFonts w:ascii="Times New Roman" w:hAnsi="Times New Roman"/>
          <w:color w:val="000000"/>
          <w:sz w:val="24"/>
          <w:szCs w:val="24"/>
        </w:rPr>
        <w:t xml:space="preserve">acid rain.  The Acid Rain Program had the most immediate impact on Southern Company and the electric utility industry following the 1990 amendments.  </w:t>
      </w:r>
    </w:p>
    <w:p w:rsidR="00FC67F9" w:rsidRDefault="00FC67F9" w:rsidP="002A0CD0">
      <w:pPr>
        <w:spacing w:after="0" w:line="240" w:lineRule="auto"/>
        <w:rPr>
          <w:rFonts w:ascii="Times New Roman" w:hAnsi="Times New Roman"/>
          <w:b/>
          <w:color w:val="000000"/>
          <w:sz w:val="24"/>
          <w:szCs w:val="24"/>
        </w:rPr>
      </w:pPr>
      <w:r w:rsidRPr="00ED7E20">
        <w:rPr>
          <w:rFonts w:ascii="Times New Roman" w:hAnsi="Times New Roman"/>
          <w:b/>
          <w:color w:val="000000"/>
          <w:sz w:val="24"/>
          <w:szCs w:val="24"/>
        </w:rPr>
        <w:t xml:space="preserve">  </w:t>
      </w:r>
    </w:p>
    <w:p w:rsidR="00FD2667" w:rsidRPr="00BE17CF" w:rsidRDefault="00FD2667" w:rsidP="00FD2667">
      <w:pPr>
        <w:spacing w:after="0" w:line="240" w:lineRule="auto"/>
        <w:rPr>
          <w:rFonts w:ascii="Times New Roman" w:hAnsi="Times New Roman"/>
          <w:color w:val="000000"/>
          <w:sz w:val="24"/>
          <w:szCs w:val="24"/>
        </w:rPr>
      </w:pPr>
      <w:r w:rsidRPr="00BE17CF">
        <w:rPr>
          <w:rFonts w:ascii="Times New Roman" w:hAnsi="Times New Roman"/>
          <w:color w:val="000000"/>
          <w:sz w:val="24"/>
          <w:szCs w:val="24"/>
        </w:rPr>
        <w:t xml:space="preserve">Title V of the CAAA added requirements for facilities to obtain </w:t>
      </w:r>
      <w:r>
        <w:rPr>
          <w:rFonts w:ascii="Times New Roman" w:hAnsi="Times New Roman"/>
          <w:color w:val="000000"/>
          <w:sz w:val="24"/>
          <w:szCs w:val="24"/>
        </w:rPr>
        <w:t xml:space="preserve">legally-enforceable </w:t>
      </w:r>
      <w:r w:rsidRPr="00BE17CF">
        <w:rPr>
          <w:rFonts w:ascii="Times New Roman" w:hAnsi="Times New Roman"/>
          <w:color w:val="000000"/>
          <w:sz w:val="24"/>
          <w:szCs w:val="24"/>
        </w:rPr>
        <w:t xml:space="preserve">operating permits.  The permits are meant to clearly lay out </w:t>
      </w:r>
      <w:r>
        <w:rPr>
          <w:rFonts w:ascii="Times New Roman" w:hAnsi="Times New Roman"/>
          <w:color w:val="000000"/>
          <w:sz w:val="24"/>
          <w:szCs w:val="24"/>
        </w:rPr>
        <w:t xml:space="preserve">most of </w:t>
      </w:r>
      <w:r w:rsidRPr="00BE17CF">
        <w:rPr>
          <w:rFonts w:ascii="Times New Roman" w:hAnsi="Times New Roman"/>
          <w:color w:val="000000"/>
          <w:sz w:val="24"/>
          <w:szCs w:val="24"/>
        </w:rPr>
        <w:t>the</w:t>
      </w:r>
      <w:r>
        <w:rPr>
          <w:rFonts w:ascii="Times New Roman" w:hAnsi="Times New Roman"/>
          <w:color w:val="000000"/>
          <w:sz w:val="24"/>
          <w:szCs w:val="24"/>
        </w:rPr>
        <w:t xml:space="preserve"> applicable</w:t>
      </w:r>
      <w:r w:rsidRPr="00BE17CF">
        <w:rPr>
          <w:rFonts w:ascii="Times New Roman" w:hAnsi="Times New Roman"/>
          <w:color w:val="000000"/>
          <w:sz w:val="24"/>
          <w:szCs w:val="24"/>
        </w:rPr>
        <w:t xml:space="preserve"> air quality-related regulations for </w:t>
      </w:r>
      <w:r w:rsidR="00457A4C">
        <w:rPr>
          <w:rFonts w:ascii="Times New Roman" w:hAnsi="Times New Roman"/>
          <w:color w:val="000000"/>
          <w:sz w:val="24"/>
          <w:szCs w:val="24"/>
        </w:rPr>
        <w:t xml:space="preserve">affected </w:t>
      </w:r>
      <w:r w:rsidRPr="00BE17CF">
        <w:rPr>
          <w:rFonts w:ascii="Times New Roman" w:hAnsi="Times New Roman"/>
          <w:color w:val="000000"/>
          <w:sz w:val="24"/>
          <w:szCs w:val="24"/>
        </w:rPr>
        <w:t>facilities, mainly large sources, by compiling all applicable requirements into one document.</w:t>
      </w:r>
      <w:r>
        <w:rPr>
          <w:rFonts w:ascii="Times New Roman" w:hAnsi="Times New Roman"/>
          <w:color w:val="000000"/>
          <w:sz w:val="24"/>
          <w:szCs w:val="24"/>
        </w:rPr>
        <w:t xml:space="preserve">  The Title V permit includes both state and federal requirements and is issued by the </w:t>
      </w:r>
      <w:r w:rsidR="00795A89">
        <w:rPr>
          <w:rFonts w:ascii="Times New Roman" w:hAnsi="Times New Roman"/>
          <w:color w:val="000000"/>
          <w:sz w:val="24"/>
          <w:szCs w:val="24"/>
        </w:rPr>
        <w:t>Georgia EPD</w:t>
      </w:r>
      <w:r>
        <w:rPr>
          <w:rFonts w:ascii="Times New Roman" w:hAnsi="Times New Roman"/>
          <w:color w:val="000000"/>
          <w:sz w:val="24"/>
          <w:szCs w:val="24"/>
        </w:rPr>
        <w:t>.  Sources must obtain permit amendments when new requirements come into effect or when certain changes are made at the facility.</w:t>
      </w:r>
      <w:r w:rsidRPr="00BE17CF">
        <w:rPr>
          <w:rFonts w:ascii="Times New Roman" w:hAnsi="Times New Roman"/>
          <w:color w:val="000000"/>
          <w:sz w:val="24"/>
          <w:szCs w:val="24"/>
        </w:rPr>
        <w:t xml:space="preserve"> </w:t>
      </w:r>
    </w:p>
    <w:p w:rsidR="005F08E3" w:rsidRDefault="005F08E3" w:rsidP="002A0CD0">
      <w:pPr>
        <w:spacing w:after="0" w:line="240" w:lineRule="auto"/>
        <w:rPr>
          <w:rFonts w:ascii="Times New Roman" w:hAnsi="Times New Roman"/>
          <w:b/>
          <w:color w:val="000000"/>
          <w:sz w:val="24"/>
          <w:szCs w:val="24"/>
        </w:rPr>
      </w:pPr>
    </w:p>
    <w:p w:rsidR="00FC67F9" w:rsidRPr="00ED7E20" w:rsidRDefault="00FC67F9" w:rsidP="002A0CD0">
      <w:pPr>
        <w:spacing w:after="0" w:line="240" w:lineRule="auto"/>
        <w:rPr>
          <w:rFonts w:ascii="Times New Roman" w:hAnsi="Times New Roman"/>
          <w:sz w:val="24"/>
          <w:szCs w:val="24"/>
        </w:rPr>
      </w:pPr>
      <w:r w:rsidRPr="00ED7E20">
        <w:rPr>
          <w:rFonts w:ascii="Times New Roman" w:hAnsi="Times New Roman"/>
          <w:b/>
          <w:color w:val="000080"/>
          <w:sz w:val="24"/>
          <w:szCs w:val="24"/>
        </w:rPr>
        <w:t>Clean Water Act (CWA)</w:t>
      </w:r>
      <w:r w:rsidRPr="00ED7E20">
        <w:rPr>
          <w:rFonts w:ascii="Times New Roman" w:hAnsi="Times New Roman"/>
          <w:sz w:val="24"/>
          <w:szCs w:val="24"/>
        </w:rPr>
        <w:t xml:space="preserve"> </w:t>
      </w:r>
    </w:p>
    <w:p w:rsidR="00FC67F9" w:rsidRPr="00ED7E20" w:rsidRDefault="00FC67F9" w:rsidP="002A0CD0">
      <w:pPr>
        <w:spacing w:after="0" w:line="240" w:lineRule="auto"/>
        <w:rPr>
          <w:rFonts w:ascii="Times New Roman" w:hAnsi="Times New Roman"/>
          <w:sz w:val="24"/>
          <w:szCs w:val="24"/>
        </w:rPr>
      </w:pPr>
      <w:r w:rsidRPr="00ED7E20">
        <w:rPr>
          <w:rFonts w:ascii="Times New Roman" w:hAnsi="Times New Roman"/>
          <w:sz w:val="24"/>
          <w:szCs w:val="24"/>
        </w:rPr>
        <w:t>The CWA prohibits the discharge of pollutants into waters of the United States except in compliance with the Act.  Authority to discharge pollutants under the CWA may be granted through a National Pollutant Discharge Elimination System (NPDES) permit issued by EPA or a state under a delegation of authority from EPA.  The NPDES program is used as a means of achieving and enforcing technology-based and water quality-based effluent limitations.</w:t>
      </w:r>
    </w:p>
    <w:p w:rsidR="00FC67F9" w:rsidRPr="00ED7E20" w:rsidRDefault="00FC67F9" w:rsidP="002A0CD0">
      <w:pPr>
        <w:spacing w:after="0" w:line="240" w:lineRule="auto"/>
        <w:rPr>
          <w:rFonts w:ascii="Times New Roman" w:hAnsi="Times New Roman"/>
          <w:sz w:val="24"/>
          <w:szCs w:val="24"/>
        </w:rPr>
      </w:pPr>
    </w:p>
    <w:p w:rsidR="00FC67F9" w:rsidRPr="00ED7E20" w:rsidRDefault="00FC67F9" w:rsidP="002A0CD0">
      <w:pPr>
        <w:spacing w:after="0" w:line="240" w:lineRule="auto"/>
        <w:rPr>
          <w:rFonts w:ascii="Times New Roman" w:hAnsi="Times New Roman"/>
          <w:sz w:val="24"/>
          <w:szCs w:val="24"/>
        </w:rPr>
      </w:pPr>
      <w:r w:rsidRPr="00ED7E20">
        <w:rPr>
          <w:rFonts w:ascii="Times New Roman" w:hAnsi="Times New Roman"/>
          <w:sz w:val="24"/>
          <w:szCs w:val="24"/>
        </w:rPr>
        <w:t xml:space="preserve">EPA has established “effluent limitations guidelines” for the steam electric industry and other industrial source categories based on treatment technologies. </w:t>
      </w:r>
      <w:r w:rsidR="003C772F">
        <w:rPr>
          <w:rFonts w:ascii="Times New Roman" w:hAnsi="Times New Roman"/>
          <w:sz w:val="24"/>
          <w:szCs w:val="24"/>
        </w:rPr>
        <w:t xml:space="preserve">These guidelines were </w:t>
      </w:r>
      <w:r w:rsidR="003C772F" w:rsidRPr="003C772F">
        <w:rPr>
          <w:rFonts w:ascii="Times New Roman" w:hAnsi="Times New Roman"/>
          <w:sz w:val="24"/>
          <w:szCs w:val="24"/>
        </w:rPr>
        <w:t>promulgated</w:t>
      </w:r>
      <w:r w:rsidR="003C772F">
        <w:rPr>
          <w:rFonts w:ascii="Times New Roman" w:hAnsi="Times New Roman"/>
          <w:sz w:val="24"/>
          <w:szCs w:val="24"/>
        </w:rPr>
        <w:t xml:space="preserve"> in 1974 and last amended in 1982.  </w:t>
      </w:r>
      <w:r w:rsidRPr="00ED7E20">
        <w:rPr>
          <w:rFonts w:ascii="Times New Roman" w:hAnsi="Times New Roman"/>
          <w:sz w:val="24"/>
          <w:szCs w:val="24"/>
        </w:rPr>
        <w:t>EPA is responsible for periodically reviewing and updating these effluent limitations guidelines, which serve as the basis of the technology-based permit limits that appear in individual NPDES permits.</w:t>
      </w:r>
    </w:p>
    <w:p w:rsidR="00FC67F9" w:rsidRPr="00ED7E20" w:rsidRDefault="00FC67F9" w:rsidP="002A0CD0">
      <w:pPr>
        <w:spacing w:after="0" w:line="240" w:lineRule="auto"/>
        <w:rPr>
          <w:rFonts w:ascii="Times New Roman" w:hAnsi="Times New Roman"/>
          <w:sz w:val="16"/>
          <w:szCs w:val="16"/>
        </w:rPr>
      </w:pPr>
    </w:p>
    <w:p w:rsidR="00FC67F9" w:rsidRPr="00ED7E20" w:rsidRDefault="00FC67F9" w:rsidP="002A0CD0">
      <w:pPr>
        <w:spacing w:after="0" w:line="240" w:lineRule="auto"/>
        <w:rPr>
          <w:rFonts w:ascii="Times New Roman" w:hAnsi="Times New Roman"/>
          <w:sz w:val="24"/>
          <w:szCs w:val="24"/>
        </w:rPr>
      </w:pPr>
      <w:r w:rsidRPr="00ED7E20">
        <w:rPr>
          <w:rFonts w:ascii="Times New Roman" w:hAnsi="Times New Roman"/>
          <w:sz w:val="24"/>
          <w:szCs w:val="24"/>
        </w:rPr>
        <w:t>Section 316(b) of the CWA, which regulates cooling water intake structures, is implemented through NPDES permits.  The Section 316(b) regulations are intended to protect fish and other aquatic species in the vicinity of utility cooling water intake structures.  The focus of Section 316(b) is to ensure that the location, design, construction, operation, and capacity of cooling water intake structures reflect the best technology available to protect aquatic organisms from being impinged or entrained.</w:t>
      </w:r>
    </w:p>
    <w:p w:rsidR="00FC67F9" w:rsidRPr="00ED7E20" w:rsidRDefault="00FC67F9" w:rsidP="002A0CD0">
      <w:pPr>
        <w:spacing w:after="0" w:line="240" w:lineRule="auto"/>
        <w:rPr>
          <w:rFonts w:ascii="Times New Roman" w:hAnsi="Times New Roman"/>
          <w:sz w:val="16"/>
          <w:szCs w:val="16"/>
        </w:rPr>
      </w:pPr>
    </w:p>
    <w:p w:rsidR="00FC67F9" w:rsidRPr="00ED7E20" w:rsidRDefault="00FC67F9" w:rsidP="002A0CD0">
      <w:pPr>
        <w:spacing w:after="0" w:line="240" w:lineRule="auto"/>
        <w:rPr>
          <w:rFonts w:ascii="Times New Roman" w:hAnsi="Times New Roman"/>
          <w:sz w:val="24"/>
          <w:szCs w:val="24"/>
        </w:rPr>
      </w:pPr>
      <w:r w:rsidRPr="00ED7E20">
        <w:rPr>
          <w:rFonts w:ascii="Times New Roman" w:hAnsi="Times New Roman"/>
          <w:b/>
          <w:color w:val="000080"/>
          <w:sz w:val="24"/>
          <w:szCs w:val="24"/>
        </w:rPr>
        <w:t>Resource Conservation and Recovery Act (RCRA)</w:t>
      </w:r>
      <w:r w:rsidRPr="00ED7E20">
        <w:rPr>
          <w:rFonts w:ascii="Times New Roman" w:hAnsi="Times New Roman"/>
          <w:sz w:val="24"/>
          <w:szCs w:val="24"/>
        </w:rPr>
        <w:t xml:space="preserve"> </w:t>
      </w:r>
    </w:p>
    <w:p w:rsidR="00FC67F9" w:rsidRDefault="00FC67F9" w:rsidP="002A0CD0">
      <w:pPr>
        <w:spacing w:after="0" w:line="240" w:lineRule="auto"/>
        <w:rPr>
          <w:rFonts w:ascii="Times New Roman" w:hAnsi="Times New Roman"/>
          <w:sz w:val="24"/>
          <w:szCs w:val="24"/>
        </w:rPr>
      </w:pPr>
      <w:r w:rsidRPr="00ED7E20">
        <w:rPr>
          <w:rFonts w:ascii="Times New Roman" w:hAnsi="Times New Roman"/>
          <w:sz w:val="24"/>
          <w:szCs w:val="24"/>
        </w:rPr>
        <w:t xml:space="preserve">This law governs the generation, transportation, treatment, storage and disposal of solid and hazardous waste.  A major focus for electric utilities has been regulatory treatment of coal ash and other coal combustion residuals (CCRs) under RCRA and potential regulations affecting their management and disposal.  In response to a December 2008 spill at a TVA facility, Congress and EPA are currently reviewing whether CCRs and ash ponds should be subject to federal regulation under RCRA.  </w:t>
      </w:r>
    </w:p>
    <w:p w:rsidR="00546B6E" w:rsidRDefault="00546B6E" w:rsidP="002A0CD0">
      <w:pPr>
        <w:spacing w:after="0" w:line="240" w:lineRule="auto"/>
        <w:rPr>
          <w:rFonts w:ascii="Times New Roman" w:hAnsi="Times New Roman"/>
          <w:sz w:val="24"/>
          <w:szCs w:val="24"/>
        </w:rPr>
      </w:pPr>
    </w:p>
    <w:p w:rsidR="00FC67F9" w:rsidRPr="00546B6E" w:rsidRDefault="00546B6E" w:rsidP="00546B6E">
      <w:pPr>
        <w:spacing w:after="0" w:line="240" w:lineRule="auto"/>
        <w:rPr>
          <w:rFonts w:ascii="Times New Roman" w:hAnsi="Times New Roman"/>
          <w:b/>
          <w:bCs/>
          <w:sz w:val="24"/>
          <w:szCs w:val="24"/>
        </w:rPr>
      </w:pPr>
      <w:r w:rsidRPr="00546B6E">
        <w:rPr>
          <w:rFonts w:ascii="Times New Roman" w:hAnsi="Times New Roman"/>
          <w:sz w:val="24"/>
          <w:szCs w:val="24"/>
        </w:rPr>
        <w:t>Th</w:t>
      </w:r>
      <w:r w:rsidRPr="00546B6E">
        <w:rPr>
          <w:rFonts w:ascii="Times New Roman" w:hAnsi="Times New Roman"/>
          <w:bCs/>
          <w:sz w:val="24"/>
          <w:szCs w:val="24"/>
        </w:rPr>
        <w:t xml:space="preserve">e relevant </w:t>
      </w:r>
      <w:r>
        <w:rPr>
          <w:rFonts w:ascii="Times New Roman" w:hAnsi="Times New Roman"/>
          <w:bCs/>
          <w:sz w:val="24"/>
          <w:szCs w:val="24"/>
        </w:rPr>
        <w:t xml:space="preserve">programs and </w:t>
      </w:r>
      <w:r w:rsidRPr="00546B6E">
        <w:rPr>
          <w:rFonts w:ascii="Times New Roman" w:hAnsi="Times New Roman"/>
          <w:bCs/>
          <w:sz w:val="24"/>
          <w:szCs w:val="24"/>
        </w:rPr>
        <w:t>regulations derived from these laws are discussed in more detail in the following sections.</w:t>
      </w:r>
    </w:p>
    <w:p w:rsidR="00814EC5" w:rsidRPr="00ED7E20" w:rsidRDefault="00814EC5" w:rsidP="002A0CD0">
      <w:pPr>
        <w:tabs>
          <w:tab w:val="left" w:pos="900"/>
        </w:tabs>
        <w:autoSpaceDE w:val="0"/>
        <w:autoSpaceDN w:val="0"/>
        <w:adjustRightInd w:val="0"/>
        <w:spacing w:after="0" w:line="240" w:lineRule="auto"/>
        <w:ind w:left="1080" w:hanging="1080"/>
        <w:jc w:val="both"/>
        <w:outlineLvl w:val="1"/>
        <w:rPr>
          <w:rFonts w:ascii="Times New Roman" w:hAnsi="Times New Roman"/>
          <w:b/>
          <w:bCs/>
          <w:color w:val="000080"/>
          <w:sz w:val="24"/>
          <w:szCs w:val="24"/>
        </w:rPr>
      </w:pPr>
    </w:p>
    <w:p w:rsidR="00795A89" w:rsidRDefault="00795A89" w:rsidP="002A0CD0">
      <w:pPr>
        <w:autoSpaceDE w:val="0"/>
        <w:autoSpaceDN w:val="0"/>
        <w:adjustRightInd w:val="0"/>
        <w:spacing w:after="0" w:line="240" w:lineRule="auto"/>
        <w:jc w:val="both"/>
        <w:outlineLvl w:val="1"/>
        <w:rPr>
          <w:rFonts w:ascii="Times New Roman" w:hAnsi="Times New Roman"/>
          <w:b/>
          <w:bCs/>
          <w:color w:val="000080"/>
          <w:sz w:val="24"/>
          <w:szCs w:val="24"/>
        </w:rPr>
      </w:pPr>
    </w:p>
    <w:p w:rsidR="00FC67F9" w:rsidRPr="00ED7E20" w:rsidRDefault="00FC67F9" w:rsidP="002A0CD0">
      <w:pPr>
        <w:autoSpaceDE w:val="0"/>
        <w:autoSpaceDN w:val="0"/>
        <w:adjustRightInd w:val="0"/>
        <w:spacing w:after="0" w:line="240" w:lineRule="auto"/>
        <w:jc w:val="both"/>
        <w:outlineLvl w:val="1"/>
        <w:rPr>
          <w:rFonts w:ascii="Times New Roman" w:hAnsi="Times New Roman"/>
          <w:b/>
          <w:bCs/>
          <w:color w:val="000080"/>
          <w:sz w:val="24"/>
          <w:szCs w:val="24"/>
        </w:rPr>
      </w:pPr>
      <w:bookmarkStart w:id="7" w:name="_Toc347314835"/>
      <w:r>
        <w:rPr>
          <w:rFonts w:ascii="Times New Roman" w:hAnsi="Times New Roman"/>
          <w:b/>
          <w:bCs/>
          <w:color w:val="000080"/>
          <w:sz w:val="24"/>
          <w:szCs w:val="24"/>
        </w:rPr>
        <w:t>2.2</w:t>
      </w:r>
      <w:r>
        <w:rPr>
          <w:rFonts w:ascii="Times New Roman" w:hAnsi="Times New Roman"/>
          <w:b/>
          <w:bCs/>
          <w:color w:val="000080"/>
          <w:sz w:val="24"/>
          <w:szCs w:val="24"/>
        </w:rPr>
        <w:tab/>
      </w:r>
      <w:r w:rsidRPr="00ED7E20">
        <w:rPr>
          <w:rFonts w:ascii="Times New Roman" w:hAnsi="Times New Roman"/>
          <w:b/>
          <w:bCs/>
          <w:color w:val="000080"/>
          <w:sz w:val="24"/>
          <w:szCs w:val="24"/>
        </w:rPr>
        <w:t>Acid Rain Program</w:t>
      </w:r>
      <w:bookmarkEnd w:id="7"/>
    </w:p>
    <w:p w:rsidR="00FC67F9" w:rsidRPr="00ED7E20" w:rsidRDefault="00FC67F9" w:rsidP="002A0CD0">
      <w:pPr>
        <w:spacing w:after="0" w:line="240" w:lineRule="auto"/>
        <w:rPr>
          <w:rFonts w:ascii="Times New Roman" w:hAnsi="Times New Roman"/>
          <w:sz w:val="24"/>
          <w:szCs w:val="24"/>
        </w:rPr>
      </w:pPr>
    </w:p>
    <w:p w:rsidR="00701FBE" w:rsidRDefault="00FC67F9" w:rsidP="002A0CD0">
      <w:pPr>
        <w:widowControl w:val="0"/>
        <w:tabs>
          <w:tab w:val="left" w:pos="360"/>
        </w:tabs>
        <w:spacing w:after="0" w:line="240" w:lineRule="auto"/>
        <w:rPr>
          <w:rFonts w:ascii="Times New Roman" w:hAnsi="Times New Roman" w:cs="Arial"/>
          <w:sz w:val="24"/>
          <w:szCs w:val="24"/>
        </w:rPr>
      </w:pPr>
      <w:r w:rsidRPr="00ED7E20">
        <w:rPr>
          <w:rFonts w:ascii="Times New Roman" w:hAnsi="Times New Roman"/>
          <w:sz w:val="24"/>
          <w:szCs w:val="24"/>
        </w:rPr>
        <w:t xml:space="preserve">For almost twenty years, Southern Company has been planning and implementing measures to comply with the requirements of the Title IV Acid Rain provisions of the 1990 </w:t>
      </w:r>
      <w:r w:rsidR="000F032F">
        <w:rPr>
          <w:rFonts w:ascii="Times New Roman" w:hAnsi="Times New Roman"/>
          <w:sz w:val="24"/>
          <w:szCs w:val="24"/>
        </w:rPr>
        <w:t>CAAA</w:t>
      </w:r>
      <w:r w:rsidRPr="00ED7E20">
        <w:rPr>
          <w:rFonts w:ascii="Times New Roman" w:hAnsi="Times New Roman"/>
          <w:sz w:val="24"/>
          <w:szCs w:val="24"/>
        </w:rPr>
        <w:t>.  Reductions in SO</w:t>
      </w:r>
      <w:r w:rsidRPr="00ED7E20">
        <w:rPr>
          <w:rFonts w:ascii="Times New Roman" w:hAnsi="Times New Roman"/>
          <w:sz w:val="24"/>
          <w:szCs w:val="24"/>
          <w:vertAlign w:val="subscript"/>
        </w:rPr>
        <w:t xml:space="preserve">2 </w:t>
      </w:r>
      <w:r w:rsidRPr="00ED7E20">
        <w:rPr>
          <w:rFonts w:ascii="Times New Roman" w:hAnsi="Times New Roman"/>
          <w:sz w:val="24"/>
          <w:szCs w:val="24"/>
        </w:rPr>
        <w:t>and NO</w:t>
      </w:r>
      <w:r w:rsidRPr="00ED7E20">
        <w:rPr>
          <w:rFonts w:ascii="Times New Roman" w:hAnsi="Times New Roman"/>
          <w:sz w:val="24"/>
          <w:szCs w:val="24"/>
          <w:vertAlign w:val="subscript"/>
        </w:rPr>
        <w:t>X</w:t>
      </w:r>
      <w:r w:rsidRPr="00ED7E20">
        <w:rPr>
          <w:rFonts w:ascii="Times New Roman" w:hAnsi="Times New Roman"/>
          <w:sz w:val="24"/>
          <w:szCs w:val="24"/>
        </w:rPr>
        <w:t xml:space="preserve"> under the program were required in two phases – Phase I, beginning in 1995 and Phase II, beginning in 2000.  Under the program, EPA issues emissions allowances for SO</w:t>
      </w:r>
      <w:r w:rsidRPr="00ED7E20">
        <w:rPr>
          <w:rFonts w:ascii="Times New Roman" w:hAnsi="Times New Roman"/>
          <w:sz w:val="24"/>
          <w:szCs w:val="24"/>
          <w:vertAlign w:val="subscript"/>
        </w:rPr>
        <w:t>2</w:t>
      </w:r>
      <w:r w:rsidRPr="00ED7E20">
        <w:rPr>
          <w:rFonts w:ascii="Times New Roman" w:hAnsi="Times New Roman"/>
          <w:sz w:val="24"/>
          <w:szCs w:val="24"/>
        </w:rPr>
        <w:t xml:space="preserve"> and requires that regulated units demonstrate that they have sufficient allowances to cover their SO</w:t>
      </w:r>
      <w:r w:rsidRPr="00ED7E20">
        <w:rPr>
          <w:rFonts w:ascii="Times New Roman" w:hAnsi="Times New Roman"/>
          <w:sz w:val="24"/>
          <w:szCs w:val="24"/>
          <w:vertAlign w:val="subscript"/>
        </w:rPr>
        <w:t>2</w:t>
      </w:r>
      <w:r w:rsidRPr="00ED7E20">
        <w:rPr>
          <w:rFonts w:ascii="Times New Roman" w:hAnsi="Times New Roman"/>
          <w:sz w:val="24"/>
          <w:szCs w:val="24"/>
        </w:rPr>
        <w:t xml:space="preserve"> emissions for each year.  The regulations also set limitations on NO</w:t>
      </w:r>
      <w:r w:rsidRPr="00ED7E20">
        <w:rPr>
          <w:rFonts w:ascii="Times New Roman" w:hAnsi="Times New Roman"/>
          <w:sz w:val="24"/>
          <w:szCs w:val="24"/>
          <w:vertAlign w:val="subscript"/>
        </w:rPr>
        <w:t>X</w:t>
      </w:r>
      <w:r w:rsidRPr="00ED7E20">
        <w:rPr>
          <w:rFonts w:ascii="Times New Roman" w:hAnsi="Times New Roman"/>
          <w:sz w:val="24"/>
          <w:szCs w:val="24"/>
        </w:rPr>
        <w:t xml:space="preserve"> emissions.</w:t>
      </w:r>
      <w:r w:rsidR="006D33C2">
        <w:rPr>
          <w:rFonts w:ascii="Times New Roman" w:hAnsi="Times New Roman"/>
          <w:sz w:val="24"/>
          <w:szCs w:val="24"/>
        </w:rPr>
        <w:t xml:space="preserve">  </w:t>
      </w:r>
      <w:r w:rsidR="006A29FE">
        <w:rPr>
          <w:rFonts w:ascii="Times New Roman" w:hAnsi="Times New Roman"/>
          <w:sz w:val="24"/>
          <w:szCs w:val="24"/>
        </w:rPr>
        <w:t>This program allows p</w:t>
      </w:r>
      <w:r w:rsidR="006D33C2">
        <w:rPr>
          <w:rFonts w:ascii="Times New Roman" w:hAnsi="Times New Roman"/>
          <w:sz w:val="24"/>
          <w:szCs w:val="24"/>
        </w:rPr>
        <w:t xml:space="preserve">lants </w:t>
      </w:r>
      <w:r w:rsidR="006A29FE">
        <w:rPr>
          <w:rFonts w:ascii="Times New Roman" w:hAnsi="Times New Roman"/>
          <w:sz w:val="24"/>
          <w:szCs w:val="24"/>
        </w:rPr>
        <w:t>to</w:t>
      </w:r>
      <w:r w:rsidR="006D33C2">
        <w:rPr>
          <w:rFonts w:ascii="Times New Roman" w:hAnsi="Times New Roman"/>
          <w:sz w:val="24"/>
          <w:szCs w:val="24"/>
        </w:rPr>
        <w:t xml:space="preserve"> comply with the NOx limits individually, but also </w:t>
      </w:r>
      <w:r w:rsidR="006A29FE">
        <w:rPr>
          <w:rFonts w:ascii="Times New Roman" w:hAnsi="Times New Roman"/>
          <w:sz w:val="24"/>
          <w:szCs w:val="24"/>
        </w:rPr>
        <w:t>provides</w:t>
      </w:r>
      <w:r w:rsidR="006D33C2">
        <w:rPr>
          <w:rFonts w:ascii="Times New Roman" w:hAnsi="Times New Roman"/>
          <w:sz w:val="24"/>
          <w:szCs w:val="24"/>
        </w:rPr>
        <w:t xml:space="preserve"> the option to comply through an averaging plan across multiple units.</w:t>
      </w:r>
      <w:r w:rsidR="006D33C2">
        <w:rPr>
          <w:rFonts w:ascii="Times New Roman" w:hAnsi="Times New Roman" w:cs="Arial"/>
          <w:sz w:val="24"/>
          <w:szCs w:val="24"/>
        </w:rPr>
        <w:t xml:space="preserve"> </w:t>
      </w:r>
    </w:p>
    <w:p w:rsidR="00FC67F9" w:rsidRPr="00ED7E20" w:rsidRDefault="00FC67F9" w:rsidP="002A0CD0">
      <w:pPr>
        <w:autoSpaceDE w:val="0"/>
        <w:autoSpaceDN w:val="0"/>
        <w:adjustRightInd w:val="0"/>
        <w:spacing w:after="0" w:line="240" w:lineRule="auto"/>
        <w:rPr>
          <w:rFonts w:ascii="Times New Roman" w:hAnsi="Times New Roman"/>
          <w:b/>
          <w:color w:val="FF0000"/>
          <w:sz w:val="28"/>
          <w:szCs w:val="28"/>
        </w:rPr>
      </w:pPr>
    </w:p>
    <w:p w:rsidR="00FC67F9" w:rsidRPr="00ED7E20" w:rsidRDefault="00FC67F9" w:rsidP="002A0CD0">
      <w:pPr>
        <w:autoSpaceDE w:val="0"/>
        <w:autoSpaceDN w:val="0"/>
        <w:adjustRightInd w:val="0"/>
        <w:spacing w:after="0" w:line="240" w:lineRule="auto"/>
        <w:jc w:val="both"/>
        <w:outlineLvl w:val="1"/>
        <w:rPr>
          <w:rFonts w:ascii="Times New Roman" w:hAnsi="Times New Roman"/>
          <w:b/>
          <w:bCs/>
          <w:color w:val="000080"/>
          <w:sz w:val="24"/>
          <w:szCs w:val="24"/>
        </w:rPr>
      </w:pPr>
      <w:bookmarkStart w:id="8" w:name="_Toc347314836"/>
      <w:r>
        <w:rPr>
          <w:rFonts w:ascii="Times New Roman" w:hAnsi="Times New Roman"/>
          <w:b/>
          <w:bCs/>
          <w:color w:val="000080"/>
          <w:sz w:val="24"/>
          <w:szCs w:val="24"/>
        </w:rPr>
        <w:t>2.3</w:t>
      </w:r>
      <w:r>
        <w:rPr>
          <w:rFonts w:ascii="Times New Roman" w:hAnsi="Times New Roman"/>
          <w:b/>
          <w:bCs/>
          <w:color w:val="000080"/>
          <w:sz w:val="24"/>
          <w:szCs w:val="24"/>
        </w:rPr>
        <w:tab/>
      </w:r>
      <w:r w:rsidRPr="00ED7E20">
        <w:rPr>
          <w:rFonts w:ascii="Times New Roman" w:hAnsi="Times New Roman"/>
          <w:b/>
          <w:bCs/>
          <w:color w:val="000080"/>
          <w:sz w:val="24"/>
          <w:szCs w:val="24"/>
        </w:rPr>
        <w:t>Ambient Air Quality Standards</w:t>
      </w:r>
      <w:bookmarkEnd w:id="8"/>
    </w:p>
    <w:p w:rsidR="00FC67F9" w:rsidRPr="00ED7E20" w:rsidRDefault="00FC67F9" w:rsidP="002A0CD0">
      <w:pPr>
        <w:autoSpaceDE w:val="0"/>
        <w:autoSpaceDN w:val="0"/>
        <w:adjustRightInd w:val="0"/>
        <w:spacing w:after="0" w:line="240" w:lineRule="auto"/>
        <w:rPr>
          <w:rFonts w:ascii="Times New Roman" w:hAnsi="Times New Roman"/>
          <w:b/>
          <w:bCs/>
          <w:color w:val="000080"/>
          <w:sz w:val="24"/>
          <w:szCs w:val="24"/>
        </w:rPr>
      </w:pPr>
    </w:p>
    <w:p w:rsidR="000F032F" w:rsidRPr="00ED7E20" w:rsidRDefault="000F032F" w:rsidP="002A0CD0">
      <w:pPr>
        <w:autoSpaceDE w:val="0"/>
        <w:autoSpaceDN w:val="0"/>
        <w:adjustRightInd w:val="0"/>
        <w:spacing w:after="0" w:line="240" w:lineRule="auto"/>
        <w:rPr>
          <w:rFonts w:ascii="Times New Roman" w:hAnsi="Times New Roman"/>
          <w:bCs/>
          <w:sz w:val="24"/>
          <w:szCs w:val="24"/>
        </w:rPr>
      </w:pPr>
      <w:r w:rsidRPr="00ED7E20">
        <w:rPr>
          <w:rFonts w:ascii="Times New Roman" w:hAnsi="Times New Roman"/>
          <w:bCs/>
          <w:sz w:val="24"/>
          <w:szCs w:val="24"/>
        </w:rPr>
        <w:t>The cornerstone of the CAA is attainment of the NAAQS for the following six pollutants: carbon monoxide</w:t>
      </w:r>
      <w:r w:rsidR="00795A89">
        <w:rPr>
          <w:rFonts w:ascii="Times New Roman" w:hAnsi="Times New Roman"/>
          <w:bCs/>
          <w:sz w:val="24"/>
          <w:szCs w:val="24"/>
        </w:rPr>
        <w:t xml:space="preserve"> (CO)</w:t>
      </w:r>
      <w:r w:rsidRPr="00ED7E20">
        <w:rPr>
          <w:rFonts w:ascii="Times New Roman" w:hAnsi="Times New Roman"/>
          <w:bCs/>
          <w:sz w:val="24"/>
          <w:szCs w:val="24"/>
        </w:rPr>
        <w:t xml:space="preserve">; </w:t>
      </w:r>
      <w:r w:rsidR="00795A89">
        <w:rPr>
          <w:rFonts w:ascii="Times New Roman" w:hAnsi="Times New Roman"/>
          <w:bCs/>
          <w:sz w:val="24"/>
          <w:szCs w:val="24"/>
        </w:rPr>
        <w:t>sulfur dioxide (</w:t>
      </w:r>
      <w:r w:rsidRPr="00ED7E20">
        <w:rPr>
          <w:rFonts w:ascii="Times New Roman" w:hAnsi="Times New Roman"/>
          <w:bCs/>
          <w:sz w:val="24"/>
          <w:szCs w:val="24"/>
        </w:rPr>
        <w:t>SO</w:t>
      </w:r>
      <w:r w:rsidRPr="00ED7E20">
        <w:rPr>
          <w:rFonts w:ascii="Times New Roman" w:hAnsi="Times New Roman"/>
          <w:bCs/>
          <w:sz w:val="24"/>
          <w:szCs w:val="24"/>
          <w:vertAlign w:val="subscript"/>
        </w:rPr>
        <w:t>2</w:t>
      </w:r>
      <w:r w:rsidR="00795A89">
        <w:rPr>
          <w:rFonts w:ascii="Times New Roman" w:hAnsi="Times New Roman"/>
          <w:bCs/>
          <w:sz w:val="24"/>
          <w:szCs w:val="24"/>
        </w:rPr>
        <w:t>)</w:t>
      </w:r>
      <w:r w:rsidRPr="00ED7E20">
        <w:rPr>
          <w:rFonts w:ascii="Times New Roman" w:hAnsi="Times New Roman"/>
          <w:bCs/>
          <w:sz w:val="24"/>
          <w:szCs w:val="24"/>
        </w:rPr>
        <w:t>; nitrogen dioxide (NO</w:t>
      </w:r>
      <w:r w:rsidRPr="00ED7E20">
        <w:rPr>
          <w:rFonts w:ascii="Times New Roman" w:hAnsi="Times New Roman"/>
          <w:bCs/>
          <w:sz w:val="24"/>
          <w:szCs w:val="24"/>
          <w:vertAlign w:val="subscript"/>
        </w:rPr>
        <w:t>2</w:t>
      </w:r>
      <w:r w:rsidRPr="00ED7E20">
        <w:rPr>
          <w:rFonts w:ascii="Times New Roman" w:hAnsi="Times New Roman"/>
          <w:bCs/>
          <w:sz w:val="24"/>
          <w:szCs w:val="24"/>
        </w:rPr>
        <w:t>); ozone; lead; and particulate matter</w:t>
      </w:r>
      <w:r w:rsidR="00795A89">
        <w:rPr>
          <w:rFonts w:ascii="Times New Roman" w:hAnsi="Times New Roman"/>
          <w:bCs/>
          <w:sz w:val="24"/>
          <w:szCs w:val="24"/>
        </w:rPr>
        <w:t xml:space="preserve"> (PM)</w:t>
      </w:r>
      <w:r w:rsidRPr="00ED7E20">
        <w:rPr>
          <w:rFonts w:ascii="Times New Roman" w:hAnsi="Times New Roman"/>
          <w:bCs/>
          <w:sz w:val="24"/>
          <w:szCs w:val="24"/>
        </w:rPr>
        <w:t xml:space="preserve">. While the CAA has not been significantly amended since 1990, EPA’s implementation of the Act and related court determinations continue to evolve.  </w:t>
      </w:r>
      <w:r>
        <w:rPr>
          <w:rFonts w:ascii="Times New Roman" w:hAnsi="Times New Roman"/>
          <w:bCs/>
          <w:sz w:val="24"/>
          <w:szCs w:val="24"/>
        </w:rPr>
        <w:t>T</w:t>
      </w:r>
      <w:r w:rsidRPr="00ED7E20">
        <w:rPr>
          <w:rFonts w:ascii="Times New Roman" w:hAnsi="Times New Roman"/>
          <w:bCs/>
          <w:sz w:val="24"/>
          <w:szCs w:val="24"/>
        </w:rPr>
        <w:t xml:space="preserve">he CAA </w:t>
      </w:r>
      <w:r>
        <w:rPr>
          <w:rFonts w:ascii="Times New Roman" w:hAnsi="Times New Roman"/>
          <w:bCs/>
          <w:sz w:val="24"/>
          <w:szCs w:val="24"/>
        </w:rPr>
        <w:t xml:space="preserve">specifically requires </w:t>
      </w:r>
      <w:r w:rsidRPr="00ED7E20">
        <w:rPr>
          <w:rFonts w:ascii="Times New Roman" w:hAnsi="Times New Roman"/>
          <w:bCs/>
          <w:sz w:val="24"/>
          <w:szCs w:val="24"/>
        </w:rPr>
        <w:t xml:space="preserve">the EPA to review the primary </w:t>
      </w:r>
      <w:r w:rsidR="000202D4">
        <w:rPr>
          <w:rFonts w:ascii="Times New Roman" w:hAnsi="Times New Roman"/>
          <w:bCs/>
          <w:sz w:val="24"/>
          <w:szCs w:val="24"/>
        </w:rPr>
        <w:t>and secondary</w:t>
      </w:r>
      <w:r w:rsidRPr="00ED7E20">
        <w:rPr>
          <w:rFonts w:ascii="Times New Roman" w:hAnsi="Times New Roman"/>
          <w:bCs/>
          <w:sz w:val="24"/>
          <w:szCs w:val="24"/>
        </w:rPr>
        <w:t xml:space="preserve"> NAAQS every 5 years</w:t>
      </w:r>
      <w:r w:rsidR="000202D4">
        <w:rPr>
          <w:rFonts w:ascii="Times New Roman" w:hAnsi="Times New Roman"/>
          <w:bCs/>
          <w:sz w:val="24"/>
          <w:szCs w:val="24"/>
        </w:rPr>
        <w:t xml:space="preserve"> and to revise them as necessary</w:t>
      </w:r>
      <w:r w:rsidRPr="00ED7E20">
        <w:rPr>
          <w:rFonts w:ascii="Times New Roman" w:hAnsi="Times New Roman"/>
          <w:bCs/>
          <w:sz w:val="24"/>
          <w:szCs w:val="24"/>
        </w:rPr>
        <w:t>.  These reviews have resulted in multiple, significant changes to the ozone and particulate matter NAAQS beginning in 1997.</w:t>
      </w:r>
      <w:r w:rsidR="00546B6E">
        <w:rPr>
          <w:rFonts w:ascii="Times New Roman" w:hAnsi="Times New Roman"/>
          <w:bCs/>
          <w:sz w:val="24"/>
          <w:szCs w:val="24"/>
        </w:rPr>
        <w:t xml:space="preserve">  EPA has also recently revised the SO</w:t>
      </w:r>
      <w:r w:rsidR="00EA4B45" w:rsidRPr="00EA4B45">
        <w:rPr>
          <w:rFonts w:ascii="Times New Roman" w:hAnsi="Times New Roman"/>
          <w:bCs/>
          <w:sz w:val="24"/>
          <w:szCs w:val="24"/>
          <w:vertAlign w:val="subscript"/>
        </w:rPr>
        <w:t>2</w:t>
      </w:r>
      <w:r w:rsidR="00546B6E">
        <w:rPr>
          <w:rFonts w:ascii="Times New Roman" w:hAnsi="Times New Roman"/>
          <w:bCs/>
          <w:sz w:val="24"/>
          <w:szCs w:val="24"/>
        </w:rPr>
        <w:t xml:space="preserve"> and NO</w:t>
      </w:r>
      <w:r w:rsidR="00EA4B45" w:rsidRPr="00EA4B45">
        <w:rPr>
          <w:rFonts w:ascii="Times New Roman" w:hAnsi="Times New Roman"/>
          <w:bCs/>
          <w:sz w:val="24"/>
          <w:szCs w:val="24"/>
          <w:vertAlign w:val="subscript"/>
        </w:rPr>
        <w:t>2</w:t>
      </w:r>
      <w:r w:rsidR="00546B6E">
        <w:rPr>
          <w:rFonts w:ascii="Times New Roman" w:hAnsi="Times New Roman"/>
          <w:bCs/>
          <w:sz w:val="24"/>
          <w:szCs w:val="24"/>
        </w:rPr>
        <w:t xml:space="preserve"> NAAQS significantly.</w:t>
      </w:r>
      <w:r w:rsidRPr="00ED7E20">
        <w:rPr>
          <w:rFonts w:ascii="Times New Roman" w:hAnsi="Times New Roman"/>
          <w:bCs/>
          <w:sz w:val="24"/>
          <w:szCs w:val="24"/>
        </w:rPr>
        <w:t xml:space="preserve">  </w:t>
      </w:r>
      <w:r>
        <w:rPr>
          <w:rFonts w:ascii="Times New Roman" w:hAnsi="Times New Roman"/>
          <w:bCs/>
          <w:sz w:val="24"/>
          <w:szCs w:val="24"/>
        </w:rPr>
        <w:t>Implementing</w:t>
      </w:r>
      <w:r w:rsidRPr="00ED7E20">
        <w:rPr>
          <w:rFonts w:ascii="Times New Roman" w:hAnsi="Times New Roman"/>
          <w:bCs/>
          <w:sz w:val="24"/>
          <w:szCs w:val="24"/>
        </w:rPr>
        <w:t xml:space="preserve"> these </w:t>
      </w:r>
      <w:r>
        <w:rPr>
          <w:rFonts w:ascii="Times New Roman" w:hAnsi="Times New Roman"/>
          <w:bCs/>
          <w:sz w:val="24"/>
          <w:szCs w:val="24"/>
        </w:rPr>
        <w:t xml:space="preserve">standards </w:t>
      </w:r>
      <w:r w:rsidRPr="00ED7E20">
        <w:rPr>
          <w:rFonts w:ascii="Times New Roman" w:hAnsi="Times New Roman"/>
          <w:bCs/>
          <w:sz w:val="24"/>
          <w:szCs w:val="24"/>
        </w:rPr>
        <w:t>is generally a state responsibility; however, the EPA has also issued rules, such as the NO</w:t>
      </w:r>
      <w:r w:rsidRPr="00ED7E20">
        <w:rPr>
          <w:rFonts w:ascii="Times New Roman" w:hAnsi="Times New Roman"/>
          <w:bCs/>
          <w:sz w:val="24"/>
          <w:szCs w:val="24"/>
          <w:vertAlign w:val="subscript"/>
        </w:rPr>
        <w:t>x</w:t>
      </w:r>
      <w:r w:rsidRPr="00ED7E20">
        <w:rPr>
          <w:rFonts w:ascii="Times New Roman" w:hAnsi="Times New Roman"/>
          <w:bCs/>
          <w:sz w:val="24"/>
          <w:szCs w:val="24"/>
        </w:rPr>
        <w:t xml:space="preserve"> SIP Call, CAIR, and the Cross</w:t>
      </w:r>
      <w:r>
        <w:rPr>
          <w:rFonts w:ascii="Times New Roman" w:hAnsi="Times New Roman"/>
          <w:bCs/>
          <w:sz w:val="24"/>
          <w:szCs w:val="24"/>
        </w:rPr>
        <w:t>-</w:t>
      </w:r>
      <w:r w:rsidRPr="00ED7E20">
        <w:rPr>
          <w:rFonts w:ascii="Times New Roman" w:hAnsi="Times New Roman"/>
          <w:bCs/>
          <w:sz w:val="24"/>
          <w:szCs w:val="24"/>
        </w:rPr>
        <w:t>State Air Pollution Rule, that deal with the transport of pollutants on a regional or multi-state basis</w:t>
      </w:r>
      <w:r>
        <w:rPr>
          <w:rFonts w:ascii="Times New Roman" w:hAnsi="Times New Roman"/>
          <w:bCs/>
          <w:sz w:val="24"/>
          <w:szCs w:val="24"/>
        </w:rPr>
        <w:t xml:space="preserve"> to facilitate attainment with the NAAQS</w:t>
      </w:r>
      <w:r w:rsidRPr="00ED7E20">
        <w:rPr>
          <w:rFonts w:ascii="Times New Roman" w:hAnsi="Times New Roman"/>
          <w:bCs/>
          <w:sz w:val="24"/>
          <w:szCs w:val="24"/>
        </w:rPr>
        <w:t xml:space="preserve">.   </w:t>
      </w:r>
    </w:p>
    <w:p w:rsidR="00FC67F9" w:rsidRPr="00ED7E20" w:rsidRDefault="00FC67F9" w:rsidP="002A0CD0">
      <w:pPr>
        <w:autoSpaceDE w:val="0"/>
        <w:autoSpaceDN w:val="0"/>
        <w:adjustRightInd w:val="0"/>
        <w:spacing w:after="0" w:line="240" w:lineRule="auto"/>
        <w:rPr>
          <w:rFonts w:ascii="Times New Roman" w:hAnsi="Times New Roman"/>
          <w:bCs/>
          <w:sz w:val="24"/>
          <w:szCs w:val="24"/>
        </w:rPr>
      </w:pPr>
    </w:p>
    <w:p w:rsidR="00FC67F9" w:rsidRPr="00ED7E20" w:rsidRDefault="00FC67F9" w:rsidP="002A0CD0">
      <w:pPr>
        <w:keepNext/>
        <w:autoSpaceDE w:val="0"/>
        <w:autoSpaceDN w:val="0"/>
        <w:adjustRightInd w:val="0"/>
        <w:spacing w:after="0" w:line="240" w:lineRule="auto"/>
        <w:rPr>
          <w:rFonts w:ascii="Times New Roman" w:hAnsi="Times New Roman"/>
          <w:b/>
          <w:bCs/>
          <w:color w:val="000080"/>
          <w:sz w:val="24"/>
          <w:szCs w:val="24"/>
        </w:rPr>
      </w:pPr>
      <w:r w:rsidRPr="00ED7E20">
        <w:rPr>
          <w:rFonts w:ascii="Times New Roman" w:hAnsi="Times New Roman"/>
          <w:b/>
          <w:bCs/>
          <w:color w:val="000080"/>
          <w:sz w:val="24"/>
          <w:szCs w:val="24"/>
        </w:rPr>
        <w:t>Ozone</w:t>
      </w:r>
    </w:p>
    <w:p w:rsidR="000F032F" w:rsidRPr="00ED7E20" w:rsidRDefault="00FC67F9" w:rsidP="002A0CD0">
      <w:pPr>
        <w:spacing w:after="0" w:line="240" w:lineRule="auto"/>
        <w:rPr>
          <w:rFonts w:ascii="Times New Roman" w:hAnsi="Times New Roman"/>
          <w:sz w:val="24"/>
          <w:szCs w:val="24"/>
        </w:rPr>
      </w:pPr>
      <w:r w:rsidRPr="00ED7E20">
        <w:rPr>
          <w:rFonts w:ascii="Times New Roman" w:hAnsi="Times New Roman"/>
          <w:sz w:val="24"/>
          <w:szCs w:val="24"/>
        </w:rPr>
        <w:t>NO</w:t>
      </w:r>
      <w:r w:rsidRPr="00ED7E20">
        <w:rPr>
          <w:rFonts w:ascii="Times New Roman" w:hAnsi="Times New Roman"/>
          <w:sz w:val="24"/>
          <w:szCs w:val="24"/>
          <w:vertAlign w:val="subscript"/>
        </w:rPr>
        <w:t>X</w:t>
      </w:r>
      <w:r w:rsidRPr="00ED7E20">
        <w:rPr>
          <w:rFonts w:ascii="Times New Roman" w:hAnsi="Times New Roman"/>
          <w:sz w:val="24"/>
          <w:szCs w:val="24"/>
        </w:rPr>
        <w:t xml:space="preserve"> emissions combine with volatile organic compounds </w:t>
      </w:r>
      <w:r w:rsidR="000202D4">
        <w:rPr>
          <w:rFonts w:ascii="Times New Roman" w:hAnsi="Times New Roman"/>
          <w:sz w:val="24"/>
          <w:szCs w:val="24"/>
        </w:rPr>
        <w:t xml:space="preserve">(VOCs) </w:t>
      </w:r>
      <w:r w:rsidRPr="00ED7E20">
        <w:rPr>
          <w:rFonts w:ascii="Times New Roman" w:hAnsi="Times New Roman"/>
          <w:sz w:val="24"/>
          <w:szCs w:val="24"/>
        </w:rPr>
        <w:t xml:space="preserve">on hot days to form ozone.  Ambient air quality standards for ozone, which are set at levels designed to protect the public health, have been in place for decades.  </w:t>
      </w:r>
      <w:r w:rsidR="00EC35B8" w:rsidRPr="00EC35B8">
        <w:rPr>
          <w:rFonts w:ascii="Times New Roman" w:hAnsi="Times New Roman"/>
          <w:sz w:val="24"/>
          <w:szCs w:val="24"/>
        </w:rPr>
        <w:t>In 1979, EP</w:t>
      </w:r>
      <w:r w:rsidR="00795A89">
        <w:rPr>
          <w:rFonts w:ascii="Times New Roman" w:hAnsi="Times New Roman"/>
          <w:sz w:val="24"/>
          <w:szCs w:val="24"/>
        </w:rPr>
        <w:t>A put into place a limit on 1-</w:t>
      </w:r>
      <w:r w:rsidR="00EC35B8" w:rsidRPr="00EC35B8">
        <w:rPr>
          <w:rFonts w:ascii="Times New Roman" w:hAnsi="Times New Roman"/>
          <w:sz w:val="24"/>
          <w:szCs w:val="24"/>
        </w:rPr>
        <w:t>hour ozone concentrations of 120 ppb.  Subsequently, the agency established an 8-</w:t>
      </w:r>
      <w:r w:rsidR="006C3706">
        <w:rPr>
          <w:rFonts w:ascii="Times New Roman" w:hAnsi="Times New Roman"/>
          <w:sz w:val="24"/>
          <w:szCs w:val="24"/>
        </w:rPr>
        <w:t>hour standard of 80 ppb in 1997</w:t>
      </w:r>
      <w:r w:rsidR="00EC35B8" w:rsidRPr="00EC35B8">
        <w:rPr>
          <w:rFonts w:ascii="Times New Roman" w:hAnsi="Times New Roman"/>
          <w:sz w:val="24"/>
          <w:szCs w:val="24"/>
        </w:rPr>
        <w:t xml:space="preserve"> and revoked</w:t>
      </w:r>
      <w:r w:rsidR="006C3706">
        <w:rPr>
          <w:rFonts w:ascii="Times New Roman" w:hAnsi="Times New Roman"/>
          <w:sz w:val="24"/>
          <w:szCs w:val="24"/>
        </w:rPr>
        <w:t xml:space="preserve"> the 1-hour standard for most areas in </w:t>
      </w:r>
      <w:r w:rsidR="00EC35B8" w:rsidRPr="00EC35B8">
        <w:rPr>
          <w:rFonts w:ascii="Times New Roman" w:hAnsi="Times New Roman"/>
          <w:sz w:val="24"/>
          <w:szCs w:val="24"/>
        </w:rPr>
        <w:t>2005.</w:t>
      </w:r>
      <w:r w:rsidRPr="00ED7E20">
        <w:rPr>
          <w:rFonts w:ascii="Times New Roman" w:hAnsi="Times New Roman"/>
          <w:sz w:val="24"/>
          <w:szCs w:val="24"/>
        </w:rPr>
        <w:t xml:space="preserve">  Areas within Southern Company’s service area that were designated as nonattainment under the 8-hour ozone standard included Birmingham (Alabama), Macon (Georgia), and a 20-county area </w:t>
      </w:r>
      <w:r w:rsidR="000202D4">
        <w:rPr>
          <w:rFonts w:ascii="Times New Roman" w:hAnsi="Times New Roman"/>
          <w:sz w:val="24"/>
          <w:szCs w:val="24"/>
        </w:rPr>
        <w:t>that includes</w:t>
      </w:r>
      <w:r w:rsidRPr="00ED7E20">
        <w:rPr>
          <w:rFonts w:ascii="Times New Roman" w:hAnsi="Times New Roman"/>
          <w:sz w:val="24"/>
          <w:szCs w:val="24"/>
        </w:rPr>
        <w:t xml:space="preserve"> metropolitan Atlanta.  Birmingham was redesignated to attainment with the 8-hour ozone standard by EPA on June 12, 2006</w:t>
      </w:r>
      <w:r w:rsidR="00EC35B8">
        <w:rPr>
          <w:rFonts w:ascii="Times New Roman" w:hAnsi="Times New Roman"/>
          <w:sz w:val="24"/>
          <w:szCs w:val="24"/>
        </w:rPr>
        <w:t>.</w:t>
      </w:r>
      <w:r w:rsidRPr="00ED7E20">
        <w:rPr>
          <w:rFonts w:ascii="Times New Roman" w:hAnsi="Times New Roman"/>
          <w:sz w:val="24"/>
          <w:szCs w:val="24"/>
        </w:rPr>
        <w:t xml:space="preserve"> </w:t>
      </w:r>
      <w:r w:rsidR="00EC35B8">
        <w:rPr>
          <w:rFonts w:ascii="Times New Roman" w:hAnsi="Times New Roman"/>
          <w:sz w:val="24"/>
          <w:szCs w:val="24"/>
        </w:rPr>
        <w:t xml:space="preserve"> </w:t>
      </w:r>
      <w:r w:rsidRPr="00ED7E20">
        <w:rPr>
          <w:rFonts w:ascii="Times New Roman" w:hAnsi="Times New Roman"/>
          <w:sz w:val="24"/>
          <w:szCs w:val="24"/>
        </w:rPr>
        <w:t xml:space="preserve">Macon was redesignated </w:t>
      </w:r>
      <w:r w:rsidR="000202D4">
        <w:rPr>
          <w:rFonts w:ascii="Times New Roman" w:hAnsi="Times New Roman"/>
          <w:sz w:val="24"/>
          <w:szCs w:val="24"/>
        </w:rPr>
        <w:t>to attainment</w:t>
      </w:r>
      <w:r w:rsidR="00E433DE">
        <w:rPr>
          <w:rFonts w:ascii="Times New Roman" w:hAnsi="Times New Roman"/>
          <w:sz w:val="24"/>
          <w:szCs w:val="24"/>
        </w:rPr>
        <w:t xml:space="preserve"> </w:t>
      </w:r>
      <w:r w:rsidR="000202D4">
        <w:rPr>
          <w:rFonts w:ascii="Times New Roman" w:hAnsi="Times New Roman"/>
          <w:sz w:val="24"/>
          <w:szCs w:val="24"/>
        </w:rPr>
        <w:t>with</w:t>
      </w:r>
      <w:r w:rsidRPr="00ED7E20">
        <w:rPr>
          <w:rFonts w:ascii="Times New Roman" w:hAnsi="Times New Roman"/>
          <w:sz w:val="24"/>
          <w:szCs w:val="24"/>
        </w:rPr>
        <w:t xml:space="preserve"> standard on October 19, 2007.  </w:t>
      </w:r>
    </w:p>
    <w:p w:rsidR="002A0CD0" w:rsidRDefault="002A0CD0" w:rsidP="002A0CD0">
      <w:pPr>
        <w:spacing w:after="0" w:line="240" w:lineRule="auto"/>
        <w:rPr>
          <w:rFonts w:ascii="Times New Roman" w:hAnsi="Times New Roman"/>
          <w:sz w:val="24"/>
          <w:szCs w:val="24"/>
        </w:rPr>
      </w:pPr>
    </w:p>
    <w:p w:rsidR="000F032F" w:rsidRPr="008A6F56" w:rsidRDefault="000F032F" w:rsidP="002A0CD0">
      <w:pPr>
        <w:spacing w:after="0" w:line="240" w:lineRule="auto"/>
        <w:rPr>
          <w:rFonts w:ascii="Times New Roman" w:hAnsi="Times New Roman"/>
          <w:color w:val="000080"/>
          <w:sz w:val="24"/>
          <w:szCs w:val="24"/>
        </w:rPr>
      </w:pPr>
      <w:r w:rsidRPr="00ED7E20">
        <w:rPr>
          <w:rFonts w:ascii="Times New Roman" w:hAnsi="Times New Roman"/>
          <w:sz w:val="24"/>
          <w:szCs w:val="24"/>
        </w:rPr>
        <w:t xml:space="preserve">On June 23, 2011, the EPA </w:t>
      </w:r>
      <w:r w:rsidRPr="005C6199">
        <w:rPr>
          <w:rFonts w:ascii="Times New Roman" w:hAnsi="Times New Roman"/>
          <w:sz w:val="24"/>
          <w:szCs w:val="24"/>
        </w:rPr>
        <w:t>finalized a determination of clean data for</w:t>
      </w:r>
      <w:r w:rsidRPr="008A6F56">
        <w:rPr>
          <w:rFonts w:ascii="Times New Roman" w:hAnsi="Times New Roman"/>
          <w:sz w:val="24"/>
          <w:szCs w:val="24"/>
        </w:rPr>
        <w:t xml:space="preserve"> the Atlanta nonattainment area. </w:t>
      </w:r>
      <w:r w:rsidRPr="005C6199">
        <w:rPr>
          <w:rFonts w:ascii="Times New Roman" w:hAnsi="Times New Roman"/>
          <w:sz w:val="24"/>
          <w:szCs w:val="24"/>
        </w:rPr>
        <w:t xml:space="preserve">This action suspends the requirement for the State of Georgia to submit an attainment demonstration and associated reasonably available control measures (RACM) analyses, reasonable further progress (RFP) plans, contingency measures, and other planning State Implementation Plans (SIPs) related to attainment of the 1997 8-hour ozone NAAQS for the Atlanta Area for as long as the </w:t>
      </w:r>
      <w:r w:rsidR="00E075D2">
        <w:rPr>
          <w:rFonts w:ascii="Times New Roman" w:hAnsi="Times New Roman"/>
          <w:sz w:val="24"/>
          <w:szCs w:val="24"/>
        </w:rPr>
        <w:t>a</w:t>
      </w:r>
      <w:r w:rsidRPr="005C6199">
        <w:rPr>
          <w:rFonts w:ascii="Times New Roman" w:hAnsi="Times New Roman"/>
          <w:sz w:val="24"/>
          <w:szCs w:val="24"/>
        </w:rPr>
        <w:t>rea continues to meet the 1997 8-hour ozone NAAQS.</w:t>
      </w:r>
      <w:r w:rsidR="001447D9">
        <w:rPr>
          <w:rFonts w:ascii="Times New Roman" w:hAnsi="Times New Roman"/>
          <w:sz w:val="24"/>
          <w:szCs w:val="24"/>
        </w:rPr>
        <w:t xml:space="preserve">  On March 7, 2012, EPA finalized a determination of attaining air quality for the Atlanta Area by the applicable attainment date for the 1997 8-hour ozone NAAQS</w:t>
      </w:r>
      <w:r w:rsidR="00546B6E">
        <w:rPr>
          <w:rFonts w:ascii="Times New Roman" w:hAnsi="Times New Roman"/>
          <w:sz w:val="24"/>
          <w:szCs w:val="24"/>
        </w:rPr>
        <w:t>, another important step towards redesigndation of Atlanta to attainment</w:t>
      </w:r>
      <w:r w:rsidR="001447D9">
        <w:rPr>
          <w:rFonts w:ascii="Times New Roman" w:hAnsi="Times New Roman"/>
          <w:sz w:val="24"/>
          <w:szCs w:val="24"/>
        </w:rPr>
        <w:t>.</w:t>
      </w:r>
      <w:r w:rsidR="00546B6E">
        <w:rPr>
          <w:rFonts w:ascii="Times New Roman" w:hAnsi="Times New Roman"/>
          <w:sz w:val="24"/>
          <w:szCs w:val="24"/>
        </w:rPr>
        <w:t xml:space="preserve">  Until EPA approves of the Georgia plan for maintaining air quality within the 1997 8-hour ozone NAAQS, however, the 20-county Atlanta area is still </w:t>
      </w:r>
      <w:r w:rsidR="00EC35B8">
        <w:rPr>
          <w:rFonts w:ascii="Times New Roman" w:hAnsi="Times New Roman"/>
          <w:sz w:val="24"/>
          <w:szCs w:val="24"/>
        </w:rPr>
        <w:t>technically</w:t>
      </w:r>
      <w:r w:rsidR="004A54AC">
        <w:rPr>
          <w:rFonts w:ascii="Times New Roman" w:hAnsi="Times New Roman"/>
          <w:sz w:val="24"/>
          <w:szCs w:val="24"/>
        </w:rPr>
        <w:t xml:space="preserve"> </w:t>
      </w:r>
      <w:r w:rsidR="00546B6E">
        <w:rPr>
          <w:rFonts w:ascii="Times New Roman" w:hAnsi="Times New Roman"/>
          <w:sz w:val="24"/>
          <w:szCs w:val="24"/>
        </w:rPr>
        <w:t xml:space="preserve">designated as nonattainment. </w:t>
      </w:r>
    </w:p>
    <w:p w:rsidR="002A0CD0" w:rsidRDefault="002A0CD0" w:rsidP="002A0CD0">
      <w:pPr>
        <w:spacing w:after="0" w:line="240" w:lineRule="auto"/>
        <w:rPr>
          <w:rFonts w:ascii="Times New Roman" w:hAnsi="Times New Roman"/>
          <w:sz w:val="24"/>
          <w:szCs w:val="24"/>
        </w:rPr>
      </w:pPr>
    </w:p>
    <w:p w:rsidR="00541B03" w:rsidRPr="00237528" w:rsidRDefault="00FC67F9" w:rsidP="00546B6E">
      <w:pPr>
        <w:spacing w:after="0" w:line="240" w:lineRule="auto"/>
        <w:rPr>
          <w:rFonts w:ascii="Times New Roman" w:hAnsi="Times New Roman"/>
          <w:sz w:val="24"/>
          <w:szCs w:val="24"/>
        </w:rPr>
      </w:pPr>
      <w:r w:rsidRPr="00ED7E20">
        <w:rPr>
          <w:rFonts w:ascii="Times New Roman" w:hAnsi="Times New Roman"/>
          <w:sz w:val="24"/>
          <w:szCs w:val="24"/>
        </w:rPr>
        <w:t xml:space="preserve">On March 12, 2008, EPA issued a final rule to establish a more stringent 8-hour ozone standard, setting the standard at </w:t>
      </w:r>
      <w:r w:rsidR="00EC35B8">
        <w:rPr>
          <w:rFonts w:ascii="Times New Roman" w:hAnsi="Times New Roman"/>
          <w:sz w:val="24"/>
          <w:szCs w:val="24"/>
        </w:rPr>
        <w:t>75 ppb</w:t>
      </w:r>
      <w:r w:rsidRPr="00ED7E20">
        <w:rPr>
          <w:rFonts w:ascii="Times New Roman" w:hAnsi="Times New Roman"/>
          <w:sz w:val="24"/>
          <w:szCs w:val="24"/>
        </w:rPr>
        <w:t xml:space="preserve">.  </w:t>
      </w:r>
      <w:r w:rsidRPr="00237528">
        <w:rPr>
          <w:rFonts w:ascii="Times New Roman" w:hAnsi="Times New Roman"/>
          <w:sz w:val="24"/>
          <w:szCs w:val="24"/>
        </w:rPr>
        <w:t>However, on September 16, 2009 EPA announced its intent to reconsider the 2008 ozone standard</w:t>
      </w:r>
      <w:r w:rsidR="00237528">
        <w:rPr>
          <w:rFonts w:ascii="Times New Roman" w:hAnsi="Times New Roman"/>
          <w:sz w:val="24"/>
          <w:szCs w:val="24"/>
        </w:rPr>
        <w:t xml:space="preserve"> and delayed implementing the standard while the agency conducted additional review</w:t>
      </w:r>
      <w:r w:rsidRPr="00237528">
        <w:rPr>
          <w:rFonts w:ascii="Times New Roman" w:hAnsi="Times New Roman"/>
          <w:sz w:val="24"/>
          <w:szCs w:val="24"/>
        </w:rPr>
        <w:t>.  In January 2010, EPA announced it was considering a proposed revision to the 8-h</w:t>
      </w:r>
      <w:r w:rsidR="000F032F" w:rsidRPr="00237528">
        <w:rPr>
          <w:rFonts w:ascii="Times New Roman" w:hAnsi="Times New Roman"/>
          <w:sz w:val="24"/>
          <w:szCs w:val="24"/>
        </w:rPr>
        <w:t>ou</w:t>
      </w:r>
      <w:r w:rsidRPr="00237528">
        <w:rPr>
          <w:rFonts w:ascii="Times New Roman" w:hAnsi="Times New Roman"/>
          <w:sz w:val="24"/>
          <w:szCs w:val="24"/>
        </w:rPr>
        <w:t xml:space="preserve">r ozone standard, lowering the level from </w:t>
      </w:r>
      <w:r w:rsidR="00EC35B8">
        <w:rPr>
          <w:rFonts w:ascii="Times New Roman" w:hAnsi="Times New Roman"/>
          <w:sz w:val="24"/>
          <w:szCs w:val="24"/>
        </w:rPr>
        <w:t>75 ppb</w:t>
      </w:r>
      <w:r w:rsidRPr="00237528">
        <w:rPr>
          <w:rFonts w:ascii="Times New Roman" w:hAnsi="Times New Roman"/>
          <w:sz w:val="24"/>
          <w:szCs w:val="24"/>
        </w:rPr>
        <w:t xml:space="preserve"> to a level in the range </w:t>
      </w:r>
      <w:r w:rsidR="00EC35B8">
        <w:rPr>
          <w:rFonts w:ascii="Times New Roman" w:hAnsi="Times New Roman"/>
          <w:sz w:val="24"/>
          <w:szCs w:val="24"/>
        </w:rPr>
        <w:t>60 to 70 ppb</w:t>
      </w:r>
      <w:r w:rsidRPr="00237528">
        <w:rPr>
          <w:rFonts w:ascii="Times New Roman" w:hAnsi="Times New Roman"/>
          <w:sz w:val="24"/>
          <w:szCs w:val="24"/>
        </w:rPr>
        <w:t xml:space="preserve">.  </w:t>
      </w:r>
      <w:r w:rsidR="0092438C" w:rsidRPr="00237528">
        <w:rPr>
          <w:rFonts w:ascii="Times New Roman" w:hAnsi="Times New Roman"/>
          <w:sz w:val="24"/>
          <w:szCs w:val="24"/>
        </w:rPr>
        <w:t>Such a revision would have resulted in a large number of new nonattainment areas throughout the country, including many new areas within Southern Company’s service territory. In fact, at 70 ppb, 75% of monitored counties in the U.S. would have been nonattainment; at 60 ppb, 96% of monitored counties in the U.S. would have been nonattainment. President Obama asked EPA to withdraw its reconsideration of the 2008 ozone NAAQS in September 2011.</w:t>
      </w:r>
    </w:p>
    <w:p w:rsidR="002A0CD0" w:rsidRDefault="002A0CD0" w:rsidP="002A0CD0">
      <w:pPr>
        <w:pStyle w:val="NormalWeb"/>
        <w:spacing w:after="0" w:line="240" w:lineRule="auto"/>
      </w:pPr>
    </w:p>
    <w:p w:rsidR="00795A89" w:rsidRDefault="0092438C" w:rsidP="00795A89">
      <w:pPr>
        <w:pStyle w:val="NormalWeb"/>
        <w:spacing w:after="0" w:line="240" w:lineRule="auto"/>
      </w:pPr>
      <w:r w:rsidRPr="003022EA">
        <w:t>EPA has now turned its attention to implemen</w:t>
      </w:r>
      <w:r w:rsidR="00237528">
        <w:t>ting the 2008 ozone NAAQS</w:t>
      </w:r>
      <w:r w:rsidRPr="003022EA">
        <w:t xml:space="preserve">. </w:t>
      </w:r>
      <w:r w:rsidR="00E075D2">
        <w:t xml:space="preserve"> </w:t>
      </w:r>
      <w:r w:rsidRPr="003022EA">
        <w:t xml:space="preserve">In June 2012, EPA finalized </w:t>
      </w:r>
      <w:r w:rsidR="00E075D2">
        <w:t xml:space="preserve">attainment/nonattainment </w:t>
      </w:r>
      <w:r w:rsidRPr="003022EA">
        <w:t xml:space="preserve">designations </w:t>
      </w:r>
      <w:r w:rsidR="00E075D2">
        <w:t xml:space="preserve">for </w:t>
      </w:r>
      <w:r w:rsidRPr="003022EA">
        <w:t xml:space="preserve">the 2008 standard. </w:t>
      </w:r>
      <w:r w:rsidR="00E075D2">
        <w:t xml:space="preserve"> </w:t>
      </w:r>
      <w:r w:rsidRPr="003022EA">
        <w:t>Fifteen counties around Atlanta</w:t>
      </w:r>
      <w:r w:rsidR="00795A89">
        <w:t xml:space="preserve">, including </w:t>
      </w:r>
      <w:r w:rsidR="00795A89" w:rsidRPr="00795A89">
        <w:t>Bartow, Cherokee, Clayton, Cobb, Coweta, DeKalb, Douglas, Fayette, Forsyth, Fulton, Gwinnett, Henry, Newton, Paulding, and Rockdale</w:t>
      </w:r>
      <w:r w:rsidR="00795A89">
        <w:t>,</w:t>
      </w:r>
      <w:r w:rsidRPr="003022EA">
        <w:t xml:space="preserve"> </w:t>
      </w:r>
      <w:r w:rsidR="00237528">
        <w:t xml:space="preserve">were </w:t>
      </w:r>
      <w:r w:rsidRPr="003022EA">
        <w:t xml:space="preserve">designated as nonattainment (see Figure </w:t>
      </w:r>
      <w:r w:rsidR="00230D6E">
        <w:t>2.3-1</w:t>
      </w:r>
      <w:r w:rsidRPr="003022EA">
        <w:t xml:space="preserve"> below</w:t>
      </w:r>
      <w:r w:rsidR="00230D6E">
        <w:t>)</w:t>
      </w:r>
      <w:r w:rsidRPr="003022EA">
        <w:t xml:space="preserve">. </w:t>
      </w:r>
      <w:r w:rsidR="00E075D2">
        <w:t xml:space="preserve"> </w:t>
      </w:r>
      <w:r w:rsidR="00237528">
        <w:t>Atlanta was designated as a “marginal” nonattainment area, which means that it must attain the 2008 standard by 2015.  I</w:t>
      </w:r>
      <w:r w:rsidR="00E075D2">
        <w:t>f</w:t>
      </w:r>
      <w:r w:rsidR="00237528">
        <w:t xml:space="preserve"> the area does not achieve attaining air quality by 2015, then the area will be “bumped up” to a more severe ozone nonattainment designation and Georgia EPD may require additional emission reductions.</w:t>
      </w:r>
      <w:r w:rsidR="00237528" w:rsidRPr="00237528">
        <w:t xml:space="preserve"> </w:t>
      </w:r>
      <w:r w:rsidR="00E075D2">
        <w:t xml:space="preserve"> </w:t>
      </w:r>
      <w:r w:rsidRPr="003022EA">
        <w:t>EPA is currently reviewing the ozone NAAQS as part of its standard 5-year review cycle.</w:t>
      </w:r>
      <w:r w:rsidR="00292541">
        <w:t xml:space="preserve"> </w:t>
      </w:r>
      <w:r w:rsidRPr="003022EA">
        <w:t xml:space="preserve"> A </w:t>
      </w:r>
      <w:r w:rsidR="004524C4">
        <w:t>revised</w:t>
      </w:r>
      <w:r w:rsidRPr="003022EA">
        <w:t xml:space="preserve"> ozone standard is expected in July 2014.</w:t>
      </w:r>
    </w:p>
    <w:p w:rsidR="00795A89" w:rsidRDefault="00795A89" w:rsidP="00795A89">
      <w:pPr>
        <w:pStyle w:val="NormalWeb"/>
        <w:spacing w:after="0" w:line="240" w:lineRule="auto"/>
      </w:pPr>
    </w:p>
    <w:p w:rsidR="00795A89" w:rsidRDefault="00C650CE" w:rsidP="00795A89">
      <w:pPr>
        <w:pStyle w:val="NormalWeb"/>
        <w:spacing w:after="0" w:line="240" w:lineRule="auto"/>
        <w:jc w:val="center"/>
        <w:rPr>
          <w:b/>
          <w:bCs/>
          <w:sz w:val="20"/>
          <w:szCs w:val="20"/>
        </w:rPr>
      </w:pPr>
      <w:r w:rsidRPr="00C650CE">
        <w:rPr>
          <w:noProof/>
        </w:rPr>
        <w:pict>
          <v:rect id="_x0000_s1032" style="position:absolute;left:0;text-align:left;margin-left:3pt;margin-top:296.5pt;width:85.5pt;height:18pt;z-index:251660288" stroked="f">
            <v:textbox>
              <w:txbxContent>
                <w:p w:rsidR="009C366D" w:rsidRDefault="009C366D"/>
              </w:txbxContent>
            </v:textbox>
          </v:rect>
        </w:pict>
      </w:r>
      <w:r w:rsidR="001D1F0E">
        <w:rPr>
          <w:noProof/>
        </w:rPr>
        <w:drawing>
          <wp:inline distT="0" distB="0" distL="0" distR="0">
            <wp:extent cx="3791831" cy="2653641"/>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srcRect/>
                    <a:stretch>
                      <a:fillRect/>
                    </a:stretch>
                  </pic:blipFill>
                  <pic:spPr bwMode="auto">
                    <a:xfrm>
                      <a:off x="0" y="0"/>
                      <a:ext cx="3802004" cy="2660760"/>
                    </a:xfrm>
                    <a:prstGeom prst="rect">
                      <a:avLst/>
                    </a:prstGeom>
                    <a:noFill/>
                    <a:ln w="9525">
                      <a:noFill/>
                      <a:miter lim="800000"/>
                      <a:headEnd/>
                      <a:tailEnd/>
                    </a:ln>
                  </pic:spPr>
                </pic:pic>
              </a:graphicData>
            </a:graphic>
          </wp:inline>
        </w:drawing>
      </w:r>
    </w:p>
    <w:p w:rsidR="002A0CD0" w:rsidRDefault="00FC67F9" w:rsidP="00795A89">
      <w:pPr>
        <w:pStyle w:val="NormalWeb"/>
        <w:spacing w:after="0" w:line="240" w:lineRule="auto"/>
        <w:jc w:val="center"/>
        <w:rPr>
          <w:b/>
          <w:bCs/>
          <w:color w:val="000080"/>
        </w:rPr>
      </w:pPr>
      <w:r w:rsidRPr="00ED7E20">
        <w:rPr>
          <w:b/>
          <w:bCs/>
          <w:sz w:val="20"/>
          <w:szCs w:val="20"/>
        </w:rPr>
        <w:t xml:space="preserve">Figure 2.3-1 </w:t>
      </w:r>
      <w:r w:rsidR="005B05D3">
        <w:rPr>
          <w:b/>
          <w:bCs/>
          <w:sz w:val="20"/>
          <w:szCs w:val="20"/>
        </w:rPr>
        <w:t>Southeastern U.S. Ozone Nonattainment Analysis</w:t>
      </w:r>
    </w:p>
    <w:p w:rsidR="007B005E" w:rsidRPr="00ED7E20" w:rsidRDefault="007B005E" w:rsidP="007B005E">
      <w:pPr>
        <w:keepNext/>
        <w:autoSpaceDE w:val="0"/>
        <w:autoSpaceDN w:val="0"/>
        <w:adjustRightInd w:val="0"/>
        <w:spacing w:after="0" w:line="240" w:lineRule="auto"/>
        <w:rPr>
          <w:rFonts w:ascii="Times New Roman" w:hAnsi="Times New Roman"/>
          <w:b/>
          <w:bCs/>
          <w:color w:val="000080"/>
          <w:sz w:val="24"/>
          <w:szCs w:val="24"/>
        </w:rPr>
      </w:pPr>
      <w:r w:rsidRPr="00ED7E20">
        <w:rPr>
          <w:rFonts w:ascii="Times New Roman" w:hAnsi="Times New Roman"/>
          <w:b/>
          <w:bCs/>
          <w:color w:val="000080"/>
          <w:sz w:val="24"/>
          <w:szCs w:val="24"/>
        </w:rPr>
        <w:t>Particulate Matter</w:t>
      </w:r>
    </w:p>
    <w:p w:rsidR="00CD348F" w:rsidRDefault="00BE2F21" w:rsidP="002A0CD0">
      <w:pPr>
        <w:spacing w:after="0" w:line="240" w:lineRule="auto"/>
        <w:rPr>
          <w:rFonts w:ascii="Times New Roman" w:hAnsi="Times New Roman"/>
          <w:sz w:val="24"/>
          <w:szCs w:val="24"/>
        </w:rPr>
      </w:pPr>
      <w:r w:rsidRPr="00BE2F21">
        <w:rPr>
          <w:rFonts w:ascii="Times New Roman" w:hAnsi="Times New Roman"/>
          <w:sz w:val="24"/>
        </w:rPr>
        <w:t xml:space="preserve">There are </w:t>
      </w:r>
      <w:r w:rsidR="00292541">
        <w:rPr>
          <w:rFonts w:ascii="Times New Roman" w:hAnsi="Times New Roman"/>
          <w:sz w:val="24"/>
        </w:rPr>
        <w:t xml:space="preserve">several </w:t>
      </w:r>
      <w:r w:rsidRPr="00BE2F21">
        <w:rPr>
          <w:rFonts w:ascii="Times New Roman" w:hAnsi="Times New Roman"/>
          <w:sz w:val="24"/>
        </w:rPr>
        <w:t xml:space="preserve">fine particulate matter (PM2.5) standards with potential implications to </w:t>
      </w:r>
      <w:r w:rsidR="00514DCA">
        <w:rPr>
          <w:rFonts w:ascii="Times New Roman" w:hAnsi="Times New Roman"/>
          <w:sz w:val="24"/>
        </w:rPr>
        <w:t>Georgia Power</w:t>
      </w:r>
      <w:r w:rsidRPr="00BE2F21">
        <w:rPr>
          <w:rFonts w:ascii="Times New Roman" w:hAnsi="Times New Roman"/>
          <w:sz w:val="24"/>
        </w:rPr>
        <w:t>.</w:t>
      </w:r>
      <w:r w:rsidR="00D53333">
        <w:rPr>
          <w:rFonts w:ascii="Times New Roman" w:hAnsi="Times New Roman"/>
          <w:sz w:val="24"/>
        </w:rPr>
        <w:t xml:space="preserve"> </w:t>
      </w:r>
      <w:r w:rsidRPr="00BE2F21">
        <w:rPr>
          <w:rFonts w:ascii="Times New Roman" w:hAnsi="Times New Roman"/>
          <w:sz w:val="24"/>
        </w:rPr>
        <w:t xml:space="preserve"> In 1997, EPA finalized its </w:t>
      </w:r>
      <w:r w:rsidR="007554AC">
        <w:rPr>
          <w:rFonts w:ascii="Times New Roman" w:hAnsi="Times New Roman"/>
          <w:sz w:val="24"/>
        </w:rPr>
        <w:t>fine particulate (</w:t>
      </w:r>
      <w:r w:rsidRPr="00BE2F21">
        <w:rPr>
          <w:rFonts w:ascii="Times New Roman" w:hAnsi="Times New Roman"/>
          <w:sz w:val="24"/>
        </w:rPr>
        <w:t>PM2.5</w:t>
      </w:r>
      <w:r w:rsidR="007554AC">
        <w:rPr>
          <w:rFonts w:ascii="Times New Roman" w:hAnsi="Times New Roman"/>
          <w:sz w:val="24"/>
        </w:rPr>
        <w:t>)</w:t>
      </w:r>
      <w:r w:rsidRPr="00BE2F21">
        <w:rPr>
          <w:rFonts w:ascii="Times New Roman" w:hAnsi="Times New Roman"/>
          <w:sz w:val="24"/>
        </w:rPr>
        <w:t xml:space="preserve"> standard at a level of 15 micrograms per cubic meter (µg/m</w:t>
      </w:r>
      <w:r w:rsidRPr="00BE2F21">
        <w:rPr>
          <w:rFonts w:ascii="Times New Roman" w:hAnsi="Times New Roman"/>
          <w:sz w:val="24"/>
          <w:vertAlign w:val="superscript"/>
        </w:rPr>
        <w:t>3</w:t>
      </w:r>
      <w:r w:rsidRPr="00BE2F21">
        <w:rPr>
          <w:rFonts w:ascii="Times New Roman" w:hAnsi="Times New Roman"/>
          <w:sz w:val="24"/>
        </w:rPr>
        <w:t xml:space="preserve">) on an annual </w:t>
      </w:r>
      <w:r w:rsidR="00EC35B8">
        <w:rPr>
          <w:rFonts w:ascii="Times New Roman" w:hAnsi="Times New Roman"/>
          <w:sz w:val="24"/>
        </w:rPr>
        <w:t xml:space="preserve">average </w:t>
      </w:r>
      <w:r w:rsidRPr="00BE2F21">
        <w:rPr>
          <w:rFonts w:ascii="Times New Roman" w:hAnsi="Times New Roman"/>
          <w:sz w:val="24"/>
        </w:rPr>
        <w:t xml:space="preserve">and </w:t>
      </w:r>
      <w:proofErr w:type="gramStart"/>
      <w:r w:rsidRPr="00BE2F21">
        <w:rPr>
          <w:rFonts w:ascii="Times New Roman" w:hAnsi="Times New Roman"/>
          <w:sz w:val="24"/>
        </w:rPr>
        <w:t>65 µg/m</w:t>
      </w:r>
      <w:r w:rsidRPr="00BE2F21">
        <w:rPr>
          <w:rFonts w:ascii="Times New Roman" w:hAnsi="Times New Roman"/>
          <w:sz w:val="24"/>
          <w:vertAlign w:val="superscript"/>
        </w:rPr>
        <w:t>3</w:t>
      </w:r>
      <w:r w:rsidRPr="00BE2F21">
        <w:rPr>
          <w:rFonts w:ascii="Times New Roman" w:hAnsi="Times New Roman"/>
          <w:sz w:val="24"/>
        </w:rPr>
        <w:t xml:space="preserve"> on a 24-hour </w:t>
      </w:r>
      <w:r w:rsidR="00EC35B8">
        <w:rPr>
          <w:rFonts w:ascii="Times New Roman" w:hAnsi="Times New Roman"/>
          <w:sz w:val="24"/>
        </w:rPr>
        <w:t>average</w:t>
      </w:r>
      <w:proofErr w:type="gramEnd"/>
      <w:r w:rsidRPr="00BE2F21">
        <w:rPr>
          <w:rFonts w:ascii="Times New Roman" w:hAnsi="Times New Roman"/>
          <w:sz w:val="24"/>
        </w:rPr>
        <w:t xml:space="preserve">. In 2005, several areas within Georgia were designated as nonattainment for the </w:t>
      </w:r>
      <w:r w:rsidR="00A75236">
        <w:rPr>
          <w:rFonts w:ascii="Times New Roman" w:hAnsi="Times New Roman"/>
          <w:sz w:val="24"/>
        </w:rPr>
        <w:t xml:space="preserve">annual </w:t>
      </w:r>
      <w:r w:rsidRPr="00BE2F21">
        <w:rPr>
          <w:rFonts w:ascii="Times New Roman" w:hAnsi="Times New Roman"/>
          <w:sz w:val="24"/>
        </w:rPr>
        <w:t xml:space="preserve">standard. </w:t>
      </w:r>
      <w:r w:rsidR="005F7EF9">
        <w:rPr>
          <w:rFonts w:ascii="Times New Roman" w:hAnsi="Times New Roman"/>
          <w:sz w:val="24"/>
        </w:rPr>
        <w:t>One of the measure</w:t>
      </w:r>
      <w:r w:rsidR="006A29FE">
        <w:rPr>
          <w:rFonts w:ascii="Times New Roman" w:hAnsi="Times New Roman"/>
          <w:sz w:val="24"/>
        </w:rPr>
        <w:t>s</w:t>
      </w:r>
      <w:r w:rsidR="005F7EF9">
        <w:rPr>
          <w:rFonts w:ascii="Times New Roman" w:hAnsi="Times New Roman"/>
          <w:sz w:val="24"/>
        </w:rPr>
        <w:t xml:space="preserve"> enacted by </w:t>
      </w:r>
      <w:r w:rsidR="005F7EF9">
        <w:rPr>
          <w:rFonts w:ascii="Times New Roman" w:hAnsi="Times New Roman"/>
          <w:sz w:val="24"/>
          <w:szCs w:val="24"/>
        </w:rPr>
        <w:t xml:space="preserve">Georgia EPD </w:t>
      </w:r>
      <w:r w:rsidR="006A29FE">
        <w:rPr>
          <w:rFonts w:ascii="Times New Roman" w:hAnsi="Times New Roman"/>
          <w:sz w:val="24"/>
          <w:szCs w:val="24"/>
        </w:rPr>
        <w:t xml:space="preserve">to reduce emissions in Georgia’s PM2.5 nonattainment areas </w:t>
      </w:r>
      <w:r w:rsidR="005F7EF9">
        <w:rPr>
          <w:rFonts w:ascii="Times New Roman" w:hAnsi="Times New Roman"/>
          <w:sz w:val="24"/>
          <w:szCs w:val="24"/>
        </w:rPr>
        <w:t xml:space="preserve">was </w:t>
      </w:r>
      <w:r w:rsidR="00B60CA0">
        <w:rPr>
          <w:rFonts w:ascii="Times New Roman" w:hAnsi="Times New Roman"/>
          <w:sz w:val="24"/>
          <w:szCs w:val="24"/>
        </w:rPr>
        <w:t xml:space="preserve">the </w:t>
      </w:r>
      <w:r w:rsidR="005F7EF9" w:rsidRPr="00ED7E20">
        <w:rPr>
          <w:rFonts w:ascii="Times New Roman" w:hAnsi="Times New Roman"/>
          <w:sz w:val="24"/>
          <w:szCs w:val="24"/>
        </w:rPr>
        <w:t>Georgia</w:t>
      </w:r>
      <w:r w:rsidR="00D53333">
        <w:rPr>
          <w:rFonts w:ascii="Times New Roman" w:hAnsi="Times New Roman"/>
          <w:sz w:val="24"/>
          <w:szCs w:val="24"/>
        </w:rPr>
        <w:t xml:space="preserve"> </w:t>
      </w:r>
      <w:r w:rsidR="006A29FE">
        <w:rPr>
          <w:rFonts w:ascii="Times New Roman" w:hAnsi="Times New Roman"/>
          <w:sz w:val="24"/>
          <w:szCs w:val="24"/>
        </w:rPr>
        <w:t>SO</w:t>
      </w:r>
      <w:r w:rsidR="00EA4B45" w:rsidRPr="00EA4B45">
        <w:rPr>
          <w:rFonts w:ascii="Times New Roman" w:hAnsi="Times New Roman"/>
          <w:sz w:val="24"/>
          <w:szCs w:val="24"/>
          <w:vertAlign w:val="subscript"/>
        </w:rPr>
        <w:t>2</w:t>
      </w:r>
      <w:r w:rsidR="006A29FE">
        <w:rPr>
          <w:rFonts w:ascii="Times New Roman" w:hAnsi="Times New Roman"/>
          <w:sz w:val="24"/>
          <w:szCs w:val="24"/>
        </w:rPr>
        <w:t xml:space="preserve"> Emissions Rule</w:t>
      </w:r>
      <w:r w:rsidR="00CD348F">
        <w:rPr>
          <w:rFonts w:ascii="Times New Roman" w:hAnsi="Times New Roman"/>
          <w:sz w:val="24"/>
          <w:szCs w:val="24"/>
        </w:rPr>
        <w:t>, discussed in more detail in Section 2.</w:t>
      </w:r>
      <w:r w:rsidR="0097787F">
        <w:rPr>
          <w:rFonts w:ascii="Times New Roman" w:hAnsi="Times New Roman"/>
          <w:sz w:val="24"/>
          <w:szCs w:val="24"/>
        </w:rPr>
        <w:t>10</w:t>
      </w:r>
      <w:r w:rsidR="005F7EF9">
        <w:rPr>
          <w:rFonts w:ascii="Times New Roman" w:hAnsi="Times New Roman"/>
          <w:sz w:val="24"/>
          <w:szCs w:val="24"/>
        </w:rPr>
        <w:t xml:space="preserve">.  </w:t>
      </w:r>
      <w:r w:rsidR="006A29FE">
        <w:rPr>
          <w:rFonts w:ascii="Times New Roman" w:hAnsi="Times New Roman"/>
          <w:sz w:val="24"/>
          <w:szCs w:val="24"/>
        </w:rPr>
        <w:t>The Georgia SO</w:t>
      </w:r>
      <w:r w:rsidR="006A29FE" w:rsidRPr="00EC35B8">
        <w:rPr>
          <w:rFonts w:ascii="Times New Roman" w:hAnsi="Times New Roman"/>
          <w:sz w:val="24"/>
          <w:szCs w:val="24"/>
          <w:vertAlign w:val="subscript"/>
        </w:rPr>
        <w:t>2</w:t>
      </w:r>
      <w:r w:rsidR="006A29FE">
        <w:rPr>
          <w:rFonts w:ascii="Times New Roman" w:hAnsi="Times New Roman"/>
          <w:sz w:val="24"/>
          <w:szCs w:val="24"/>
        </w:rPr>
        <w:t xml:space="preserve"> Emissions Rule</w:t>
      </w:r>
      <w:r w:rsidR="005F7EF9">
        <w:rPr>
          <w:rFonts w:ascii="Times New Roman" w:hAnsi="Times New Roman"/>
          <w:sz w:val="24"/>
          <w:szCs w:val="24"/>
        </w:rPr>
        <w:t xml:space="preserve"> requires</w:t>
      </w:r>
      <w:r w:rsidR="00514DCA" w:rsidRPr="00ED7E20">
        <w:rPr>
          <w:rFonts w:ascii="Times New Roman" w:hAnsi="Times New Roman"/>
          <w:sz w:val="24"/>
          <w:szCs w:val="24"/>
        </w:rPr>
        <w:t xml:space="preserve"> reductions </w:t>
      </w:r>
      <w:r w:rsidR="005F7EF9">
        <w:rPr>
          <w:rFonts w:ascii="Times New Roman" w:hAnsi="Times New Roman"/>
          <w:sz w:val="24"/>
          <w:szCs w:val="24"/>
        </w:rPr>
        <w:t>of S</w:t>
      </w:r>
      <w:r w:rsidR="004A54AC">
        <w:rPr>
          <w:rFonts w:ascii="Times New Roman" w:hAnsi="Times New Roman"/>
          <w:sz w:val="24"/>
          <w:szCs w:val="24"/>
        </w:rPr>
        <w:t>O</w:t>
      </w:r>
      <w:r w:rsidR="004A54AC" w:rsidRPr="004A54AC">
        <w:rPr>
          <w:rFonts w:ascii="Times New Roman" w:hAnsi="Times New Roman"/>
          <w:sz w:val="24"/>
          <w:szCs w:val="24"/>
          <w:vertAlign w:val="subscript"/>
        </w:rPr>
        <w:t>2</w:t>
      </w:r>
      <w:r w:rsidR="005F7EF9">
        <w:rPr>
          <w:rFonts w:ascii="Times New Roman" w:hAnsi="Times New Roman"/>
          <w:sz w:val="24"/>
          <w:szCs w:val="24"/>
        </w:rPr>
        <w:t xml:space="preserve">, which can form PM2.5 upon being emitted into the atmosphere, </w:t>
      </w:r>
      <w:r w:rsidR="00514DCA" w:rsidRPr="00ED7E20">
        <w:rPr>
          <w:rFonts w:ascii="Times New Roman" w:hAnsi="Times New Roman"/>
          <w:sz w:val="24"/>
          <w:szCs w:val="24"/>
        </w:rPr>
        <w:t xml:space="preserve">from </w:t>
      </w:r>
      <w:r w:rsidR="005F7EF9">
        <w:rPr>
          <w:rFonts w:ascii="Times New Roman" w:hAnsi="Times New Roman"/>
          <w:sz w:val="24"/>
          <w:szCs w:val="24"/>
        </w:rPr>
        <w:t xml:space="preserve">various </w:t>
      </w:r>
      <w:r w:rsidR="00514DCA" w:rsidRPr="00ED7E20">
        <w:rPr>
          <w:rFonts w:ascii="Times New Roman" w:hAnsi="Times New Roman"/>
          <w:sz w:val="24"/>
          <w:szCs w:val="24"/>
        </w:rPr>
        <w:t>power plants</w:t>
      </w:r>
      <w:r w:rsidR="005F7EF9">
        <w:rPr>
          <w:rFonts w:ascii="Times New Roman" w:hAnsi="Times New Roman"/>
          <w:sz w:val="24"/>
          <w:szCs w:val="24"/>
        </w:rPr>
        <w:t xml:space="preserve"> by specified compliance deadlines.</w:t>
      </w:r>
      <w:r w:rsidR="00514DCA" w:rsidRPr="00ED7E20">
        <w:rPr>
          <w:rFonts w:ascii="Times New Roman" w:hAnsi="Times New Roman"/>
          <w:sz w:val="24"/>
          <w:szCs w:val="24"/>
        </w:rPr>
        <w:t xml:space="preserve">  </w:t>
      </w:r>
    </w:p>
    <w:p w:rsidR="00CD348F" w:rsidRDefault="00CD348F" w:rsidP="002A0CD0">
      <w:pPr>
        <w:spacing w:after="0" w:line="240" w:lineRule="auto"/>
        <w:rPr>
          <w:rFonts w:ascii="Times New Roman" w:hAnsi="Times New Roman"/>
          <w:sz w:val="24"/>
          <w:szCs w:val="24"/>
        </w:rPr>
      </w:pPr>
    </w:p>
    <w:p w:rsidR="00514DCA" w:rsidRPr="00140675" w:rsidRDefault="006A29FE" w:rsidP="002A0CD0">
      <w:pPr>
        <w:spacing w:after="0" w:line="240" w:lineRule="auto"/>
        <w:rPr>
          <w:rFonts w:ascii="Times New Roman" w:hAnsi="Times New Roman"/>
          <w:sz w:val="24"/>
          <w:szCs w:val="24"/>
        </w:rPr>
      </w:pPr>
      <w:r w:rsidRPr="00BE2F21">
        <w:rPr>
          <w:rFonts w:ascii="Times New Roman" w:hAnsi="Times New Roman"/>
          <w:sz w:val="24"/>
        </w:rPr>
        <w:t xml:space="preserve">By 2012, all areas within </w:t>
      </w:r>
      <w:r>
        <w:rPr>
          <w:rFonts w:ascii="Times New Roman" w:hAnsi="Times New Roman"/>
          <w:sz w:val="24"/>
        </w:rPr>
        <w:t>Georgia</w:t>
      </w:r>
      <w:r w:rsidRPr="00BE2F21">
        <w:rPr>
          <w:rFonts w:ascii="Times New Roman" w:hAnsi="Times New Roman"/>
          <w:sz w:val="24"/>
        </w:rPr>
        <w:t xml:space="preserve"> had air quality data showing attainment of the </w:t>
      </w:r>
      <w:r w:rsidR="00A75236">
        <w:rPr>
          <w:rFonts w:ascii="Times New Roman" w:hAnsi="Times New Roman"/>
          <w:sz w:val="24"/>
        </w:rPr>
        <w:t xml:space="preserve">PM2.5 annual </w:t>
      </w:r>
      <w:r w:rsidRPr="00BE2F21">
        <w:rPr>
          <w:rFonts w:ascii="Times New Roman" w:hAnsi="Times New Roman"/>
          <w:sz w:val="24"/>
        </w:rPr>
        <w:t>standard.</w:t>
      </w:r>
      <w:r w:rsidR="00A75236">
        <w:rPr>
          <w:rFonts w:ascii="Times New Roman" w:hAnsi="Times New Roman"/>
          <w:sz w:val="24"/>
        </w:rPr>
        <w:t xml:space="preserve"> </w:t>
      </w:r>
      <w:r w:rsidRPr="00BE2F21">
        <w:rPr>
          <w:rFonts w:ascii="Times New Roman" w:hAnsi="Times New Roman"/>
          <w:sz w:val="24"/>
        </w:rPr>
        <w:t xml:space="preserve"> </w:t>
      </w:r>
      <w:r>
        <w:rPr>
          <w:rFonts w:ascii="Times New Roman" w:hAnsi="Times New Roman"/>
          <w:sz w:val="24"/>
        </w:rPr>
        <w:t>Specifically, o</w:t>
      </w:r>
      <w:r w:rsidR="00514DCA" w:rsidRPr="00ED7E20">
        <w:rPr>
          <w:rFonts w:ascii="Times New Roman" w:hAnsi="Times New Roman"/>
          <w:sz w:val="24"/>
          <w:szCs w:val="24"/>
        </w:rPr>
        <w:t xml:space="preserve">n </w:t>
      </w:r>
      <w:r w:rsidR="00AB52F3">
        <w:rPr>
          <w:rFonts w:ascii="Times New Roman" w:hAnsi="Times New Roman"/>
          <w:sz w:val="24"/>
          <w:szCs w:val="24"/>
        </w:rPr>
        <w:t>May</w:t>
      </w:r>
      <w:r w:rsidR="00514DCA" w:rsidRPr="00ED7E20">
        <w:rPr>
          <w:rFonts w:ascii="Times New Roman" w:hAnsi="Times New Roman"/>
          <w:sz w:val="24"/>
          <w:szCs w:val="24"/>
        </w:rPr>
        <w:t xml:space="preserve"> 5, 2011, </w:t>
      </w:r>
      <w:r w:rsidR="00AB52F3">
        <w:rPr>
          <w:rFonts w:ascii="Times New Roman" w:hAnsi="Times New Roman"/>
          <w:sz w:val="24"/>
          <w:szCs w:val="24"/>
        </w:rPr>
        <w:t>July 5</w:t>
      </w:r>
      <w:r w:rsidR="00514DCA" w:rsidRPr="00ED7E20">
        <w:rPr>
          <w:rFonts w:ascii="Times New Roman" w:hAnsi="Times New Roman"/>
          <w:sz w:val="24"/>
          <w:szCs w:val="24"/>
        </w:rPr>
        <w:t xml:space="preserve">, 2011, June </w:t>
      </w:r>
      <w:r w:rsidR="00AB52F3">
        <w:rPr>
          <w:rFonts w:ascii="Times New Roman" w:hAnsi="Times New Roman"/>
          <w:sz w:val="24"/>
          <w:szCs w:val="24"/>
        </w:rPr>
        <w:t>30</w:t>
      </w:r>
      <w:r w:rsidR="00514DCA" w:rsidRPr="00ED7E20">
        <w:rPr>
          <w:rFonts w:ascii="Times New Roman" w:hAnsi="Times New Roman"/>
          <w:sz w:val="24"/>
          <w:szCs w:val="24"/>
        </w:rPr>
        <w:t>, 2011,</w:t>
      </w:r>
      <w:r w:rsidR="00AB52F3">
        <w:rPr>
          <w:rFonts w:ascii="Times New Roman" w:hAnsi="Times New Roman"/>
          <w:sz w:val="24"/>
          <w:szCs w:val="24"/>
        </w:rPr>
        <w:t xml:space="preserve"> and January 9, 2012</w:t>
      </w:r>
      <w:r w:rsidR="00A75236">
        <w:rPr>
          <w:rFonts w:ascii="Times New Roman" w:hAnsi="Times New Roman"/>
          <w:sz w:val="24"/>
          <w:szCs w:val="24"/>
        </w:rPr>
        <w:t>,</w:t>
      </w:r>
      <w:r w:rsidR="00514DCA" w:rsidRPr="00ED7E20">
        <w:rPr>
          <w:rFonts w:ascii="Times New Roman" w:hAnsi="Times New Roman"/>
          <w:sz w:val="24"/>
          <w:szCs w:val="24"/>
        </w:rPr>
        <w:t xml:space="preserve"> the EPA </w:t>
      </w:r>
      <w:r w:rsidR="00AB52F3">
        <w:rPr>
          <w:rFonts w:ascii="Times New Roman" w:hAnsi="Times New Roman"/>
          <w:sz w:val="24"/>
          <w:szCs w:val="24"/>
        </w:rPr>
        <w:t>promulgated</w:t>
      </w:r>
      <w:r w:rsidR="00514DCA" w:rsidRPr="00ED7E20">
        <w:rPr>
          <w:rFonts w:ascii="Times New Roman" w:hAnsi="Times New Roman"/>
          <w:sz w:val="24"/>
          <w:szCs w:val="24"/>
        </w:rPr>
        <w:t xml:space="preserve"> final </w:t>
      </w:r>
      <w:r w:rsidR="00514DCA" w:rsidRPr="00140675">
        <w:rPr>
          <w:rFonts w:ascii="Times New Roman" w:hAnsi="Times New Roman"/>
          <w:sz w:val="24"/>
          <w:szCs w:val="24"/>
        </w:rPr>
        <w:t xml:space="preserve">determinations </w:t>
      </w:r>
      <w:r w:rsidR="00514DCA" w:rsidRPr="005C6199">
        <w:rPr>
          <w:rFonts w:ascii="Times New Roman" w:hAnsi="Times New Roman"/>
          <w:sz w:val="24"/>
          <w:szCs w:val="24"/>
        </w:rPr>
        <w:t>of clean data for</w:t>
      </w:r>
      <w:r w:rsidR="00514DCA">
        <w:rPr>
          <w:rFonts w:ascii="Times New Roman" w:hAnsi="Times New Roman"/>
          <w:sz w:val="24"/>
          <w:szCs w:val="24"/>
        </w:rPr>
        <w:t xml:space="preserve"> t</w:t>
      </w:r>
      <w:r w:rsidR="00514DCA" w:rsidRPr="00140675">
        <w:rPr>
          <w:rFonts w:ascii="Times New Roman" w:hAnsi="Times New Roman"/>
          <w:sz w:val="24"/>
          <w:szCs w:val="24"/>
        </w:rPr>
        <w:t>he Floyd County, Macon</w:t>
      </w:r>
      <w:r w:rsidR="00AB4A97">
        <w:rPr>
          <w:rFonts w:ascii="Times New Roman" w:hAnsi="Times New Roman"/>
          <w:sz w:val="24"/>
          <w:szCs w:val="24"/>
        </w:rPr>
        <w:t>,</w:t>
      </w:r>
      <w:r w:rsidR="00514DCA" w:rsidRPr="00140675">
        <w:rPr>
          <w:rFonts w:ascii="Times New Roman" w:hAnsi="Times New Roman"/>
          <w:sz w:val="24"/>
          <w:szCs w:val="24"/>
        </w:rPr>
        <w:t xml:space="preserve"> Chattanooga </w:t>
      </w:r>
      <w:r w:rsidR="00AB52F3">
        <w:rPr>
          <w:rFonts w:ascii="Times New Roman" w:hAnsi="Times New Roman"/>
          <w:sz w:val="24"/>
          <w:szCs w:val="24"/>
        </w:rPr>
        <w:t xml:space="preserve">and Atlanta </w:t>
      </w:r>
      <w:r w:rsidR="00514DCA" w:rsidRPr="00140675">
        <w:rPr>
          <w:rFonts w:ascii="Times New Roman" w:hAnsi="Times New Roman"/>
          <w:sz w:val="24"/>
          <w:szCs w:val="24"/>
        </w:rPr>
        <w:t>nonattainment areas</w:t>
      </w:r>
      <w:r w:rsidR="00CD348F">
        <w:rPr>
          <w:rFonts w:ascii="Times New Roman" w:hAnsi="Times New Roman"/>
          <w:sz w:val="24"/>
          <w:szCs w:val="24"/>
        </w:rPr>
        <w:t>, respectively,</w:t>
      </w:r>
      <w:r w:rsidR="00514DCA" w:rsidRPr="00140675">
        <w:rPr>
          <w:rFonts w:ascii="Times New Roman" w:hAnsi="Times New Roman"/>
          <w:sz w:val="24"/>
          <w:szCs w:val="24"/>
        </w:rPr>
        <w:t xml:space="preserve"> </w:t>
      </w:r>
      <w:r w:rsidR="00514DCA" w:rsidRPr="005C6199">
        <w:rPr>
          <w:rFonts w:ascii="Times New Roman" w:hAnsi="Times New Roman"/>
          <w:sz w:val="24"/>
          <w:szCs w:val="24"/>
        </w:rPr>
        <w:t>for achieving air quality that meet</w:t>
      </w:r>
      <w:r w:rsidR="00AB4A97">
        <w:rPr>
          <w:rFonts w:ascii="Times New Roman" w:hAnsi="Times New Roman"/>
          <w:sz w:val="24"/>
          <w:szCs w:val="24"/>
        </w:rPr>
        <w:t>s</w:t>
      </w:r>
      <w:r w:rsidR="00514DCA" w:rsidRPr="005C6199">
        <w:rPr>
          <w:rFonts w:ascii="Times New Roman" w:hAnsi="Times New Roman"/>
          <w:sz w:val="24"/>
          <w:szCs w:val="24"/>
        </w:rPr>
        <w:t xml:space="preserve"> </w:t>
      </w:r>
      <w:r w:rsidR="00CD348F">
        <w:rPr>
          <w:rFonts w:ascii="Times New Roman" w:hAnsi="Times New Roman"/>
          <w:sz w:val="24"/>
          <w:szCs w:val="24"/>
        </w:rPr>
        <w:t xml:space="preserve">the 1997 annual </w:t>
      </w:r>
      <w:r>
        <w:rPr>
          <w:rFonts w:ascii="Times New Roman" w:hAnsi="Times New Roman"/>
          <w:sz w:val="24"/>
          <w:szCs w:val="24"/>
        </w:rPr>
        <w:t xml:space="preserve">PM2.5 </w:t>
      </w:r>
      <w:r w:rsidR="00CD348F">
        <w:rPr>
          <w:rFonts w:ascii="Times New Roman" w:hAnsi="Times New Roman"/>
          <w:sz w:val="24"/>
          <w:szCs w:val="24"/>
        </w:rPr>
        <w:t>standard</w:t>
      </w:r>
      <w:r w:rsidR="00514DCA" w:rsidRPr="00140675">
        <w:rPr>
          <w:rFonts w:ascii="Times New Roman" w:hAnsi="Times New Roman"/>
          <w:sz w:val="24"/>
          <w:szCs w:val="24"/>
        </w:rPr>
        <w:t xml:space="preserve">. </w:t>
      </w:r>
      <w:r w:rsidR="00514DCA" w:rsidRPr="005C6199">
        <w:rPr>
          <w:rFonts w:ascii="Times New Roman" w:hAnsi="Times New Roman"/>
          <w:sz w:val="24"/>
          <w:szCs w:val="24"/>
        </w:rPr>
        <w:t>Th</w:t>
      </w:r>
      <w:r w:rsidR="00AB4A97">
        <w:rPr>
          <w:rFonts w:ascii="Times New Roman" w:hAnsi="Times New Roman"/>
          <w:sz w:val="24"/>
          <w:szCs w:val="24"/>
        </w:rPr>
        <w:t>ese</w:t>
      </w:r>
      <w:r w:rsidR="00514DCA" w:rsidRPr="005C6199">
        <w:rPr>
          <w:rFonts w:ascii="Times New Roman" w:hAnsi="Times New Roman"/>
          <w:sz w:val="24"/>
          <w:szCs w:val="24"/>
        </w:rPr>
        <w:t xml:space="preserve"> action</w:t>
      </w:r>
      <w:r w:rsidR="00AB4A97">
        <w:rPr>
          <w:rFonts w:ascii="Times New Roman" w:hAnsi="Times New Roman"/>
          <w:sz w:val="24"/>
          <w:szCs w:val="24"/>
        </w:rPr>
        <w:t>s</w:t>
      </w:r>
      <w:r w:rsidR="00514DCA" w:rsidRPr="005C6199">
        <w:rPr>
          <w:rFonts w:ascii="Times New Roman" w:hAnsi="Times New Roman"/>
          <w:sz w:val="24"/>
          <w:szCs w:val="24"/>
        </w:rPr>
        <w:t xml:space="preserve"> suspend the requirement for these </w:t>
      </w:r>
      <w:r w:rsidR="00AB4A97">
        <w:rPr>
          <w:rFonts w:ascii="Times New Roman" w:hAnsi="Times New Roman"/>
          <w:sz w:val="24"/>
          <w:szCs w:val="24"/>
        </w:rPr>
        <w:t>a</w:t>
      </w:r>
      <w:r w:rsidR="00514DCA" w:rsidRPr="005C6199">
        <w:rPr>
          <w:rFonts w:ascii="Times New Roman" w:hAnsi="Times New Roman"/>
          <w:sz w:val="24"/>
          <w:szCs w:val="24"/>
        </w:rPr>
        <w:t>reas to submit attainment demonstrations related to attainment of the 1997 annual PM2.5 NAAQS as long as th</w:t>
      </w:r>
      <w:r w:rsidR="00AB52F3">
        <w:rPr>
          <w:rFonts w:ascii="Times New Roman" w:hAnsi="Times New Roman"/>
          <w:sz w:val="24"/>
          <w:szCs w:val="24"/>
        </w:rPr>
        <w:t>e</w:t>
      </w:r>
      <w:r w:rsidR="00514DCA" w:rsidRPr="005C6199">
        <w:rPr>
          <w:rFonts w:ascii="Times New Roman" w:hAnsi="Times New Roman"/>
          <w:sz w:val="24"/>
          <w:szCs w:val="24"/>
        </w:rPr>
        <w:t xml:space="preserve"> </w:t>
      </w:r>
      <w:r w:rsidR="00AB4A97">
        <w:rPr>
          <w:rFonts w:ascii="Times New Roman" w:hAnsi="Times New Roman"/>
          <w:sz w:val="24"/>
          <w:szCs w:val="24"/>
        </w:rPr>
        <w:t>a</w:t>
      </w:r>
      <w:r w:rsidR="00514DCA" w:rsidRPr="005C6199">
        <w:rPr>
          <w:rFonts w:ascii="Times New Roman" w:hAnsi="Times New Roman"/>
          <w:sz w:val="24"/>
          <w:szCs w:val="24"/>
        </w:rPr>
        <w:t>rea</w:t>
      </w:r>
      <w:r w:rsidR="00AB52F3">
        <w:rPr>
          <w:rFonts w:ascii="Times New Roman" w:hAnsi="Times New Roman"/>
          <w:sz w:val="24"/>
          <w:szCs w:val="24"/>
        </w:rPr>
        <w:t>s</w:t>
      </w:r>
      <w:r w:rsidR="00514DCA" w:rsidRPr="005C6199">
        <w:rPr>
          <w:rFonts w:ascii="Times New Roman" w:hAnsi="Times New Roman"/>
          <w:sz w:val="24"/>
          <w:szCs w:val="24"/>
        </w:rPr>
        <w:t xml:space="preserve"> continue to meet the 1997 </w:t>
      </w:r>
      <w:r w:rsidR="00AB4A97">
        <w:rPr>
          <w:rFonts w:ascii="Times New Roman" w:hAnsi="Times New Roman"/>
          <w:sz w:val="24"/>
          <w:szCs w:val="24"/>
        </w:rPr>
        <w:t>standard</w:t>
      </w:r>
      <w:r w:rsidR="00514DCA" w:rsidRPr="005C6199">
        <w:rPr>
          <w:rFonts w:ascii="Times New Roman" w:hAnsi="Times New Roman"/>
          <w:sz w:val="24"/>
          <w:szCs w:val="24"/>
        </w:rPr>
        <w:t xml:space="preserve">.  </w:t>
      </w:r>
      <w:r w:rsidR="00EB781A">
        <w:rPr>
          <w:rFonts w:ascii="Times New Roman" w:hAnsi="Times New Roman"/>
          <w:sz w:val="24"/>
          <w:szCs w:val="24"/>
        </w:rPr>
        <w:t xml:space="preserve">Plans demonstrating how </w:t>
      </w:r>
      <w:r w:rsidR="005F7EF9">
        <w:rPr>
          <w:rFonts w:ascii="Times New Roman" w:hAnsi="Times New Roman"/>
          <w:sz w:val="24"/>
          <w:szCs w:val="24"/>
        </w:rPr>
        <w:t xml:space="preserve">each of </w:t>
      </w:r>
      <w:r w:rsidR="00514DCA" w:rsidRPr="005C6199">
        <w:rPr>
          <w:rFonts w:ascii="Times New Roman" w:hAnsi="Times New Roman"/>
          <w:sz w:val="24"/>
          <w:szCs w:val="24"/>
        </w:rPr>
        <w:t>these Areas</w:t>
      </w:r>
      <w:r w:rsidR="00EB781A">
        <w:rPr>
          <w:rFonts w:ascii="Times New Roman" w:hAnsi="Times New Roman"/>
          <w:sz w:val="24"/>
          <w:szCs w:val="24"/>
        </w:rPr>
        <w:t xml:space="preserve"> will maintain air quality that meet</w:t>
      </w:r>
      <w:r w:rsidR="00AB4A97">
        <w:rPr>
          <w:rFonts w:ascii="Times New Roman" w:hAnsi="Times New Roman"/>
          <w:sz w:val="24"/>
          <w:szCs w:val="24"/>
        </w:rPr>
        <w:t>s</w:t>
      </w:r>
      <w:r w:rsidR="00EB781A">
        <w:rPr>
          <w:rFonts w:ascii="Times New Roman" w:hAnsi="Times New Roman"/>
          <w:sz w:val="24"/>
          <w:szCs w:val="24"/>
        </w:rPr>
        <w:t xml:space="preserve"> the </w:t>
      </w:r>
      <w:r w:rsidR="00AB4A97">
        <w:rPr>
          <w:rFonts w:ascii="Times New Roman" w:hAnsi="Times New Roman"/>
          <w:sz w:val="24"/>
          <w:szCs w:val="24"/>
        </w:rPr>
        <w:t xml:space="preserve">PM2.5 </w:t>
      </w:r>
      <w:r w:rsidR="00EB781A">
        <w:rPr>
          <w:rFonts w:ascii="Times New Roman" w:hAnsi="Times New Roman"/>
          <w:sz w:val="24"/>
          <w:szCs w:val="24"/>
        </w:rPr>
        <w:t xml:space="preserve">NAAQS, </w:t>
      </w:r>
      <w:r w:rsidR="00AB4A97">
        <w:rPr>
          <w:rFonts w:ascii="Times New Roman" w:hAnsi="Times New Roman"/>
          <w:sz w:val="24"/>
          <w:szCs w:val="24"/>
        </w:rPr>
        <w:t xml:space="preserve">which </w:t>
      </w:r>
      <w:r w:rsidR="00EB781A">
        <w:rPr>
          <w:rFonts w:ascii="Times New Roman" w:hAnsi="Times New Roman"/>
          <w:sz w:val="24"/>
          <w:szCs w:val="24"/>
        </w:rPr>
        <w:t>includ</w:t>
      </w:r>
      <w:r w:rsidR="00AB4A97">
        <w:rPr>
          <w:rFonts w:ascii="Times New Roman" w:hAnsi="Times New Roman"/>
          <w:sz w:val="24"/>
          <w:szCs w:val="24"/>
        </w:rPr>
        <w:t>e</w:t>
      </w:r>
      <w:r w:rsidR="00EB781A">
        <w:rPr>
          <w:rFonts w:ascii="Times New Roman" w:hAnsi="Times New Roman"/>
          <w:sz w:val="24"/>
          <w:szCs w:val="24"/>
        </w:rPr>
        <w:t xml:space="preserve"> </w:t>
      </w:r>
      <w:r w:rsidR="00AB4A97">
        <w:rPr>
          <w:rFonts w:ascii="Times New Roman" w:hAnsi="Times New Roman"/>
          <w:sz w:val="24"/>
          <w:szCs w:val="24"/>
        </w:rPr>
        <w:t>the S</w:t>
      </w:r>
      <w:r w:rsidR="004A54AC">
        <w:rPr>
          <w:rFonts w:ascii="Times New Roman" w:hAnsi="Times New Roman"/>
          <w:sz w:val="24"/>
          <w:szCs w:val="24"/>
        </w:rPr>
        <w:t>O</w:t>
      </w:r>
      <w:r w:rsidR="004A54AC" w:rsidRPr="004A54AC">
        <w:rPr>
          <w:rFonts w:ascii="Times New Roman" w:hAnsi="Times New Roman"/>
          <w:sz w:val="24"/>
          <w:szCs w:val="24"/>
          <w:vertAlign w:val="subscript"/>
        </w:rPr>
        <w:t>2</w:t>
      </w:r>
      <w:r w:rsidR="00AB4A97">
        <w:rPr>
          <w:rFonts w:ascii="Times New Roman" w:hAnsi="Times New Roman"/>
          <w:sz w:val="24"/>
          <w:szCs w:val="24"/>
        </w:rPr>
        <w:t xml:space="preserve"> reductions required by </w:t>
      </w:r>
      <w:r w:rsidR="00EB781A">
        <w:rPr>
          <w:rFonts w:ascii="Times New Roman" w:hAnsi="Times New Roman"/>
          <w:sz w:val="24"/>
          <w:szCs w:val="24"/>
        </w:rPr>
        <w:t>Rule (uuu),</w:t>
      </w:r>
      <w:r w:rsidR="00514DCA" w:rsidRPr="005C6199">
        <w:rPr>
          <w:rFonts w:ascii="Times New Roman" w:hAnsi="Times New Roman"/>
          <w:sz w:val="24"/>
          <w:szCs w:val="24"/>
        </w:rPr>
        <w:t xml:space="preserve"> have been submitted by Georgia EPD to EPA.</w:t>
      </w:r>
      <w:r w:rsidR="00EB781A">
        <w:rPr>
          <w:rFonts w:ascii="Times New Roman" w:hAnsi="Times New Roman"/>
          <w:sz w:val="24"/>
          <w:szCs w:val="24"/>
        </w:rPr>
        <w:t xml:space="preserve">  EPA</w:t>
      </w:r>
      <w:r w:rsidR="00AB4A97">
        <w:rPr>
          <w:rFonts w:ascii="Times New Roman" w:hAnsi="Times New Roman"/>
          <w:sz w:val="24"/>
          <w:szCs w:val="24"/>
        </w:rPr>
        <w:t>’s</w:t>
      </w:r>
      <w:r w:rsidR="00EB781A">
        <w:rPr>
          <w:rFonts w:ascii="Times New Roman" w:hAnsi="Times New Roman"/>
          <w:sz w:val="24"/>
          <w:szCs w:val="24"/>
        </w:rPr>
        <w:t xml:space="preserve"> approval of these plans is required before the areas are officially redesignated as attainment</w:t>
      </w:r>
      <w:r w:rsidR="00AB4A97">
        <w:rPr>
          <w:rFonts w:ascii="Times New Roman" w:hAnsi="Times New Roman"/>
          <w:sz w:val="24"/>
          <w:szCs w:val="24"/>
        </w:rPr>
        <w:t>, however</w:t>
      </w:r>
      <w:r w:rsidR="00EB781A">
        <w:rPr>
          <w:rFonts w:ascii="Times New Roman" w:hAnsi="Times New Roman"/>
          <w:sz w:val="24"/>
          <w:szCs w:val="24"/>
        </w:rPr>
        <w:t>.</w:t>
      </w:r>
      <w:r w:rsidR="00514DCA" w:rsidRPr="00140675">
        <w:rPr>
          <w:rFonts w:ascii="Times New Roman" w:hAnsi="Times New Roman"/>
          <w:sz w:val="24"/>
          <w:szCs w:val="24"/>
        </w:rPr>
        <w:t xml:space="preserve"> </w:t>
      </w:r>
    </w:p>
    <w:p w:rsidR="005B05D3" w:rsidRPr="005B05D3" w:rsidRDefault="005B05D3" w:rsidP="002A0CD0">
      <w:pPr>
        <w:spacing w:after="0" w:line="240" w:lineRule="auto"/>
        <w:rPr>
          <w:rFonts w:ascii="Times New Roman" w:hAnsi="Times New Roman"/>
          <w:sz w:val="24"/>
        </w:rPr>
      </w:pPr>
    </w:p>
    <w:p w:rsidR="005B05D3" w:rsidRDefault="00BE2F21" w:rsidP="002A0CD0">
      <w:pPr>
        <w:spacing w:after="0" w:line="240" w:lineRule="auto"/>
        <w:rPr>
          <w:rFonts w:ascii="Times New Roman" w:hAnsi="Times New Roman"/>
          <w:sz w:val="24"/>
          <w:szCs w:val="24"/>
        </w:rPr>
      </w:pPr>
      <w:r w:rsidRPr="00BE2F21">
        <w:rPr>
          <w:rFonts w:ascii="Times New Roman" w:hAnsi="Times New Roman"/>
          <w:sz w:val="24"/>
        </w:rPr>
        <w:t xml:space="preserve">In September 2006, the EPA published a final rule which retained the annual PM2.5 standard </w:t>
      </w:r>
      <w:r w:rsidR="00A75236">
        <w:rPr>
          <w:rFonts w:ascii="Times New Roman" w:hAnsi="Times New Roman"/>
          <w:sz w:val="24"/>
        </w:rPr>
        <w:br/>
      </w:r>
      <w:r w:rsidRPr="00BE2F21">
        <w:rPr>
          <w:rFonts w:ascii="Times New Roman" w:hAnsi="Times New Roman"/>
          <w:sz w:val="24"/>
        </w:rPr>
        <w:t>(15 µg/m</w:t>
      </w:r>
      <w:r w:rsidRPr="00BE2F21">
        <w:rPr>
          <w:rFonts w:ascii="Times New Roman" w:hAnsi="Times New Roman"/>
          <w:sz w:val="24"/>
          <w:vertAlign w:val="superscript"/>
        </w:rPr>
        <w:t>3</w:t>
      </w:r>
      <w:r w:rsidRPr="00BE2F21">
        <w:rPr>
          <w:rFonts w:ascii="Times New Roman" w:hAnsi="Times New Roman"/>
          <w:sz w:val="24"/>
        </w:rPr>
        <w:t xml:space="preserve">), but increased the stringency of the 24-hour PM2.5 air quality standard from </w:t>
      </w:r>
      <w:r w:rsidR="00A75236">
        <w:rPr>
          <w:rFonts w:ascii="Times New Roman" w:hAnsi="Times New Roman"/>
          <w:sz w:val="24"/>
        </w:rPr>
        <w:br/>
      </w:r>
      <w:r w:rsidRPr="00BE2F21">
        <w:rPr>
          <w:rFonts w:ascii="Times New Roman" w:hAnsi="Times New Roman"/>
          <w:sz w:val="24"/>
        </w:rPr>
        <w:t>65 µg/m</w:t>
      </w:r>
      <w:r w:rsidRPr="00BE2F21">
        <w:rPr>
          <w:rFonts w:ascii="Times New Roman" w:hAnsi="Times New Roman"/>
          <w:sz w:val="24"/>
          <w:vertAlign w:val="superscript"/>
        </w:rPr>
        <w:t>3</w:t>
      </w:r>
      <w:r w:rsidRPr="00BE2F21">
        <w:rPr>
          <w:rFonts w:ascii="Times New Roman" w:hAnsi="Times New Roman"/>
          <w:sz w:val="24"/>
        </w:rPr>
        <w:t xml:space="preserve"> to 35 µg/m</w:t>
      </w:r>
      <w:r w:rsidRPr="00BE2F21">
        <w:rPr>
          <w:rFonts w:ascii="Times New Roman" w:hAnsi="Times New Roman"/>
          <w:sz w:val="24"/>
          <w:vertAlign w:val="superscript"/>
        </w:rPr>
        <w:t>3</w:t>
      </w:r>
      <w:r w:rsidRPr="00BE2F21">
        <w:rPr>
          <w:rFonts w:ascii="Times New Roman" w:hAnsi="Times New Roman"/>
          <w:sz w:val="24"/>
        </w:rPr>
        <w:t xml:space="preserve">. </w:t>
      </w:r>
      <w:r w:rsidR="00EC35B8" w:rsidRPr="00EC35B8">
        <w:rPr>
          <w:rFonts w:ascii="Times New Roman" w:hAnsi="Times New Roman"/>
          <w:sz w:val="24"/>
        </w:rPr>
        <w:t xml:space="preserve">All parts of Georgia were found to meet or be in compliance with </w:t>
      </w:r>
      <w:r w:rsidR="00514DCA">
        <w:rPr>
          <w:rFonts w:ascii="Times New Roman" w:hAnsi="Times New Roman"/>
          <w:sz w:val="24"/>
          <w:szCs w:val="24"/>
        </w:rPr>
        <w:t>the 2006 24-hour fine particulate matter standard.</w:t>
      </w:r>
      <w:r w:rsidR="005A6C66">
        <w:rPr>
          <w:rFonts w:ascii="Times New Roman" w:hAnsi="Times New Roman"/>
          <w:sz w:val="24"/>
          <w:szCs w:val="24"/>
        </w:rPr>
        <w:t xml:space="preserve">  The Georgia EPD still has obligations under the 24-hour PM2.5 standard, however, to address interstate transport of emissions, </w:t>
      </w:r>
      <w:r w:rsidR="005A6C66" w:rsidRPr="005A6C66">
        <w:rPr>
          <w:rFonts w:ascii="Times New Roman" w:hAnsi="Times New Roman"/>
          <w:i/>
          <w:sz w:val="24"/>
          <w:szCs w:val="24"/>
        </w:rPr>
        <w:t>i.e.</w:t>
      </w:r>
      <w:r w:rsidR="005A6C66">
        <w:rPr>
          <w:rFonts w:ascii="Times New Roman" w:hAnsi="Times New Roman"/>
          <w:sz w:val="24"/>
          <w:szCs w:val="24"/>
        </w:rPr>
        <w:t xml:space="preserve"> emissions from Georgia that may contribute to nonattainment in other states.</w:t>
      </w:r>
      <w:r w:rsidR="00514DCA">
        <w:rPr>
          <w:rFonts w:ascii="Times New Roman" w:hAnsi="Times New Roman"/>
          <w:sz w:val="24"/>
          <w:szCs w:val="24"/>
        </w:rPr>
        <w:t xml:space="preserve">  </w:t>
      </w:r>
      <w:r w:rsidR="005A6C66">
        <w:rPr>
          <w:rFonts w:ascii="Times New Roman" w:hAnsi="Times New Roman"/>
          <w:sz w:val="24"/>
          <w:szCs w:val="24"/>
        </w:rPr>
        <w:t xml:space="preserve">The Cross State Air Pollution Rule (CSAPR) discussed </w:t>
      </w:r>
      <w:r w:rsidR="00CD348F">
        <w:rPr>
          <w:rFonts w:ascii="Times New Roman" w:hAnsi="Times New Roman"/>
          <w:sz w:val="24"/>
          <w:szCs w:val="24"/>
        </w:rPr>
        <w:t>in Section 2.5</w:t>
      </w:r>
      <w:r w:rsidR="005A6C66">
        <w:rPr>
          <w:rFonts w:ascii="Times New Roman" w:hAnsi="Times New Roman"/>
          <w:sz w:val="24"/>
          <w:szCs w:val="24"/>
        </w:rPr>
        <w:t xml:space="preserve"> was </w:t>
      </w:r>
      <w:r w:rsidR="00EC35B8">
        <w:rPr>
          <w:rFonts w:ascii="Times New Roman" w:hAnsi="Times New Roman"/>
          <w:sz w:val="24"/>
          <w:szCs w:val="24"/>
        </w:rPr>
        <w:t xml:space="preserve">intended </w:t>
      </w:r>
      <w:r w:rsidR="005A6C66">
        <w:rPr>
          <w:rFonts w:ascii="Times New Roman" w:hAnsi="Times New Roman"/>
          <w:sz w:val="24"/>
          <w:szCs w:val="24"/>
        </w:rPr>
        <w:t>to address interstate transport of emissions from Georgia and other states</w:t>
      </w:r>
      <w:r w:rsidR="006A29FE">
        <w:rPr>
          <w:rFonts w:ascii="Times New Roman" w:hAnsi="Times New Roman"/>
          <w:sz w:val="24"/>
          <w:szCs w:val="24"/>
        </w:rPr>
        <w:t xml:space="preserve"> for the PM2.5 standards</w:t>
      </w:r>
      <w:r w:rsidR="005A6C66">
        <w:rPr>
          <w:rFonts w:ascii="Times New Roman" w:hAnsi="Times New Roman"/>
          <w:sz w:val="24"/>
          <w:szCs w:val="24"/>
        </w:rPr>
        <w:t xml:space="preserve">.  With the vacatur of CSAPR, how affected states will address these requirements under the Clean Air Act remains to be seen. </w:t>
      </w:r>
      <w:r w:rsidR="00514DCA">
        <w:rPr>
          <w:rFonts w:ascii="Times New Roman" w:hAnsi="Times New Roman"/>
          <w:sz w:val="24"/>
          <w:szCs w:val="24"/>
        </w:rPr>
        <w:t xml:space="preserve">   </w:t>
      </w:r>
    </w:p>
    <w:p w:rsidR="00FC67F9" w:rsidRDefault="00FC67F9" w:rsidP="002A0CD0">
      <w:pPr>
        <w:spacing w:after="0" w:line="240" w:lineRule="auto"/>
        <w:rPr>
          <w:rFonts w:ascii="Arial" w:hAnsi="Arial" w:cs="Arial"/>
          <w:b/>
          <w:bCs/>
          <w:color w:val="000080"/>
        </w:rPr>
      </w:pPr>
    </w:p>
    <w:p w:rsidR="008F5CBE" w:rsidRDefault="00EB781A" w:rsidP="002A0CD0">
      <w:pPr>
        <w:spacing w:after="0" w:line="240" w:lineRule="auto"/>
        <w:rPr>
          <w:rFonts w:ascii="Times New Roman" w:hAnsi="Times New Roman"/>
          <w:sz w:val="24"/>
          <w:szCs w:val="24"/>
        </w:rPr>
      </w:pPr>
      <w:r>
        <w:rPr>
          <w:rFonts w:ascii="Times New Roman" w:hAnsi="Times New Roman"/>
          <w:sz w:val="24"/>
          <w:szCs w:val="24"/>
        </w:rPr>
        <w:t xml:space="preserve">In addition to the existing 1997 and 2006 standards, EPA </w:t>
      </w:r>
      <w:r w:rsidR="00292541">
        <w:rPr>
          <w:rFonts w:ascii="Times New Roman" w:hAnsi="Times New Roman"/>
          <w:sz w:val="24"/>
          <w:szCs w:val="24"/>
        </w:rPr>
        <w:t>recently completed its</w:t>
      </w:r>
      <w:r>
        <w:rPr>
          <w:rFonts w:ascii="Times New Roman" w:hAnsi="Times New Roman"/>
          <w:sz w:val="24"/>
          <w:szCs w:val="24"/>
        </w:rPr>
        <w:t xml:space="preserve"> five-year review of the particulate NAAQS.  </w:t>
      </w:r>
      <w:r w:rsidR="00555788" w:rsidRPr="00555788">
        <w:rPr>
          <w:rFonts w:ascii="Times New Roman" w:hAnsi="Times New Roman"/>
          <w:sz w:val="24"/>
          <w:szCs w:val="24"/>
        </w:rPr>
        <w:t xml:space="preserve">Despite EPA’s </w:t>
      </w:r>
      <w:r w:rsidR="00A75236">
        <w:rPr>
          <w:rFonts w:ascii="Times New Roman" w:hAnsi="Times New Roman"/>
          <w:sz w:val="24"/>
          <w:szCs w:val="24"/>
        </w:rPr>
        <w:t xml:space="preserve">stated </w:t>
      </w:r>
      <w:r w:rsidR="00555788" w:rsidRPr="00555788">
        <w:rPr>
          <w:rFonts w:ascii="Times New Roman" w:hAnsi="Times New Roman"/>
          <w:sz w:val="24"/>
          <w:szCs w:val="24"/>
        </w:rPr>
        <w:t xml:space="preserve">plans to issue a proposed revision to the PM2.5 NAAQS in August 2012 and a final rule in August 2013, a recent court order required EPA to expedite its </w:t>
      </w:r>
      <w:r w:rsidR="00292541">
        <w:rPr>
          <w:rFonts w:ascii="Times New Roman" w:hAnsi="Times New Roman"/>
          <w:sz w:val="24"/>
          <w:szCs w:val="24"/>
        </w:rPr>
        <w:t>rulemaking</w:t>
      </w:r>
      <w:r w:rsidR="00555788" w:rsidRPr="00555788">
        <w:rPr>
          <w:rFonts w:ascii="Times New Roman" w:hAnsi="Times New Roman"/>
          <w:sz w:val="24"/>
          <w:szCs w:val="24"/>
        </w:rPr>
        <w:t>. As ordered, on June 14, 2012</w:t>
      </w:r>
      <w:r w:rsidR="00AB52F3">
        <w:rPr>
          <w:rFonts w:ascii="Times New Roman" w:hAnsi="Times New Roman"/>
          <w:sz w:val="24"/>
          <w:szCs w:val="24"/>
        </w:rPr>
        <w:t>,</w:t>
      </w:r>
      <w:r w:rsidR="00555788" w:rsidRPr="00555788">
        <w:rPr>
          <w:rFonts w:ascii="Times New Roman" w:hAnsi="Times New Roman"/>
          <w:sz w:val="24"/>
          <w:szCs w:val="24"/>
        </w:rPr>
        <w:t xml:space="preserve"> EPA </w:t>
      </w:r>
      <w:r w:rsidR="00AB52F3">
        <w:rPr>
          <w:rFonts w:ascii="Times New Roman" w:hAnsi="Times New Roman"/>
          <w:sz w:val="24"/>
          <w:szCs w:val="24"/>
        </w:rPr>
        <w:t xml:space="preserve">issued a </w:t>
      </w:r>
      <w:r w:rsidR="00555788" w:rsidRPr="00555788">
        <w:rPr>
          <w:rFonts w:ascii="Times New Roman" w:hAnsi="Times New Roman"/>
          <w:sz w:val="24"/>
          <w:szCs w:val="24"/>
        </w:rPr>
        <w:t xml:space="preserve">proposed </w:t>
      </w:r>
      <w:r w:rsidR="00AB52F3">
        <w:rPr>
          <w:rFonts w:ascii="Times New Roman" w:hAnsi="Times New Roman"/>
          <w:sz w:val="24"/>
          <w:szCs w:val="24"/>
        </w:rPr>
        <w:t xml:space="preserve">rule that </w:t>
      </w:r>
      <w:r w:rsidR="001C4316">
        <w:rPr>
          <w:rFonts w:ascii="Times New Roman" w:hAnsi="Times New Roman"/>
          <w:sz w:val="24"/>
          <w:szCs w:val="24"/>
        </w:rPr>
        <w:t xml:space="preserve">would </w:t>
      </w:r>
      <w:r w:rsidR="001C4316" w:rsidRPr="00555788">
        <w:rPr>
          <w:rFonts w:ascii="Times New Roman" w:hAnsi="Times New Roman"/>
          <w:sz w:val="24"/>
          <w:szCs w:val="24"/>
        </w:rPr>
        <w:t>increase</w:t>
      </w:r>
      <w:r w:rsidR="00555788" w:rsidRPr="00555788">
        <w:rPr>
          <w:rFonts w:ascii="Times New Roman" w:hAnsi="Times New Roman"/>
          <w:sz w:val="24"/>
          <w:szCs w:val="24"/>
        </w:rPr>
        <w:t xml:space="preserve"> the stringency of the primary NAAQS </w:t>
      </w:r>
      <w:r w:rsidR="00AB52F3">
        <w:rPr>
          <w:rFonts w:ascii="Times New Roman" w:hAnsi="Times New Roman"/>
          <w:sz w:val="24"/>
          <w:szCs w:val="24"/>
        </w:rPr>
        <w:t>by</w:t>
      </w:r>
      <w:r w:rsidR="00555788" w:rsidRPr="00555788">
        <w:rPr>
          <w:rFonts w:ascii="Times New Roman" w:hAnsi="Times New Roman"/>
          <w:sz w:val="24"/>
          <w:szCs w:val="24"/>
        </w:rPr>
        <w:t xml:space="preserve"> lower</w:t>
      </w:r>
      <w:r w:rsidR="00AB52F3">
        <w:rPr>
          <w:rFonts w:ascii="Times New Roman" w:hAnsi="Times New Roman"/>
          <w:sz w:val="24"/>
          <w:szCs w:val="24"/>
        </w:rPr>
        <w:t>ing</w:t>
      </w:r>
      <w:r w:rsidR="00555788" w:rsidRPr="00555788">
        <w:rPr>
          <w:rFonts w:ascii="Times New Roman" w:hAnsi="Times New Roman"/>
          <w:sz w:val="24"/>
          <w:szCs w:val="24"/>
        </w:rPr>
        <w:t xml:space="preserve"> the annual PM2.5 standard </w:t>
      </w:r>
      <w:r w:rsidR="00CE46F6">
        <w:rPr>
          <w:rFonts w:ascii="Times New Roman" w:hAnsi="Times New Roman"/>
          <w:sz w:val="24"/>
          <w:szCs w:val="24"/>
        </w:rPr>
        <w:t xml:space="preserve">in the range </w:t>
      </w:r>
      <w:proofErr w:type="gramStart"/>
      <w:r w:rsidR="00CE46F6">
        <w:rPr>
          <w:rFonts w:ascii="Times New Roman" w:hAnsi="Times New Roman"/>
          <w:sz w:val="24"/>
          <w:szCs w:val="24"/>
        </w:rPr>
        <w:t>of</w:t>
      </w:r>
      <w:r w:rsidR="00555788" w:rsidRPr="00555788">
        <w:rPr>
          <w:rFonts w:ascii="Times New Roman" w:hAnsi="Times New Roman"/>
          <w:sz w:val="24"/>
          <w:szCs w:val="24"/>
        </w:rPr>
        <w:t xml:space="preserve"> 12</w:t>
      </w:r>
      <w:r w:rsidR="00CE46F6">
        <w:rPr>
          <w:rFonts w:ascii="Times New Roman" w:hAnsi="Times New Roman"/>
          <w:sz w:val="24"/>
          <w:szCs w:val="24"/>
        </w:rPr>
        <w:t xml:space="preserve"> to 13</w:t>
      </w:r>
      <w:r w:rsidR="00555788" w:rsidRPr="00555788">
        <w:rPr>
          <w:rFonts w:ascii="Times New Roman" w:hAnsi="Times New Roman"/>
          <w:sz w:val="24"/>
          <w:szCs w:val="24"/>
        </w:rPr>
        <w:t xml:space="preserve"> µg/m</w:t>
      </w:r>
      <w:r w:rsidR="00555788" w:rsidRPr="00555788">
        <w:rPr>
          <w:rFonts w:ascii="Times New Roman" w:hAnsi="Times New Roman"/>
          <w:sz w:val="24"/>
          <w:szCs w:val="24"/>
          <w:vertAlign w:val="superscript"/>
        </w:rPr>
        <w:t>3</w:t>
      </w:r>
      <w:proofErr w:type="gramEnd"/>
      <w:r w:rsidR="00555788" w:rsidRPr="00555788">
        <w:rPr>
          <w:rFonts w:ascii="Times New Roman" w:hAnsi="Times New Roman"/>
          <w:sz w:val="24"/>
          <w:szCs w:val="24"/>
        </w:rPr>
        <w:t xml:space="preserve">. </w:t>
      </w:r>
      <w:r w:rsidR="00E87DFB">
        <w:rPr>
          <w:rFonts w:ascii="Times New Roman" w:hAnsi="Times New Roman"/>
          <w:sz w:val="24"/>
          <w:szCs w:val="24"/>
        </w:rPr>
        <w:t xml:space="preserve"> EPA </w:t>
      </w:r>
      <w:r w:rsidR="006A29FE">
        <w:rPr>
          <w:rFonts w:ascii="Times New Roman" w:hAnsi="Times New Roman"/>
          <w:sz w:val="24"/>
          <w:szCs w:val="24"/>
        </w:rPr>
        <w:t>announced</w:t>
      </w:r>
      <w:r w:rsidR="00E87DFB">
        <w:rPr>
          <w:rFonts w:ascii="Times New Roman" w:hAnsi="Times New Roman"/>
          <w:sz w:val="24"/>
          <w:szCs w:val="24"/>
        </w:rPr>
        <w:t xml:space="preserve"> the final PM2.5 revised standard on December 14, 2012, as agreed to in a settlement filed with the court.  The final rule lowers the annual standard </w:t>
      </w:r>
      <w:proofErr w:type="gramStart"/>
      <w:r w:rsidR="00E87DFB">
        <w:rPr>
          <w:rFonts w:ascii="Times New Roman" w:hAnsi="Times New Roman"/>
          <w:sz w:val="24"/>
          <w:szCs w:val="24"/>
        </w:rPr>
        <w:t>to 12</w:t>
      </w:r>
      <w:r w:rsidR="00E87DFB" w:rsidRPr="00E87DFB">
        <w:rPr>
          <w:rFonts w:ascii="Times New Roman" w:hAnsi="Times New Roman"/>
          <w:sz w:val="24"/>
          <w:szCs w:val="24"/>
        </w:rPr>
        <w:t xml:space="preserve"> </w:t>
      </w:r>
      <w:r w:rsidR="00E87DFB" w:rsidRPr="00555788">
        <w:rPr>
          <w:rFonts w:ascii="Times New Roman" w:hAnsi="Times New Roman"/>
          <w:sz w:val="24"/>
          <w:szCs w:val="24"/>
        </w:rPr>
        <w:t>µg/m</w:t>
      </w:r>
      <w:r w:rsidR="00E87DFB" w:rsidRPr="00555788">
        <w:rPr>
          <w:rFonts w:ascii="Times New Roman" w:hAnsi="Times New Roman"/>
          <w:sz w:val="24"/>
          <w:szCs w:val="24"/>
          <w:vertAlign w:val="superscript"/>
        </w:rPr>
        <w:t>3</w:t>
      </w:r>
      <w:proofErr w:type="gramEnd"/>
      <w:r w:rsidR="00E87DFB">
        <w:rPr>
          <w:rFonts w:ascii="Times New Roman" w:hAnsi="Times New Roman"/>
          <w:sz w:val="24"/>
          <w:szCs w:val="24"/>
          <w:vertAlign w:val="subscript"/>
        </w:rPr>
        <w:t xml:space="preserve"> </w:t>
      </w:r>
      <w:r w:rsidR="00E87DFB">
        <w:rPr>
          <w:rFonts w:ascii="Times New Roman" w:hAnsi="Times New Roman"/>
          <w:sz w:val="24"/>
          <w:szCs w:val="24"/>
        </w:rPr>
        <w:t>and could result in new areas within Georgia being designated as nonattainment.</w:t>
      </w:r>
      <w:r w:rsidR="00555788" w:rsidRPr="00555788">
        <w:rPr>
          <w:rFonts w:ascii="Times New Roman" w:hAnsi="Times New Roman"/>
          <w:sz w:val="24"/>
          <w:szCs w:val="24"/>
        </w:rPr>
        <w:t xml:space="preserve">  The map below (Fig. 2.3-2) illustrates potential nonattainment areas </w:t>
      </w:r>
      <w:r w:rsidR="00F30E62">
        <w:rPr>
          <w:rFonts w:ascii="Times New Roman" w:hAnsi="Times New Roman"/>
          <w:sz w:val="24"/>
          <w:szCs w:val="24"/>
        </w:rPr>
        <w:t xml:space="preserve">in and around Georgia </w:t>
      </w:r>
      <w:r w:rsidR="00555788" w:rsidRPr="00555788">
        <w:rPr>
          <w:rFonts w:ascii="Times New Roman" w:hAnsi="Times New Roman"/>
          <w:sz w:val="24"/>
          <w:szCs w:val="24"/>
        </w:rPr>
        <w:t xml:space="preserve">based on the revision to the </w:t>
      </w:r>
      <w:r w:rsidR="00E87DFB">
        <w:rPr>
          <w:rFonts w:ascii="Times New Roman" w:hAnsi="Times New Roman"/>
          <w:sz w:val="24"/>
          <w:szCs w:val="24"/>
        </w:rPr>
        <w:t>annual PM2.5</w:t>
      </w:r>
      <w:r w:rsidR="00555788" w:rsidRPr="00555788">
        <w:rPr>
          <w:rFonts w:ascii="Times New Roman" w:hAnsi="Times New Roman"/>
          <w:sz w:val="24"/>
          <w:szCs w:val="24"/>
        </w:rPr>
        <w:t xml:space="preserve"> standards</w:t>
      </w:r>
      <w:r w:rsidR="006E444E">
        <w:rPr>
          <w:rFonts w:ascii="Times New Roman" w:hAnsi="Times New Roman"/>
          <w:sz w:val="24"/>
          <w:szCs w:val="24"/>
        </w:rPr>
        <w:t xml:space="preserve"> and recent air quality monitoring data</w:t>
      </w:r>
      <w:r w:rsidR="00555788" w:rsidRPr="00555788">
        <w:rPr>
          <w:rFonts w:ascii="Times New Roman" w:hAnsi="Times New Roman"/>
          <w:sz w:val="24"/>
          <w:szCs w:val="24"/>
        </w:rPr>
        <w:t>.</w:t>
      </w:r>
      <w:r w:rsidR="00EC35B8">
        <w:rPr>
          <w:rFonts w:ascii="Times New Roman" w:hAnsi="Times New Roman"/>
          <w:sz w:val="24"/>
          <w:szCs w:val="24"/>
        </w:rPr>
        <w:t xml:space="preserve">  </w:t>
      </w:r>
      <w:r w:rsidR="00A75236">
        <w:rPr>
          <w:rFonts w:ascii="Times New Roman" w:hAnsi="Times New Roman"/>
          <w:sz w:val="24"/>
          <w:szCs w:val="24"/>
        </w:rPr>
        <w:t>T</w:t>
      </w:r>
      <w:r w:rsidR="00EC35B8" w:rsidRPr="00EC35B8">
        <w:rPr>
          <w:rFonts w:ascii="Times New Roman" w:hAnsi="Times New Roman"/>
          <w:sz w:val="24"/>
          <w:szCs w:val="24"/>
        </w:rPr>
        <w:t xml:space="preserve">he process of the state </w:t>
      </w:r>
      <w:r w:rsidR="00EC35B8">
        <w:rPr>
          <w:rFonts w:ascii="Times New Roman" w:hAnsi="Times New Roman"/>
          <w:sz w:val="24"/>
          <w:szCs w:val="24"/>
        </w:rPr>
        <w:t xml:space="preserve">proposing </w:t>
      </w:r>
      <w:r w:rsidR="00EC35B8" w:rsidRPr="00EC35B8">
        <w:rPr>
          <w:rFonts w:ascii="Times New Roman" w:hAnsi="Times New Roman"/>
          <w:sz w:val="24"/>
          <w:szCs w:val="24"/>
        </w:rPr>
        <w:t xml:space="preserve">the actual counties </w:t>
      </w:r>
      <w:r w:rsidR="00EC35B8">
        <w:rPr>
          <w:rFonts w:ascii="Times New Roman" w:hAnsi="Times New Roman"/>
          <w:sz w:val="24"/>
          <w:szCs w:val="24"/>
        </w:rPr>
        <w:t xml:space="preserve">to be designated nonattainment </w:t>
      </w:r>
      <w:r w:rsidR="00EC35B8" w:rsidRPr="00EC35B8">
        <w:rPr>
          <w:rFonts w:ascii="Times New Roman" w:hAnsi="Times New Roman"/>
          <w:sz w:val="24"/>
          <w:szCs w:val="24"/>
        </w:rPr>
        <w:t xml:space="preserve">and EPA making the final nonattainment </w:t>
      </w:r>
      <w:r w:rsidR="00EC35B8">
        <w:rPr>
          <w:rFonts w:ascii="Times New Roman" w:hAnsi="Times New Roman"/>
          <w:sz w:val="24"/>
          <w:szCs w:val="24"/>
        </w:rPr>
        <w:t>designations is not expected to be completed until early 2015</w:t>
      </w:r>
      <w:r w:rsidR="00EC35B8" w:rsidRPr="00EC35B8">
        <w:rPr>
          <w:rFonts w:ascii="Times New Roman" w:hAnsi="Times New Roman"/>
          <w:sz w:val="24"/>
          <w:szCs w:val="24"/>
        </w:rPr>
        <w:t>.</w:t>
      </w:r>
    </w:p>
    <w:p w:rsidR="00FC67F9" w:rsidRDefault="00E377C9" w:rsidP="002A0CD0">
      <w:pPr>
        <w:spacing w:after="0" w:line="240" w:lineRule="auto"/>
        <w:jc w:val="center"/>
        <w:rPr>
          <w:rFonts w:ascii="Arial" w:hAnsi="Arial" w:cs="Arial"/>
          <w:b/>
          <w:bCs/>
          <w:color w:val="000080"/>
        </w:rPr>
      </w:pPr>
      <w:r>
        <w:rPr>
          <w:rFonts w:ascii="Arial" w:hAnsi="Arial" w:cs="Arial"/>
          <w:b/>
          <w:bCs/>
          <w:noProof/>
          <w:color w:val="000080"/>
        </w:rPr>
        <w:drawing>
          <wp:inline distT="0" distB="0" distL="0" distR="0">
            <wp:extent cx="3797300" cy="2847976"/>
            <wp:effectExtent l="19050" t="0" r="0" b="0"/>
            <wp:docPr id="1" name="Picture 0" descr="NAA_Ann_PM25_2012-NAAQS_2011_dv_noplants_20121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A_Ann_PM25_2012-NAAQS_2011_dv_noplants_20121214.png"/>
                    <pic:cNvPicPr/>
                  </pic:nvPicPr>
                  <pic:blipFill>
                    <a:blip r:embed="rId23" cstate="print"/>
                    <a:stretch>
                      <a:fillRect/>
                    </a:stretch>
                  </pic:blipFill>
                  <pic:spPr>
                    <a:xfrm>
                      <a:off x="0" y="0"/>
                      <a:ext cx="3797065" cy="2847800"/>
                    </a:xfrm>
                    <a:prstGeom prst="rect">
                      <a:avLst/>
                    </a:prstGeom>
                  </pic:spPr>
                </pic:pic>
              </a:graphicData>
            </a:graphic>
          </wp:inline>
        </w:drawing>
      </w:r>
    </w:p>
    <w:p w:rsidR="00F30E62" w:rsidRPr="00ED7E20" w:rsidRDefault="00F30E62" w:rsidP="002A0CD0">
      <w:pPr>
        <w:spacing w:after="0" w:line="240" w:lineRule="auto"/>
        <w:jc w:val="center"/>
        <w:rPr>
          <w:rFonts w:ascii="Arial" w:hAnsi="Arial" w:cs="Arial"/>
          <w:b/>
          <w:bCs/>
          <w:color w:val="000080"/>
        </w:rPr>
      </w:pPr>
    </w:p>
    <w:p w:rsidR="00657780" w:rsidRPr="00FB4220" w:rsidRDefault="00657780" w:rsidP="002A0CD0">
      <w:pPr>
        <w:pStyle w:val="Caption"/>
        <w:jc w:val="center"/>
        <w:rPr>
          <w:noProof/>
          <w:sz w:val="24"/>
          <w:szCs w:val="24"/>
        </w:rPr>
      </w:pPr>
      <w:r>
        <w:t xml:space="preserve">Figure 2.3-2 </w:t>
      </w:r>
      <w:r w:rsidR="00F30E62">
        <w:t xml:space="preserve">Potential </w:t>
      </w:r>
      <w:r>
        <w:t xml:space="preserve">Nonattainment Areas for </w:t>
      </w:r>
      <w:r w:rsidR="00F30E62">
        <w:t xml:space="preserve">Revision to </w:t>
      </w:r>
      <w:r>
        <w:t>PM</w:t>
      </w:r>
      <w:r w:rsidRPr="008D5E85">
        <w:rPr>
          <w:vertAlign w:val="subscript"/>
        </w:rPr>
        <w:t>2.5</w:t>
      </w:r>
      <w:r>
        <w:t xml:space="preserve"> NAAQS</w:t>
      </w:r>
      <w:r w:rsidR="00F30E62">
        <w:t xml:space="preserve"> </w:t>
      </w:r>
      <w:proofErr w:type="gramStart"/>
      <w:r w:rsidR="00E87DFB">
        <w:t xml:space="preserve">at </w:t>
      </w:r>
      <w:r w:rsidR="00E87DFB" w:rsidRPr="00E87DFB">
        <w:t>12 µg/m</w:t>
      </w:r>
      <w:r w:rsidR="00480F8A" w:rsidRPr="00480F8A">
        <w:rPr>
          <w:vertAlign w:val="superscript"/>
        </w:rPr>
        <w:t>3</w:t>
      </w:r>
      <w:proofErr w:type="gramEnd"/>
      <w:r w:rsidR="00E87DFB">
        <w:t xml:space="preserve"> </w:t>
      </w:r>
      <w:r w:rsidR="00F30E62">
        <w:t>in and around Georgia</w:t>
      </w:r>
    </w:p>
    <w:p w:rsidR="00FC67F9" w:rsidRPr="00ED7E20" w:rsidRDefault="00FC67F9" w:rsidP="002A0CD0">
      <w:pPr>
        <w:spacing w:after="0" w:line="240" w:lineRule="auto"/>
        <w:jc w:val="center"/>
        <w:rPr>
          <w:rFonts w:ascii="Arial" w:hAnsi="Arial" w:cs="Arial"/>
          <w:b/>
          <w:bCs/>
          <w:color w:val="000080"/>
        </w:rPr>
      </w:pPr>
    </w:p>
    <w:p w:rsidR="00FC67F9" w:rsidRPr="00ED7E20" w:rsidRDefault="00FC67F9" w:rsidP="002A0CD0">
      <w:pPr>
        <w:keepNext/>
        <w:autoSpaceDE w:val="0"/>
        <w:autoSpaceDN w:val="0"/>
        <w:adjustRightInd w:val="0"/>
        <w:spacing w:after="0" w:line="240" w:lineRule="auto"/>
        <w:rPr>
          <w:rFonts w:ascii="Times New Roman" w:hAnsi="Times New Roman"/>
          <w:b/>
          <w:bCs/>
          <w:color w:val="000080"/>
          <w:sz w:val="24"/>
          <w:szCs w:val="24"/>
        </w:rPr>
      </w:pPr>
      <w:r w:rsidRPr="00ED7E20">
        <w:rPr>
          <w:rFonts w:ascii="Times New Roman" w:hAnsi="Times New Roman"/>
          <w:b/>
          <w:bCs/>
          <w:color w:val="000080"/>
          <w:sz w:val="24"/>
          <w:szCs w:val="24"/>
        </w:rPr>
        <w:t>NO</w:t>
      </w:r>
      <w:r w:rsidRPr="00ED7E20">
        <w:rPr>
          <w:rFonts w:ascii="Times New Roman" w:hAnsi="Times New Roman"/>
          <w:b/>
          <w:bCs/>
          <w:color w:val="000080"/>
          <w:sz w:val="24"/>
          <w:szCs w:val="24"/>
          <w:vertAlign w:val="subscript"/>
        </w:rPr>
        <w:t>2</w:t>
      </w:r>
      <w:r w:rsidRPr="00ED7E20">
        <w:rPr>
          <w:rFonts w:ascii="Times New Roman" w:hAnsi="Times New Roman"/>
          <w:b/>
          <w:bCs/>
          <w:color w:val="000080"/>
          <w:sz w:val="24"/>
          <w:szCs w:val="24"/>
        </w:rPr>
        <w:t xml:space="preserve"> and SO</w:t>
      </w:r>
      <w:r w:rsidRPr="00ED7E20">
        <w:rPr>
          <w:rFonts w:ascii="Times New Roman" w:hAnsi="Times New Roman"/>
          <w:b/>
          <w:bCs/>
          <w:color w:val="000080"/>
          <w:sz w:val="24"/>
          <w:szCs w:val="24"/>
          <w:vertAlign w:val="subscript"/>
        </w:rPr>
        <w:t>2</w:t>
      </w:r>
    </w:p>
    <w:p w:rsidR="00AB4A97" w:rsidRDefault="00FC67F9" w:rsidP="002A0CD0">
      <w:pPr>
        <w:widowControl w:val="0"/>
        <w:tabs>
          <w:tab w:val="left" w:pos="720"/>
          <w:tab w:val="left" w:pos="1428"/>
          <w:tab w:val="left" w:pos="4716"/>
          <w:tab w:val="left" w:pos="4896"/>
          <w:tab w:val="left" w:pos="6718"/>
        </w:tabs>
        <w:suppressAutoHyphens/>
        <w:spacing w:after="0" w:line="240" w:lineRule="auto"/>
        <w:rPr>
          <w:rFonts w:ascii="Times New Roman" w:hAnsi="Times New Roman"/>
          <w:sz w:val="24"/>
          <w:szCs w:val="20"/>
        </w:rPr>
      </w:pPr>
      <w:r w:rsidRPr="00ED7E20">
        <w:rPr>
          <w:rFonts w:ascii="Times New Roman" w:hAnsi="Times New Roman"/>
          <w:sz w:val="24"/>
          <w:szCs w:val="20"/>
        </w:rPr>
        <w:t>On April 12, 2010 and June 22, 2010, new short-term (1-hour) NAAQS for NO</w:t>
      </w:r>
      <w:r w:rsidRPr="00ED7E20">
        <w:rPr>
          <w:rFonts w:ascii="Times New Roman" w:hAnsi="Times New Roman"/>
          <w:sz w:val="24"/>
          <w:szCs w:val="20"/>
          <w:vertAlign w:val="subscript"/>
        </w:rPr>
        <w:t>2</w:t>
      </w:r>
      <w:r w:rsidRPr="00ED7E20">
        <w:rPr>
          <w:rFonts w:ascii="Times New Roman" w:hAnsi="Times New Roman"/>
          <w:sz w:val="24"/>
          <w:szCs w:val="20"/>
        </w:rPr>
        <w:t xml:space="preserve"> and SO</w:t>
      </w:r>
      <w:r w:rsidRPr="00ED7E20">
        <w:rPr>
          <w:rFonts w:ascii="Times New Roman" w:hAnsi="Times New Roman"/>
          <w:sz w:val="24"/>
          <w:szCs w:val="20"/>
          <w:vertAlign w:val="subscript"/>
        </w:rPr>
        <w:t>2</w:t>
      </w:r>
      <w:r w:rsidRPr="00ED7E20">
        <w:rPr>
          <w:rFonts w:ascii="Times New Roman" w:hAnsi="Times New Roman"/>
          <w:sz w:val="24"/>
          <w:szCs w:val="20"/>
        </w:rPr>
        <w:t xml:space="preserve">, respectively, became effective.  </w:t>
      </w:r>
    </w:p>
    <w:p w:rsidR="00AB4A97" w:rsidRDefault="00AB4A97" w:rsidP="002A0CD0">
      <w:pPr>
        <w:widowControl w:val="0"/>
        <w:tabs>
          <w:tab w:val="left" w:pos="720"/>
          <w:tab w:val="left" w:pos="1428"/>
          <w:tab w:val="left" w:pos="4716"/>
          <w:tab w:val="left" w:pos="4896"/>
          <w:tab w:val="left" w:pos="6718"/>
        </w:tabs>
        <w:suppressAutoHyphens/>
        <w:spacing w:after="0" w:line="240" w:lineRule="auto"/>
        <w:rPr>
          <w:rFonts w:ascii="Times New Roman" w:hAnsi="Times New Roman"/>
          <w:sz w:val="24"/>
          <w:szCs w:val="20"/>
        </w:rPr>
      </w:pPr>
    </w:p>
    <w:p w:rsidR="00FC67F9" w:rsidRPr="00ED7E20" w:rsidRDefault="00FC67F9" w:rsidP="002A0CD0">
      <w:pPr>
        <w:widowControl w:val="0"/>
        <w:tabs>
          <w:tab w:val="left" w:pos="720"/>
          <w:tab w:val="left" w:pos="1428"/>
          <w:tab w:val="left" w:pos="4716"/>
          <w:tab w:val="left" w:pos="4896"/>
          <w:tab w:val="left" w:pos="6718"/>
        </w:tabs>
        <w:suppressAutoHyphens/>
        <w:spacing w:after="0" w:line="240" w:lineRule="auto"/>
        <w:rPr>
          <w:rFonts w:ascii="Times New Roman" w:hAnsi="Times New Roman"/>
          <w:sz w:val="24"/>
          <w:szCs w:val="20"/>
        </w:rPr>
      </w:pPr>
      <w:r w:rsidRPr="00ED7E20">
        <w:rPr>
          <w:rFonts w:ascii="Times New Roman" w:hAnsi="Times New Roman"/>
          <w:sz w:val="24"/>
          <w:szCs w:val="20"/>
        </w:rPr>
        <w:t>The NO</w:t>
      </w:r>
      <w:r w:rsidRPr="00ED7E20">
        <w:rPr>
          <w:rFonts w:ascii="Times New Roman" w:hAnsi="Times New Roman"/>
          <w:sz w:val="24"/>
          <w:szCs w:val="20"/>
          <w:vertAlign w:val="subscript"/>
        </w:rPr>
        <w:t>2</w:t>
      </w:r>
      <w:r w:rsidRPr="00ED7E20">
        <w:rPr>
          <w:rFonts w:ascii="Times New Roman" w:hAnsi="Times New Roman"/>
          <w:sz w:val="24"/>
          <w:szCs w:val="20"/>
        </w:rPr>
        <w:t xml:space="preserve"> </w:t>
      </w:r>
      <w:r w:rsidR="00EC35B8">
        <w:rPr>
          <w:rFonts w:ascii="Times New Roman" w:hAnsi="Times New Roman"/>
          <w:sz w:val="24"/>
          <w:szCs w:val="20"/>
        </w:rPr>
        <w:t xml:space="preserve">ambient air quality </w:t>
      </w:r>
      <w:r w:rsidRPr="00ED7E20">
        <w:rPr>
          <w:rFonts w:ascii="Times New Roman" w:hAnsi="Times New Roman"/>
          <w:sz w:val="24"/>
          <w:szCs w:val="20"/>
        </w:rPr>
        <w:t>standard was set at 100 ppb</w:t>
      </w:r>
      <w:r w:rsidR="00AB4A97">
        <w:rPr>
          <w:rFonts w:ascii="Times New Roman" w:hAnsi="Times New Roman"/>
          <w:sz w:val="24"/>
          <w:szCs w:val="20"/>
        </w:rPr>
        <w:t>,</w:t>
      </w:r>
      <w:r w:rsidRPr="00ED7E20">
        <w:rPr>
          <w:rFonts w:ascii="Times New Roman" w:hAnsi="Times New Roman"/>
          <w:sz w:val="24"/>
          <w:szCs w:val="20"/>
        </w:rPr>
        <w:t xml:space="preserve"> to be achieved at the 98</w:t>
      </w:r>
      <w:r w:rsidRPr="00ED7E20">
        <w:rPr>
          <w:rFonts w:ascii="Times New Roman" w:hAnsi="Times New Roman"/>
          <w:sz w:val="24"/>
          <w:szCs w:val="20"/>
          <w:vertAlign w:val="superscript"/>
        </w:rPr>
        <w:t>th</w:t>
      </w:r>
      <w:r w:rsidRPr="00ED7E20">
        <w:rPr>
          <w:rFonts w:ascii="Times New Roman" w:hAnsi="Times New Roman"/>
          <w:sz w:val="24"/>
          <w:szCs w:val="20"/>
        </w:rPr>
        <w:t xml:space="preserve"> percentile level (i.e., </w:t>
      </w:r>
      <w:r w:rsidR="00AB52F3">
        <w:rPr>
          <w:rFonts w:ascii="Times New Roman" w:hAnsi="Times New Roman"/>
          <w:sz w:val="24"/>
          <w:szCs w:val="20"/>
        </w:rPr>
        <w:t xml:space="preserve">the </w:t>
      </w:r>
      <w:r w:rsidRPr="00ED7E20">
        <w:rPr>
          <w:rFonts w:ascii="Times New Roman" w:hAnsi="Times New Roman"/>
          <w:sz w:val="24"/>
          <w:szCs w:val="20"/>
        </w:rPr>
        <w:t xml:space="preserve">3-year average of the </w:t>
      </w:r>
      <w:r w:rsidR="000F032F">
        <w:rPr>
          <w:rFonts w:ascii="Times New Roman" w:hAnsi="Times New Roman"/>
          <w:sz w:val="24"/>
          <w:szCs w:val="20"/>
        </w:rPr>
        <w:t>8</w:t>
      </w:r>
      <w:r w:rsidR="000F032F" w:rsidRPr="00ED7E20">
        <w:rPr>
          <w:rFonts w:ascii="Times New Roman" w:hAnsi="Times New Roman"/>
          <w:sz w:val="24"/>
          <w:szCs w:val="20"/>
          <w:vertAlign w:val="superscript"/>
        </w:rPr>
        <w:t>th</w:t>
      </w:r>
      <w:r w:rsidR="000F032F" w:rsidRPr="00ED7E20">
        <w:rPr>
          <w:rFonts w:ascii="Times New Roman" w:hAnsi="Times New Roman"/>
          <w:sz w:val="24"/>
          <w:szCs w:val="20"/>
        </w:rPr>
        <w:t xml:space="preserve"> </w:t>
      </w:r>
      <w:r w:rsidRPr="00ED7E20">
        <w:rPr>
          <w:rFonts w:ascii="Times New Roman" w:hAnsi="Times New Roman"/>
          <w:sz w:val="24"/>
          <w:szCs w:val="20"/>
        </w:rPr>
        <w:t>highest of the daily 1-hour maximum concentrations).  EPA intends to initially focus on monitoring of short-term peak concentrations which occur near major roadways</w:t>
      </w:r>
      <w:r w:rsidR="00CD348F">
        <w:rPr>
          <w:rFonts w:ascii="Times New Roman" w:hAnsi="Times New Roman"/>
          <w:sz w:val="24"/>
          <w:szCs w:val="20"/>
        </w:rPr>
        <w:t>,</w:t>
      </w:r>
      <w:r w:rsidRPr="00ED7E20">
        <w:rPr>
          <w:rFonts w:ascii="Times New Roman" w:hAnsi="Times New Roman"/>
          <w:sz w:val="24"/>
          <w:szCs w:val="20"/>
        </w:rPr>
        <w:t xml:space="preserve"> and the rule imposes new roadside monitoring requirements in the urban areas with a population greater than 500,000.  EPA’s </w:t>
      </w:r>
      <w:r w:rsidR="00AB52F3">
        <w:rPr>
          <w:rFonts w:ascii="Times New Roman" w:hAnsi="Times New Roman"/>
          <w:sz w:val="24"/>
          <w:szCs w:val="20"/>
        </w:rPr>
        <w:t xml:space="preserve">initial designations based on available monitoring data classify the entire country as unclassifiable/attainment. </w:t>
      </w:r>
      <w:r w:rsidR="006E444E">
        <w:rPr>
          <w:rFonts w:ascii="Times New Roman" w:hAnsi="Times New Roman"/>
          <w:sz w:val="24"/>
          <w:szCs w:val="20"/>
        </w:rPr>
        <w:t xml:space="preserve"> </w:t>
      </w:r>
      <w:r w:rsidR="00896100" w:rsidRPr="00896100">
        <w:rPr>
          <w:rFonts w:ascii="Times New Roman" w:hAnsi="Times New Roman"/>
          <w:sz w:val="24"/>
          <w:szCs w:val="20"/>
        </w:rPr>
        <w:t xml:space="preserve">Although none of the areas within </w:t>
      </w:r>
      <w:r w:rsidR="00896100">
        <w:rPr>
          <w:rFonts w:ascii="Times New Roman" w:hAnsi="Times New Roman"/>
          <w:sz w:val="24"/>
          <w:szCs w:val="20"/>
        </w:rPr>
        <w:t>Georgia</w:t>
      </w:r>
      <w:r w:rsidR="00896100" w:rsidRPr="00896100">
        <w:rPr>
          <w:rFonts w:ascii="Times New Roman" w:hAnsi="Times New Roman"/>
          <w:sz w:val="24"/>
          <w:szCs w:val="20"/>
        </w:rPr>
        <w:t xml:space="preserve"> are designated as nonattainment for the standard based on current ambient air quality monitoring data, the N</w:t>
      </w:r>
      <w:r w:rsidR="004A54AC">
        <w:rPr>
          <w:rFonts w:ascii="Times New Roman" w:hAnsi="Times New Roman"/>
          <w:sz w:val="24"/>
          <w:szCs w:val="24"/>
        </w:rPr>
        <w:t>O</w:t>
      </w:r>
      <w:r w:rsidR="004A54AC" w:rsidRPr="004A54AC">
        <w:rPr>
          <w:rFonts w:ascii="Times New Roman" w:hAnsi="Times New Roman"/>
          <w:sz w:val="24"/>
          <w:szCs w:val="24"/>
          <w:vertAlign w:val="subscript"/>
        </w:rPr>
        <w:t>2</w:t>
      </w:r>
      <w:r w:rsidR="00896100" w:rsidRPr="00896100">
        <w:rPr>
          <w:rFonts w:ascii="Times New Roman" w:hAnsi="Times New Roman"/>
          <w:sz w:val="24"/>
          <w:szCs w:val="20"/>
        </w:rPr>
        <w:t xml:space="preserve"> standard could</w:t>
      </w:r>
      <w:r w:rsidR="002D4930">
        <w:rPr>
          <w:rFonts w:ascii="Times New Roman" w:hAnsi="Times New Roman"/>
          <w:sz w:val="24"/>
          <w:szCs w:val="20"/>
        </w:rPr>
        <w:t xml:space="preserve"> still</w:t>
      </w:r>
      <w:r w:rsidR="00896100" w:rsidRPr="00896100">
        <w:rPr>
          <w:rFonts w:ascii="Times New Roman" w:hAnsi="Times New Roman"/>
          <w:sz w:val="24"/>
          <w:szCs w:val="20"/>
        </w:rPr>
        <w:t xml:space="preserve"> result in significant additional compliance and operational costs for new units and major modifications conducted at facilities that require permitting.</w:t>
      </w:r>
      <w:r w:rsidR="00896100" w:rsidRPr="00ED7E20">
        <w:rPr>
          <w:rFonts w:ascii="Times New Roman" w:hAnsi="Times New Roman"/>
          <w:sz w:val="24"/>
          <w:szCs w:val="20"/>
        </w:rPr>
        <w:t xml:space="preserve"> </w:t>
      </w:r>
    </w:p>
    <w:p w:rsidR="00FC67F9" w:rsidRPr="00ED7E20" w:rsidRDefault="00FC67F9" w:rsidP="002A0CD0">
      <w:pPr>
        <w:widowControl w:val="0"/>
        <w:tabs>
          <w:tab w:val="left" w:pos="720"/>
          <w:tab w:val="left" w:pos="1428"/>
          <w:tab w:val="left" w:pos="4716"/>
          <w:tab w:val="left" w:pos="4896"/>
          <w:tab w:val="left" w:pos="6718"/>
        </w:tabs>
        <w:suppressAutoHyphens/>
        <w:spacing w:after="0" w:line="240" w:lineRule="auto"/>
        <w:rPr>
          <w:rFonts w:ascii="Times New Roman" w:hAnsi="Times New Roman"/>
          <w:sz w:val="24"/>
          <w:szCs w:val="20"/>
        </w:rPr>
      </w:pPr>
    </w:p>
    <w:p w:rsidR="000F032F" w:rsidRPr="006036F0" w:rsidRDefault="00FC67F9" w:rsidP="002A0CD0">
      <w:pPr>
        <w:pStyle w:val="BodyText3"/>
        <w:widowControl w:val="0"/>
      </w:pPr>
      <w:r w:rsidRPr="00ED7E20">
        <w:t>The SO</w:t>
      </w:r>
      <w:r w:rsidRPr="00ED7E20">
        <w:rPr>
          <w:vertAlign w:val="subscript"/>
        </w:rPr>
        <w:t>2</w:t>
      </w:r>
      <w:r w:rsidR="00EC35B8">
        <w:rPr>
          <w:vertAlign w:val="subscript"/>
        </w:rPr>
        <w:softHyphen/>
        <w:t xml:space="preserve"> </w:t>
      </w:r>
      <w:r w:rsidR="00EC35B8">
        <w:t>ambient air quality</w:t>
      </w:r>
      <w:r w:rsidRPr="00ED7E20">
        <w:t xml:space="preserve"> standard was set at a level of 75 ppb</w:t>
      </w:r>
      <w:r w:rsidR="002D4930">
        <w:t>, to be</w:t>
      </w:r>
      <w:r w:rsidR="00AB52F3">
        <w:t xml:space="preserve"> achieved at the 99</w:t>
      </w:r>
      <w:r w:rsidR="00AB52F3" w:rsidRPr="00AB52F3">
        <w:rPr>
          <w:vertAlign w:val="superscript"/>
        </w:rPr>
        <w:t>th</w:t>
      </w:r>
      <w:r w:rsidR="00AB52F3">
        <w:t xml:space="preserve"> percentile level (i.e</w:t>
      </w:r>
      <w:r w:rsidR="00701FBE">
        <w:t>.</w:t>
      </w:r>
      <w:r w:rsidR="00AB52F3">
        <w:t xml:space="preserve"> the 3-year average of the 4</w:t>
      </w:r>
      <w:r w:rsidR="00AB52F3" w:rsidRPr="00AB52F3">
        <w:rPr>
          <w:vertAlign w:val="superscript"/>
        </w:rPr>
        <w:t>th</w:t>
      </w:r>
      <w:r w:rsidR="00AB52F3">
        <w:t xml:space="preserve"> highest of the daily 1-hour maximum concentrations). </w:t>
      </w:r>
      <w:r w:rsidR="002D4930">
        <w:t xml:space="preserve"> </w:t>
      </w:r>
      <w:r w:rsidR="00AB52F3">
        <w:t>In the 2010 SO</w:t>
      </w:r>
      <w:r w:rsidR="00AB52F3">
        <w:rPr>
          <w:vertAlign w:val="subscript"/>
        </w:rPr>
        <w:t>2</w:t>
      </w:r>
      <w:r w:rsidR="00AB52F3">
        <w:t xml:space="preserve"> NAAQS final rule</w:t>
      </w:r>
      <w:r w:rsidR="006036F0">
        <w:t>,</w:t>
      </w:r>
      <w:r w:rsidRPr="00ED7E20">
        <w:t xml:space="preserve"> EPA </w:t>
      </w:r>
      <w:r w:rsidR="006036F0">
        <w:t>outlined a plan</w:t>
      </w:r>
      <w:r w:rsidRPr="00ED7E20">
        <w:t xml:space="preserve"> to implement the standard through a combination of monitoring and modeling.  </w:t>
      </w:r>
      <w:r w:rsidR="006036F0">
        <w:t xml:space="preserve">Areas with either monitoring or modeling showing violations of the NAAQS would be classified nonattainment. </w:t>
      </w:r>
      <w:r w:rsidR="006E444E">
        <w:t xml:space="preserve"> </w:t>
      </w:r>
      <w:r w:rsidR="006036F0">
        <w:t xml:space="preserve">All other areas would be considered unclassifiable. For unclassifiable areas, EPA issued guidance that required states to submit, as part of their 110(a)(2) infrastructure SIP due in June 2013, modeling analyses showing that all unclassifiable areas would achieve the NAAQS by establishing federally enforceable permit limits on </w:t>
      </w:r>
      <w:r w:rsidR="006036F0" w:rsidRPr="006036F0">
        <w:t>SO</w:t>
      </w:r>
      <w:r w:rsidR="006036F0">
        <w:rPr>
          <w:vertAlign w:val="subscript"/>
        </w:rPr>
        <w:t>2</w:t>
      </w:r>
      <w:r w:rsidR="006036F0">
        <w:t xml:space="preserve"> emissions. </w:t>
      </w:r>
      <w:r w:rsidR="00292541">
        <w:t xml:space="preserve"> </w:t>
      </w:r>
      <w:r w:rsidR="006036F0">
        <w:t>However, on April 12, 2012, EPA notified state environmental commissioners that they would no longer require modeling analyses in the Infrastructure SIP submittals.  In early May 2012, EPA posted a draft white paper laying out options for and discussing implementation of the 2010 primary 1-hour S</w:t>
      </w:r>
      <w:r w:rsidR="004A54AC">
        <w:rPr>
          <w:szCs w:val="24"/>
        </w:rPr>
        <w:t>O</w:t>
      </w:r>
      <w:r w:rsidR="004A54AC" w:rsidRPr="004A54AC">
        <w:rPr>
          <w:szCs w:val="24"/>
          <w:vertAlign w:val="subscript"/>
        </w:rPr>
        <w:t>2</w:t>
      </w:r>
      <w:r w:rsidR="006036F0">
        <w:t xml:space="preserve"> NAAQS.  </w:t>
      </w:r>
      <w:r w:rsidR="004470A5">
        <w:t xml:space="preserve">Between May 30 and </w:t>
      </w:r>
      <w:r w:rsidR="006036F0">
        <w:t xml:space="preserve">June 1, 2012, EPA met independently with three stakeholder groups (environmental groups, state and tribal representatives, and industry) to interactively discuss the white paper. </w:t>
      </w:r>
      <w:r w:rsidR="003D2F64">
        <w:t>Designations for this NAAQS were expected in June 2012, but on July 27, 2012, EPA announced that designations would be delayed by up to 1 year.</w:t>
      </w:r>
      <w:r w:rsidR="00292541">
        <w:t xml:space="preserve"> </w:t>
      </w:r>
      <w:r w:rsidR="003D2F64">
        <w:t xml:space="preserve"> </w:t>
      </w:r>
      <w:r w:rsidR="006036F0">
        <w:t xml:space="preserve">At this time, EPA has not indicated the exact path it will take </w:t>
      </w:r>
      <w:r w:rsidR="003D2F64">
        <w:t>in finalizing designations or</w:t>
      </w:r>
      <w:r w:rsidR="006036F0">
        <w:t xml:space="preserve"> implement</w:t>
      </w:r>
      <w:r w:rsidR="003D2F64">
        <w:t>ing</w:t>
      </w:r>
      <w:r w:rsidR="006036F0">
        <w:t xml:space="preserve"> the 1-hour SO</w:t>
      </w:r>
      <w:r w:rsidR="006036F0">
        <w:rPr>
          <w:vertAlign w:val="subscript"/>
        </w:rPr>
        <w:t>2</w:t>
      </w:r>
      <w:r w:rsidR="006036F0">
        <w:t xml:space="preserve"> NAAQS. </w:t>
      </w:r>
      <w:r w:rsidR="006E444E">
        <w:t xml:space="preserve"> </w:t>
      </w:r>
      <w:r w:rsidR="00EC35B8" w:rsidRPr="00EC35B8">
        <w:t xml:space="preserve">Therefore, there is some uncertainty about the timing and </w:t>
      </w:r>
      <w:r w:rsidR="00EC35B8">
        <w:t xml:space="preserve">impacts </w:t>
      </w:r>
      <w:r w:rsidR="00EC35B8" w:rsidRPr="00EC35B8">
        <w:t>of the new one-hour SO</w:t>
      </w:r>
      <w:r w:rsidR="00EC35B8" w:rsidRPr="004470A5">
        <w:rPr>
          <w:vertAlign w:val="subscript"/>
        </w:rPr>
        <w:t>2</w:t>
      </w:r>
      <w:r w:rsidR="00EC35B8" w:rsidRPr="00EC35B8">
        <w:t xml:space="preserve"> standard.</w:t>
      </w:r>
    </w:p>
    <w:p w:rsidR="00FC67F9" w:rsidRPr="00ED7E20" w:rsidRDefault="00FC67F9" w:rsidP="002A0CD0">
      <w:pPr>
        <w:widowControl w:val="0"/>
        <w:tabs>
          <w:tab w:val="left" w:pos="720"/>
          <w:tab w:val="left" w:pos="1428"/>
          <w:tab w:val="left" w:pos="4716"/>
          <w:tab w:val="left" w:pos="4896"/>
          <w:tab w:val="left" w:pos="6718"/>
        </w:tabs>
        <w:suppressAutoHyphens/>
        <w:spacing w:after="0" w:line="240" w:lineRule="auto"/>
        <w:rPr>
          <w:rFonts w:ascii="Times New Roman" w:hAnsi="Times New Roman"/>
          <w:sz w:val="24"/>
          <w:szCs w:val="20"/>
        </w:rPr>
      </w:pPr>
      <w:r w:rsidRPr="00ED7E20">
        <w:rPr>
          <w:rFonts w:ascii="Times New Roman" w:hAnsi="Times New Roman"/>
          <w:sz w:val="24"/>
          <w:szCs w:val="20"/>
        </w:rPr>
        <w:t xml:space="preserve"> </w:t>
      </w:r>
    </w:p>
    <w:p w:rsidR="00FC67F9" w:rsidRPr="00ED7E20" w:rsidRDefault="00FC67F9" w:rsidP="002A0CD0">
      <w:pPr>
        <w:autoSpaceDE w:val="0"/>
        <w:autoSpaceDN w:val="0"/>
        <w:adjustRightInd w:val="0"/>
        <w:spacing w:after="0" w:line="240" w:lineRule="auto"/>
        <w:jc w:val="both"/>
        <w:outlineLvl w:val="1"/>
        <w:rPr>
          <w:rFonts w:ascii="Times New Roman" w:hAnsi="Times New Roman"/>
          <w:b/>
          <w:bCs/>
          <w:color w:val="000080"/>
          <w:sz w:val="24"/>
          <w:szCs w:val="24"/>
        </w:rPr>
      </w:pPr>
      <w:bookmarkStart w:id="9" w:name="_Toc347314837"/>
      <w:r>
        <w:rPr>
          <w:rFonts w:ascii="Times New Roman" w:hAnsi="Times New Roman"/>
          <w:b/>
          <w:bCs/>
          <w:color w:val="000080"/>
          <w:sz w:val="24"/>
          <w:szCs w:val="24"/>
        </w:rPr>
        <w:t>2.4</w:t>
      </w:r>
      <w:r>
        <w:rPr>
          <w:rFonts w:ascii="Times New Roman" w:hAnsi="Times New Roman"/>
          <w:b/>
          <w:bCs/>
          <w:color w:val="000080"/>
          <w:sz w:val="24"/>
          <w:szCs w:val="24"/>
        </w:rPr>
        <w:tab/>
      </w:r>
      <w:r w:rsidRPr="00ED7E20">
        <w:rPr>
          <w:rFonts w:ascii="Times New Roman" w:hAnsi="Times New Roman"/>
          <w:b/>
          <w:bCs/>
          <w:color w:val="000080"/>
          <w:sz w:val="24"/>
          <w:szCs w:val="24"/>
        </w:rPr>
        <w:t>Regional NO</w:t>
      </w:r>
      <w:r w:rsidRPr="00ED7E20">
        <w:rPr>
          <w:rFonts w:ascii="Times New Roman" w:hAnsi="Times New Roman"/>
          <w:b/>
          <w:bCs/>
          <w:color w:val="000080"/>
          <w:sz w:val="24"/>
          <w:szCs w:val="24"/>
          <w:vertAlign w:val="subscript"/>
        </w:rPr>
        <w:t>X</w:t>
      </w:r>
      <w:r w:rsidRPr="00ED7E20">
        <w:rPr>
          <w:rFonts w:ascii="Times New Roman" w:hAnsi="Times New Roman"/>
          <w:b/>
          <w:bCs/>
          <w:color w:val="000080"/>
          <w:sz w:val="24"/>
          <w:szCs w:val="24"/>
        </w:rPr>
        <w:t xml:space="preserve"> SIP Call and Budget Trading Program</w:t>
      </w:r>
      <w:bookmarkEnd w:id="9"/>
    </w:p>
    <w:p w:rsidR="00FC67F9" w:rsidRPr="00ED7E20" w:rsidRDefault="00FC67F9" w:rsidP="002A0CD0">
      <w:pPr>
        <w:tabs>
          <w:tab w:val="left" w:pos="720"/>
          <w:tab w:val="left" w:pos="1428"/>
          <w:tab w:val="left" w:pos="4716"/>
          <w:tab w:val="left" w:pos="4896"/>
          <w:tab w:val="left" w:pos="6718"/>
        </w:tabs>
        <w:suppressAutoHyphens/>
        <w:spacing w:after="0" w:line="240" w:lineRule="auto"/>
        <w:rPr>
          <w:rFonts w:ascii="Times New Roman" w:hAnsi="Times New Roman"/>
          <w:sz w:val="24"/>
          <w:szCs w:val="24"/>
        </w:rPr>
      </w:pPr>
    </w:p>
    <w:p w:rsidR="00FC67F9" w:rsidRPr="00ED7E20" w:rsidRDefault="00FC67F9" w:rsidP="002A0CD0">
      <w:pPr>
        <w:tabs>
          <w:tab w:val="left" w:pos="720"/>
          <w:tab w:val="left" w:pos="1428"/>
          <w:tab w:val="left" w:pos="4716"/>
          <w:tab w:val="left" w:pos="4896"/>
          <w:tab w:val="left" w:pos="6718"/>
        </w:tabs>
        <w:suppressAutoHyphens/>
        <w:spacing w:after="0" w:line="240" w:lineRule="auto"/>
        <w:rPr>
          <w:rFonts w:ascii="Times New Roman" w:hAnsi="Times New Roman"/>
          <w:sz w:val="24"/>
          <w:szCs w:val="24"/>
        </w:rPr>
      </w:pPr>
      <w:r w:rsidRPr="00ED7E20">
        <w:rPr>
          <w:rFonts w:ascii="Times New Roman" w:hAnsi="Times New Roman"/>
          <w:sz w:val="24"/>
          <w:szCs w:val="24"/>
        </w:rPr>
        <w:t>In September 1998, the EPA issued the final Regional NO</w:t>
      </w:r>
      <w:r w:rsidRPr="00ED7E20">
        <w:rPr>
          <w:rFonts w:ascii="Times New Roman" w:hAnsi="Times New Roman"/>
          <w:sz w:val="24"/>
          <w:szCs w:val="24"/>
          <w:vertAlign w:val="subscript"/>
        </w:rPr>
        <w:t>X</w:t>
      </w:r>
      <w:r w:rsidRPr="00ED7E20">
        <w:rPr>
          <w:rFonts w:ascii="Times New Roman" w:hAnsi="Times New Roman"/>
          <w:sz w:val="24"/>
          <w:szCs w:val="24"/>
        </w:rPr>
        <w:t xml:space="preserve"> SIP Call rule, which required 22 states and the District of Columbia (D.C.) to submit SIPs to address regional transport of the ozone precursor, NO</w:t>
      </w:r>
      <w:r w:rsidRPr="00ED7E20">
        <w:rPr>
          <w:rFonts w:ascii="Times New Roman" w:hAnsi="Times New Roman"/>
          <w:sz w:val="24"/>
          <w:szCs w:val="24"/>
          <w:vertAlign w:val="subscript"/>
        </w:rPr>
        <w:t>X</w:t>
      </w:r>
      <w:r w:rsidRPr="00ED7E20">
        <w:rPr>
          <w:rFonts w:ascii="Times New Roman" w:hAnsi="Times New Roman"/>
          <w:sz w:val="24"/>
          <w:szCs w:val="24"/>
        </w:rPr>
        <w:t>.  The rule requires NO</w:t>
      </w:r>
      <w:r w:rsidRPr="00ED7E20">
        <w:rPr>
          <w:rFonts w:ascii="Times New Roman" w:hAnsi="Times New Roman"/>
          <w:sz w:val="24"/>
          <w:szCs w:val="24"/>
          <w:vertAlign w:val="subscript"/>
        </w:rPr>
        <w:t>X</w:t>
      </w:r>
      <w:r w:rsidRPr="00ED7E20">
        <w:rPr>
          <w:rFonts w:ascii="Times New Roman" w:hAnsi="Times New Roman"/>
          <w:sz w:val="24"/>
          <w:szCs w:val="24"/>
        </w:rPr>
        <w:t xml:space="preserve"> emission reductions sufficient to meet specified emission budgets for each affected state.  </w:t>
      </w:r>
    </w:p>
    <w:p w:rsidR="00FC67F9" w:rsidRPr="00ED7E20" w:rsidRDefault="00FC67F9" w:rsidP="002A0CD0">
      <w:pPr>
        <w:tabs>
          <w:tab w:val="left" w:pos="720"/>
          <w:tab w:val="left" w:pos="1428"/>
          <w:tab w:val="left" w:pos="4716"/>
          <w:tab w:val="left" w:pos="4896"/>
          <w:tab w:val="left" w:pos="6718"/>
        </w:tabs>
        <w:suppressAutoHyphens/>
        <w:spacing w:after="0" w:line="240" w:lineRule="auto"/>
        <w:rPr>
          <w:rFonts w:ascii="Times New Roman" w:hAnsi="Times New Roman"/>
          <w:sz w:val="24"/>
          <w:szCs w:val="24"/>
        </w:rPr>
      </w:pPr>
    </w:p>
    <w:p w:rsidR="00FC67F9" w:rsidRPr="00ED7E20" w:rsidRDefault="00FC67F9" w:rsidP="002A0CD0">
      <w:pPr>
        <w:tabs>
          <w:tab w:val="left" w:pos="720"/>
          <w:tab w:val="left" w:pos="1428"/>
          <w:tab w:val="left" w:pos="4716"/>
          <w:tab w:val="left" w:pos="4896"/>
          <w:tab w:val="left" w:pos="6718"/>
        </w:tabs>
        <w:suppressAutoHyphens/>
        <w:spacing w:after="0" w:line="240" w:lineRule="auto"/>
        <w:rPr>
          <w:rFonts w:ascii="Times New Roman" w:hAnsi="Times New Roman"/>
          <w:sz w:val="24"/>
          <w:szCs w:val="24"/>
        </w:rPr>
      </w:pPr>
      <w:r w:rsidRPr="00ED7E20">
        <w:rPr>
          <w:rFonts w:ascii="Times New Roman" w:hAnsi="Times New Roman"/>
          <w:sz w:val="24"/>
          <w:szCs w:val="24"/>
        </w:rPr>
        <w:t>The rule was challenged in the D.C. Circuit Court of Appeals but largely upheld by the Court. However, the Court vacated the rule for Georgia, Missouri, and Wisconsin. In April 2004, EPA reissued the NO</w:t>
      </w:r>
      <w:r w:rsidRPr="00ED7E20">
        <w:rPr>
          <w:rFonts w:ascii="Times New Roman" w:hAnsi="Times New Roman"/>
          <w:sz w:val="24"/>
          <w:szCs w:val="20"/>
          <w:vertAlign w:val="subscript"/>
        </w:rPr>
        <w:t>X</w:t>
      </w:r>
      <w:r w:rsidRPr="00ED7E20">
        <w:rPr>
          <w:rFonts w:ascii="Times New Roman" w:hAnsi="Times New Roman"/>
          <w:sz w:val="24"/>
          <w:szCs w:val="24"/>
        </w:rPr>
        <w:t xml:space="preserve"> SIP Call as applied to the northern two-thirds of Georgia and the eastern half of Missouri, in accordance with the Court’s decision.  Before issuance of the final rule, however, the two areas Georgia was determined to be impacting (Birmingham, Alabama and Memphis, Tennessee) came into attainment for the one-hour ozone standard.  On this basis, the Georgia Coalition for Sound Environmental Policy petitioned EPA to reconsider the final rule.  EPA granted that petition and stayed the 2004 </w:t>
      </w:r>
      <w:r w:rsidRPr="00ED7E20">
        <w:rPr>
          <w:rFonts w:ascii="Times New Roman" w:hAnsi="Times New Roman"/>
          <w:sz w:val="24"/>
          <w:szCs w:val="20"/>
        </w:rPr>
        <w:t>NO</w:t>
      </w:r>
      <w:r w:rsidRPr="00ED7E20">
        <w:rPr>
          <w:rFonts w:ascii="Times New Roman" w:hAnsi="Times New Roman"/>
          <w:sz w:val="24"/>
          <w:szCs w:val="20"/>
          <w:vertAlign w:val="subscript"/>
        </w:rPr>
        <w:t>X</w:t>
      </w:r>
      <w:r w:rsidRPr="00ED7E20">
        <w:rPr>
          <w:rFonts w:ascii="Times New Roman" w:hAnsi="Times New Roman"/>
          <w:sz w:val="24"/>
          <w:szCs w:val="24"/>
        </w:rPr>
        <w:t xml:space="preserve"> SIP Call rule as applied to Georgia.  Following reconsideration in April 2008, EPA issued a final rule rescinding the NO</w:t>
      </w:r>
      <w:r w:rsidRPr="00ED7E20">
        <w:rPr>
          <w:rFonts w:ascii="Times New Roman" w:hAnsi="Times New Roman"/>
          <w:sz w:val="24"/>
          <w:szCs w:val="20"/>
          <w:vertAlign w:val="subscript"/>
        </w:rPr>
        <w:t>X</w:t>
      </w:r>
      <w:r w:rsidRPr="00ED7E20">
        <w:rPr>
          <w:rFonts w:ascii="Times New Roman" w:hAnsi="Times New Roman"/>
          <w:sz w:val="24"/>
          <w:szCs w:val="24"/>
        </w:rPr>
        <w:t xml:space="preserve"> SIP Call as applied to Georgia.  The State of North Carolina challenged this action in the D.C. Circuit, and a decision was reached by the Court on November 24, 2009.  The Court found that North Carolina failed to demonstrate that including Georgia in the NO</w:t>
      </w:r>
      <w:r w:rsidRPr="00ED7E20">
        <w:rPr>
          <w:rFonts w:ascii="Times New Roman" w:hAnsi="Times New Roman"/>
          <w:sz w:val="24"/>
          <w:szCs w:val="24"/>
          <w:vertAlign w:val="subscript"/>
        </w:rPr>
        <w:t>X</w:t>
      </w:r>
      <w:r w:rsidRPr="00ED7E20">
        <w:rPr>
          <w:rFonts w:ascii="Times New Roman" w:hAnsi="Times New Roman"/>
          <w:sz w:val="24"/>
          <w:szCs w:val="24"/>
        </w:rPr>
        <w:t xml:space="preserve"> SIP Call would redress North Carolina’s asserted injury and, therefore, North Carolina lacked standing.  As a result, the Court dismissed North Carolina’s petition, and the NO</w:t>
      </w:r>
      <w:r w:rsidRPr="00ED7E20">
        <w:rPr>
          <w:rFonts w:ascii="Times New Roman" w:hAnsi="Times New Roman"/>
          <w:sz w:val="24"/>
          <w:szCs w:val="20"/>
          <w:vertAlign w:val="subscript"/>
        </w:rPr>
        <w:t>x</w:t>
      </w:r>
      <w:r w:rsidRPr="00ED7E20">
        <w:rPr>
          <w:rFonts w:ascii="Times New Roman" w:hAnsi="Times New Roman"/>
          <w:sz w:val="24"/>
          <w:szCs w:val="24"/>
        </w:rPr>
        <w:t xml:space="preserve"> SIP call does not apply in Georgia.  </w:t>
      </w:r>
    </w:p>
    <w:p w:rsidR="00481A98" w:rsidRDefault="00481A98" w:rsidP="002A0CD0">
      <w:pPr>
        <w:tabs>
          <w:tab w:val="left" w:pos="900"/>
          <w:tab w:val="num" w:pos="1440"/>
        </w:tabs>
        <w:autoSpaceDE w:val="0"/>
        <w:autoSpaceDN w:val="0"/>
        <w:adjustRightInd w:val="0"/>
        <w:spacing w:after="0" w:line="240" w:lineRule="auto"/>
        <w:jc w:val="both"/>
        <w:outlineLvl w:val="1"/>
        <w:rPr>
          <w:rFonts w:ascii="Times New Roman" w:hAnsi="Times New Roman"/>
          <w:b/>
          <w:bCs/>
          <w:color w:val="000080"/>
          <w:sz w:val="24"/>
          <w:szCs w:val="24"/>
        </w:rPr>
      </w:pPr>
    </w:p>
    <w:p w:rsidR="00FC67F9" w:rsidRPr="00ED7E20" w:rsidRDefault="00FC67F9" w:rsidP="002A0CD0">
      <w:pPr>
        <w:tabs>
          <w:tab w:val="left" w:pos="900"/>
          <w:tab w:val="num" w:pos="1440"/>
        </w:tabs>
        <w:autoSpaceDE w:val="0"/>
        <w:autoSpaceDN w:val="0"/>
        <w:adjustRightInd w:val="0"/>
        <w:spacing w:after="0" w:line="240" w:lineRule="auto"/>
        <w:jc w:val="both"/>
        <w:outlineLvl w:val="1"/>
        <w:rPr>
          <w:rFonts w:ascii="Times New Roman" w:hAnsi="Times New Roman"/>
          <w:b/>
          <w:bCs/>
          <w:color w:val="000080"/>
          <w:sz w:val="24"/>
          <w:szCs w:val="24"/>
        </w:rPr>
      </w:pPr>
      <w:bookmarkStart w:id="10" w:name="_Toc347314838"/>
      <w:r>
        <w:rPr>
          <w:rFonts w:ascii="Times New Roman" w:hAnsi="Times New Roman"/>
          <w:b/>
          <w:bCs/>
          <w:color w:val="000080"/>
          <w:sz w:val="24"/>
          <w:szCs w:val="24"/>
        </w:rPr>
        <w:t>2.5</w:t>
      </w:r>
      <w:r>
        <w:rPr>
          <w:rFonts w:ascii="Times New Roman" w:hAnsi="Times New Roman"/>
          <w:b/>
          <w:bCs/>
          <w:color w:val="000080"/>
          <w:sz w:val="24"/>
          <w:szCs w:val="24"/>
        </w:rPr>
        <w:tab/>
      </w:r>
      <w:r w:rsidRPr="00ED7E20">
        <w:rPr>
          <w:rFonts w:ascii="Times New Roman" w:hAnsi="Times New Roman"/>
          <w:b/>
          <w:bCs/>
          <w:color w:val="000080"/>
          <w:sz w:val="24"/>
          <w:szCs w:val="24"/>
        </w:rPr>
        <w:t>CAIR/CSAPR</w:t>
      </w:r>
      <w:bookmarkEnd w:id="10"/>
    </w:p>
    <w:p w:rsidR="00FC67F9" w:rsidRPr="00ED7E20" w:rsidRDefault="00FC67F9" w:rsidP="002A0CD0">
      <w:pPr>
        <w:keepNext/>
        <w:tabs>
          <w:tab w:val="left" w:pos="720"/>
          <w:tab w:val="left" w:pos="1428"/>
          <w:tab w:val="left" w:pos="4716"/>
          <w:tab w:val="left" w:pos="4896"/>
          <w:tab w:val="left" w:pos="6718"/>
        </w:tabs>
        <w:suppressAutoHyphens/>
        <w:spacing w:after="0" w:line="240" w:lineRule="auto"/>
        <w:rPr>
          <w:rFonts w:ascii="Times New Roman" w:hAnsi="Times New Roman"/>
          <w:sz w:val="24"/>
          <w:szCs w:val="24"/>
        </w:rPr>
      </w:pPr>
    </w:p>
    <w:p w:rsidR="00FC67F9" w:rsidRPr="00ED7E20" w:rsidRDefault="00FC67F9" w:rsidP="002A0CD0">
      <w:pPr>
        <w:spacing w:after="0" w:line="240" w:lineRule="auto"/>
        <w:rPr>
          <w:rFonts w:ascii="Times New Roman" w:hAnsi="Times New Roman"/>
          <w:color w:val="000080"/>
          <w:sz w:val="24"/>
          <w:szCs w:val="24"/>
        </w:rPr>
      </w:pPr>
      <w:r w:rsidRPr="00ED7E20">
        <w:rPr>
          <w:rFonts w:ascii="Times New Roman" w:hAnsi="Times New Roman"/>
          <w:b/>
          <w:color w:val="000080"/>
          <w:sz w:val="24"/>
          <w:szCs w:val="24"/>
        </w:rPr>
        <w:t>Clean Air Interstate Rule (CAIR)</w:t>
      </w:r>
    </w:p>
    <w:p w:rsidR="00FC67F9" w:rsidRPr="00ED7E20" w:rsidRDefault="00FC67F9" w:rsidP="002A0CD0">
      <w:pPr>
        <w:spacing w:after="0" w:line="240" w:lineRule="auto"/>
        <w:rPr>
          <w:rFonts w:ascii="Times New Roman" w:hAnsi="Times New Roman"/>
          <w:sz w:val="24"/>
          <w:szCs w:val="24"/>
        </w:rPr>
      </w:pPr>
      <w:r w:rsidRPr="00ED7E20">
        <w:rPr>
          <w:rFonts w:ascii="Times New Roman" w:hAnsi="Times New Roman"/>
          <w:sz w:val="24"/>
          <w:szCs w:val="24"/>
        </w:rPr>
        <w:t>The EPA issued the final CAIR in March 2005.  CAIR was designed to reduce SO</w:t>
      </w:r>
      <w:r w:rsidRPr="00ED7E20">
        <w:rPr>
          <w:rFonts w:ascii="Times New Roman" w:hAnsi="Times New Roman"/>
          <w:sz w:val="24"/>
          <w:szCs w:val="24"/>
          <w:vertAlign w:val="subscript"/>
        </w:rPr>
        <w:t>2</w:t>
      </w:r>
      <w:r w:rsidRPr="00ED7E20">
        <w:rPr>
          <w:rFonts w:ascii="Times New Roman" w:hAnsi="Times New Roman"/>
          <w:sz w:val="24"/>
          <w:szCs w:val="24"/>
        </w:rPr>
        <w:t xml:space="preserve"> and </w:t>
      </w:r>
      <w:r w:rsidRPr="008B42E6">
        <w:rPr>
          <w:rFonts w:ascii="Times New Roman" w:hAnsi="Times New Roman"/>
          <w:sz w:val="24"/>
          <w:szCs w:val="24"/>
        </w:rPr>
        <w:t>NO</w:t>
      </w:r>
      <w:r w:rsidR="008B42E6" w:rsidRPr="008B42E6">
        <w:rPr>
          <w:rFonts w:ascii="Times New Roman" w:hAnsi="Times New Roman"/>
          <w:sz w:val="24"/>
          <w:szCs w:val="24"/>
          <w:vertAlign w:val="subscript"/>
        </w:rPr>
        <w:t>x</w:t>
      </w:r>
      <w:r w:rsidRPr="00ED7E20">
        <w:rPr>
          <w:rFonts w:ascii="Times New Roman" w:hAnsi="Times New Roman"/>
          <w:sz w:val="24"/>
          <w:szCs w:val="24"/>
        </w:rPr>
        <w:t xml:space="preserve"> emissions that contribute to nonattainment of the ozone and </w:t>
      </w:r>
      <w:r w:rsidR="005374D8">
        <w:rPr>
          <w:rFonts w:ascii="Times New Roman" w:hAnsi="Times New Roman"/>
          <w:sz w:val="24"/>
          <w:szCs w:val="24"/>
        </w:rPr>
        <w:t>PM2.5</w:t>
      </w:r>
      <w:r w:rsidRPr="00ED7E20">
        <w:rPr>
          <w:rFonts w:ascii="Times New Roman" w:hAnsi="Times New Roman"/>
          <w:sz w:val="24"/>
          <w:szCs w:val="24"/>
        </w:rPr>
        <w:t xml:space="preserve"> NAAQS in twenty-eight Eastern states.  It is based on a cap-and-trade regulatory scheme for NO</w:t>
      </w:r>
      <w:r w:rsidRPr="00ED7E20">
        <w:rPr>
          <w:rFonts w:ascii="Times New Roman" w:hAnsi="Times New Roman"/>
          <w:sz w:val="24"/>
          <w:szCs w:val="24"/>
          <w:vertAlign w:val="subscript"/>
        </w:rPr>
        <w:t>x</w:t>
      </w:r>
      <w:r w:rsidRPr="00ED7E20">
        <w:rPr>
          <w:rFonts w:ascii="Times New Roman" w:hAnsi="Times New Roman"/>
          <w:sz w:val="24"/>
          <w:szCs w:val="24"/>
        </w:rPr>
        <w:t xml:space="preserve"> and SO</w:t>
      </w:r>
      <w:r w:rsidRPr="00ED7E20">
        <w:rPr>
          <w:rFonts w:ascii="Times New Roman" w:hAnsi="Times New Roman"/>
          <w:sz w:val="24"/>
          <w:szCs w:val="24"/>
          <w:vertAlign w:val="subscript"/>
        </w:rPr>
        <w:t>2</w:t>
      </w:r>
      <w:r w:rsidRPr="00ED7E20">
        <w:rPr>
          <w:rFonts w:ascii="Times New Roman" w:hAnsi="Times New Roman"/>
          <w:sz w:val="24"/>
          <w:szCs w:val="24"/>
        </w:rPr>
        <w:t xml:space="preserve"> that requires sources to hold allowances equal to their emissions.  Annual emission reductions were required in two phases, with the first phase of compliance set to begin in 2009 for NO</w:t>
      </w:r>
      <w:r w:rsidRPr="00ED7E20">
        <w:rPr>
          <w:rFonts w:ascii="Times New Roman" w:hAnsi="Times New Roman"/>
          <w:sz w:val="24"/>
          <w:szCs w:val="24"/>
          <w:vertAlign w:val="subscript"/>
        </w:rPr>
        <w:t>X</w:t>
      </w:r>
      <w:r w:rsidRPr="00ED7E20">
        <w:rPr>
          <w:rFonts w:ascii="Times New Roman" w:hAnsi="Times New Roman"/>
          <w:sz w:val="24"/>
          <w:szCs w:val="24"/>
        </w:rPr>
        <w:t xml:space="preserve"> (regional cap:  1.5 million tons or a reduction of approximately 50 percent from </w:t>
      </w:r>
      <w:r w:rsidR="002D5CAD">
        <w:rPr>
          <w:rFonts w:ascii="Times New Roman" w:hAnsi="Times New Roman"/>
          <w:sz w:val="24"/>
          <w:szCs w:val="24"/>
        </w:rPr>
        <w:t xml:space="preserve">then </w:t>
      </w:r>
      <w:r w:rsidRPr="00ED7E20">
        <w:rPr>
          <w:rFonts w:ascii="Times New Roman" w:hAnsi="Times New Roman"/>
          <w:sz w:val="24"/>
          <w:szCs w:val="24"/>
        </w:rPr>
        <w:t>current emissions levels) and 2010 for SO</w:t>
      </w:r>
      <w:r w:rsidRPr="00ED7E20">
        <w:rPr>
          <w:rFonts w:ascii="Times New Roman" w:hAnsi="Times New Roman"/>
          <w:sz w:val="24"/>
          <w:szCs w:val="24"/>
          <w:vertAlign w:val="subscript"/>
        </w:rPr>
        <w:t>2</w:t>
      </w:r>
      <w:r w:rsidRPr="00ED7E20">
        <w:rPr>
          <w:rFonts w:ascii="Times New Roman" w:hAnsi="Times New Roman"/>
          <w:sz w:val="24"/>
          <w:szCs w:val="24"/>
        </w:rPr>
        <w:t xml:space="preserve"> (regional cap:  3.6 million tons or a reduction of approximately 50 percent from </w:t>
      </w:r>
      <w:r w:rsidR="002D5CAD">
        <w:rPr>
          <w:rFonts w:ascii="Times New Roman" w:hAnsi="Times New Roman"/>
          <w:sz w:val="24"/>
          <w:szCs w:val="24"/>
        </w:rPr>
        <w:t>Acid Rain Program</w:t>
      </w:r>
      <w:r w:rsidRPr="00ED7E20">
        <w:rPr>
          <w:rFonts w:ascii="Times New Roman" w:hAnsi="Times New Roman"/>
          <w:sz w:val="24"/>
          <w:szCs w:val="24"/>
        </w:rPr>
        <w:t xml:space="preserve"> allocations).  The second phase </w:t>
      </w:r>
      <w:r w:rsidR="000F032F">
        <w:rPr>
          <w:rFonts w:ascii="Times New Roman" w:hAnsi="Times New Roman"/>
          <w:sz w:val="24"/>
          <w:szCs w:val="24"/>
        </w:rPr>
        <w:t xml:space="preserve">was </w:t>
      </w:r>
      <w:r w:rsidRPr="00ED7E20">
        <w:rPr>
          <w:rFonts w:ascii="Times New Roman" w:hAnsi="Times New Roman"/>
          <w:sz w:val="24"/>
          <w:szCs w:val="24"/>
        </w:rPr>
        <w:t>scheduled for 2015 (regional cap:  1.3 million tons or a reduction of approximately 65 percent from</w:t>
      </w:r>
      <w:r w:rsidR="002D5CAD">
        <w:rPr>
          <w:rFonts w:ascii="Times New Roman" w:hAnsi="Times New Roman"/>
          <w:sz w:val="24"/>
          <w:szCs w:val="24"/>
        </w:rPr>
        <w:t xml:space="preserve"> then</w:t>
      </w:r>
      <w:r w:rsidRPr="00ED7E20">
        <w:rPr>
          <w:rFonts w:ascii="Times New Roman" w:hAnsi="Times New Roman"/>
          <w:sz w:val="24"/>
          <w:szCs w:val="24"/>
        </w:rPr>
        <w:t xml:space="preserve"> current emissions levels for NO</w:t>
      </w:r>
      <w:r w:rsidR="00B27CA2">
        <w:rPr>
          <w:rFonts w:ascii="Times New Roman" w:hAnsi="Times New Roman"/>
          <w:sz w:val="24"/>
          <w:szCs w:val="24"/>
          <w:vertAlign w:val="subscript"/>
        </w:rPr>
        <w:t>x</w:t>
      </w:r>
      <w:r w:rsidRPr="00ED7E20">
        <w:rPr>
          <w:rFonts w:ascii="Times New Roman" w:hAnsi="Times New Roman"/>
          <w:sz w:val="24"/>
          <w:szCs w:val="24"/>
        </w:rPr>
        <w:t xml:space="preserve"> and 2.5 million tons or a reduction of approximately 70 percent from </w:t>
      </w:r>
      <w:r w:rsidR="002D5CAD">
        <w:rPr>
          <w:rFonts w:ascii="Times New Roman" w:hAnsi="Times New Roman"/>
          <w:sz w:val="24"/>
          <w:szCs w:val="24"/>
        </w:rPr>
        <w:t xml:space="preserve">Acid Rain Program </w:t>
      </w:r>
      <w:r w:rsidRPr="00ED7E20">
        <w:rPr>
          <w:rFonts w:ascii="Times New Roman" w:hAnsi="Times New Roman"/>
          <w:sz w:val="24"/>
          <w:szCs w:val="24"/>
        </w:rPr>
        <w:t>allocations for SO</w:t>
      </w:r>
      <w:r w:rsidRPr="00ED7E20">
        <w:rPr>
          <w:rFonts w:ascii="Times New Roman" w:hAnsi="Times New Roman"/>
          <w:sz w:val="24"/>
          <w:szCs w:val="24"/>
          <w:vertAlign w:val="subscript"/>
        </w:rPr>
        <w:t>2</w:t>
      </w:r>
      <w:r w:rsidRPr="00ED7E20">
        <w:rPr>
          <w:rFonts w:ascii="Times New Roman" w:hAnsi="Times New Roman"/>
          <w:sz w:val="24"/>
          <w:szCs w:val="24"/>
        </w:rPr>
        <w:t xml:space="preserve">).  Alabama, Florida, Georgia, and Mississippi are affected for the </w:t>
      </w:r>
      <w:r w:rsidR="005374D8">
        <w:rPr>
          <w:rFonts w:ascii="Times New Roman" w:hAnsi="Times New Roman"/>
          <w:sz w:val="24"/>
          <w:szCs w:val="24"/>
        </w:rPr>
        <w:t>PM2.5</w:t>
      </w:r>
      <w:r w:rsidRPr="00ED7E20">
        <w:rPr>
          <w:rFonts w:ascii="Times New Roman" w:hAnsi="Times New Roman"/>
          <w:sz w:val="24"/>
          <w:szCs w:val="24"/>
        </w:rPr>
        <w:t xml:space="preserve"> requirements, and power plants in these states are required to </w:t>
      </w:r>
      <w:r w:rsidR="0096513C">
        <w:rPr>
          <w:rFonts w:ascii="Times New Roman" w:hAnsi="Times New Roman"/>
          <w:sz w:val="24"/>
          <w:szCs w:val="24"/>
        </w:rPr>
        <w:t xml:space="preserve">hold allowances to </w:t>
      </w:r>
      <w:r w:rsidRPr="00ED7E20">
        <w:rPr>
          <w:rFonts w:ascii="Times New Roman" w:hAnsi="Times New Roman"/>
          <w:sz w:val="24"/>
          <w:szCs w:val="24"/>
        </w:rPr>
        <w:t>meet annual emission caps for SO</w:t>
      </w:r>
      <w:r w:rsidRPr="00ED7E20">
        <w:rPr>
          <w:rFonts w:ascii="Times New Roman" w:hAnsi="Times New Roman"/>
          <w:sz w:val="24"/>
          <w:szCs w:val="24"/>
          <w:vertAlign w:val="subscript"/>
        </w:rPr>
        <w:t>2</w:t>
      </w:r>
      <w:r w:rsidRPr="00ED7E20">
        <w:rPr>
          <w:rFonts w:ascii="Times New Roman" w:hAnsi="Times New Roman"/>
          <w:sz w:val="24"/>
          <w:szCs w:val="24"/>
        </w:rPr>
        <w:t xml:space="preserve"> and NO</w:t>
      </w:r>
      <w:r w:rsidR="00555788" w:rsidRPr="00555788">
        <w:rPr>
          <w:rFonts w:ascii="Times New Roman" w:hAnsi="Times New Roman"/>
          <w:sz w:val="24"/>
          <w:szCs w:val="24"/>
          <w:vertAlign w:val="subscript"/>
        </w:rPr>
        <w:t>x</w:t>
      </w:r>
      <w:r w:rsidR="005374D8">
        <w:rPr>
          <w:rFonts w:ascii="Times New Roman" w:hAnsi="Times New Roman"/>
          <w:sz w:val="24"/>
          <w:szCs w:val="24"/>
        </w:rPr>
        <w:t xml:space="preserve"> (precursors to PM2.5)</w:t>
      </w:r>
      <w:r w:rsidRPr="00ED7E20">
        <w:rPr>
          <w:rFonts w:ascii="Times New Roman" w:hAnsi="Times New Roman"/>
          <w:sz w:val="24"/>
          <w:szCs w:val="24"/>
        </w:rPr>
        <w:t>.  Alabama, Florida, and Mississippi, but not Georgia, are affected for the ozone season requirements, and power plants in these states are required to have allowances to meet summer-season NO</w:t>
      </w:r>
      <w:r w:rsidR="00B27CA2">
        <w:rPr>
          <w:rFonts w:ascii="Times New Roman" w:hAnsi="Times New Roman"/>
          <w:sz w:val="24"/>
          <w:szCs w:val="24"/>
          <w:vertAlign w:val="subscript"/>
        </w:rPr>
        <w:t>x</w:t>
      </w:r>
      <w:r w:rsidRPr="00ED7E20">
        <w:rPr>
          <w:rFonts w:ascii="Times New Roman" w:hAnsi="Times New Roman"/>
          <w:sz w:val="24"/>
          <w:szCs w:val="24"/>
        </w:rPr>
        <w:t xml:space="preserve"> caps</w:t>
      </w:r>
      <w:r w:rsidR="00AA2A9D">
        <w:rPr>
          <w:rFonts w:ascii="Times New Roman" w:hAnsi="Times New Roman"/>
          <w:sz w:val="24"/>
          <w:szCs w:val="24"/>
        </w:rPr>
        <w:t>.</w:t>
      </w:r>
    </w:p>
    <w:p w:rsidR="00FC67F9" w:rsidRPr="00ED7E20" w:rsidRDefault="00FC67F9" w:rsidP="002A0CD0">
      <w:pPr>
        <w:spacing w:after="0" w:line="240" w:lineRule="auto"/>
        <w:rPr>
          <w:rFonts w:ascii="Times New Roman" w:hAnsi="Times New Roman"/>
          <w:sz w:val="24"/>
          <w:szCs w:val="24"/>
        </w:rPr>
      </w:pPr>
    </w:p>
    <w:p w:rsidR="00FC67F9" w:rsidRPr="00ED7E20" w:rsidRDefault="00FC67F9" w:rsidP="002A0CD0">
      <w:pPr>
        <w:spacing w:after="0" w:line="240" w:lineRule="auto"/>
        <w:rPr>
          <w:rFonts w:ascii="Times New Roman" w:hAnsi="Times New Roman"/>
          <w:sz w:val="24"/>
          <w:szCs w:val="24"/>
        </w:rPr>
      </w:pPr>
      <w:r w:rsidRPr="00ED7E20">
        <w:rPr>
          <w:rFonts w:ascii="Times New Roman" w:hAnsi="Times New Roman"/>
        </w:rPr>
        <w:t xml:space="preserve">On </w:t>
      </w:r>
      <w:r w:rsidRPr="00ED7E20">
        <w:rPr>
          <w:rFonts w:ascii="Times New Roman" w:hAnsi="Times New Roman"/>
          <w:sz w:val="24"/>
          <w:szCs w:val="24"/>
        </w:rPr>
        <w:t>July 11, 2008, in response to petitions brought by certain states and regulated industries challenging particular aspects of CAIR, the United States Court of Appeals for the District of Columbia Circuit issued a decision vacating CAIR in its entirety, and remanding it to EPA for further action consistent with its opinion</w:t>
      </w:r>
      <w:r w:rsidR="000F032F">
        <w:rPr>
          <w:rFonts w:ascii="Times New Roman" w:hAnsi="Times New Roman"/>
          <w:sz w:val="24"/>
          <w:szCs w:val="24"/>
        </w:rPr>
        <w:t xml:space="preserve">.  </w:t>
      </w:r>
      <w:r w:rsidRPr="00ED7E20">
        <w:rPr>
          <w:rFonts w:ascii="Times New Roman" w:hAnsi="Times New Roman"/>
          <w:sz w:val="24"/>
          <w:szCs w:val="24"/>
        </w:rPr>
        <w:t>In December 2008, however, the U.S. Circuit Court amended its July decision in response to the rehearing petitions and remanded CAIR to EPA without vacatur, thereby leaving CAIR compliance requirements in place while EPA develop</w:t>
      </w:r>
      <w:r w:rsidR="001C077F">
        <w:rPr>
          <w:rFonts w:ascii="Times New Roman" w:hAnsi="Times New Roman"/>
          <w:sz w:val="24"/>
          <w:szCs w:val="24"/>
        </w:rPr>
        <w:t>ed</w:t>
      </w:r>
      <w:r w:rsidRPr="00ED7E20">
        <w:rPr>
          <w:rFonts w:ascii="Times New Roman" w:hAnsi="Times New Roman"/>
          <w:sz w:val="24"/>
          <w:szCs w:val="24"/>
        </w:rPr>
        <w:t xml:space="preserve"> a revised rule.  </w:t>
      </w:r>
    </w:p>
    <w:p w:rsidR="00FC67F9" w:rsidRPr="00ED7E20" w:rsidRDefault="00FC67F9" w:rsidP="002A0CD0">
      <w:pPr>
        <w:tabs>
          <w:tab w:val="left" w:pos="720"/>
          <w:tab w:val="left" w:pos="1428"/>
          <w:tab w:val="left" w:pos="4716"/>
          <w:tab w:val="left" w:pos="4896"/>
          <w:tab w:val="left" w:pos="6718"/>
        </w:tabs>
        <w:suppressAutoHyphens/>
        <w:spacing w:after="0" w:line="240" w:lineRule="auto"/>
        <w:rPr>
          <w:rFonts w:ascii="Times New Roman" w:hAnsi="Times New Roman"/>
        </w:rPr>
      </w:pPr>
    </w:p>
    <w:p w:rsidR="00FC67F9" w:rsidRPr="00ED7E20" w:rsidRDefault="00FC67F9" w:rsidP="002A0CD0">
      <w:pPr>
        <w:spacing w:after="0" w:line="240" w:lineRule="auto"/>
        <w:rPr>
          <w:rFonts w:ascii="Times New Roman" w:hAnsi="Times New Roman"/>
          <w:color w:val="000080"/>
          <w:sz w:val="24"/>
          <w:szCs w:val="24"/>
        </w:rPr>
      </w:pPr>
      <w:r w:rsidRPr="00ED7E20">
        <w:rPr>
          <w:rFonts w:ascii="Times New Roman" w:hAnsi="Times New Roman"/>
          <w:b/>
          <w:color w:val="000080"/>
          <w:sz w:val="24"/>
          <w:szCs w:val="24"/>
        </w:rPr>
        <w:t>Cross State Air Pollution Rule (CSAPR)</w:t>
      </w:r>
    </w:p>
    <w:p w:rsidR="00AA2A9D" w:rsidRPr="00ED7E20" w:rsidRDefault="00AA2A9D" w:rsidP="002A0CD0">
      <w:pPr>
        <w:spacing w:after="0" w:line="240" w:lineRule="auto"/>
        <w:rPr>
          <w:rFonts w:ascii="Times New Roman" w:hAnsi="Times New Roman"/>
          <w:sz w:val="24"/>
          <w:szCs w:val="24"/>
        </w:rPr>
      </w:pPr>
      <w:r w:rsidRPr="00ED7E20">
        <w:rPr>
          <w:rFonts w:ascii="Times New Roman" w:hAnsi="Times New Roman"/>
          <w:sz w:val="24"/>
          <w:szCs w:val="24"/>
        </w:rPr>
        <w:t xml:space="preserve">On July 7, 2011 EPA released the final Cross State Air Pollution Rule </w:t>
      </w:r>
      <w:r w:rsidR="002D4930">
        <w:rPr>
          <w:rFonts w:ascii="Times New Roman" w:hAnsi="Times New Roman"/>
          <w:sz w:val="24"/>
          <w:szCs w:val="24"/>
        </w:rPr>
        <w:t xml:space="preserve">(CSAPR) </w:t>
      </w:r>
      <w:r w:rsidRPr="00ED7E20">
        <w:rPr>
          <w:rFonts w:ascii="Times New Roman" w:hAnsi="Times New Roman"/>
          <w:sz w:val="24"/>
          <w:szCs w:val="24"/>
        </w:rPr>
        <w:t xml:space="preserve">as a replacement to CAIR. </w:t>
      </w:r>
      <w:r>
        <w:rPr>
          <w:rFonts w:ascii="Times New Roman" w:hAnsi="Times New Roman"/>
          <w:sz w:val="24"/>
          <w:szCs w:val="24"/>
        </w:rPr>
        <w:t xml:space="preserve"> The final rule applie</w:t>
      </w:r>
      <w:r w:rsidR="001C077F">
        <w:rPr>
          <w:rFonts w:ascii="Times New Roman" w:hAnsi="Times New Roman"/>
          <w:sz w:val="24"/>
          <w:szCs w:val="24"/>
        </w:rPr>
        <w:t>d</w:t>
      </w:r>
      <w:r>
        <w:rPr>
          <w:rFonts w:ascii="Times New Roman" w:hAnsi="Times New Roman"/>
          <w:sz w:val="24"/>
          <w:szCs w:val="24"/>
        </w:rPr>
        <w:t xml:space="preserve"> to 27 states, including Georgia and the other affiliate company states.  Like CAIR, CSAPR establishe</w:t>
      </w:r>
      <w:r w:rsidR="002D4930">
        <w:rPr>
          <w:rFonts w:ascii="Times New Roman" w:hAnsi="Times New Roman"/>
          <w:sz w:val="24"/>
          <w:szCs w:val="24"/>
        </w:rPr>
        <w:t>d</w:t>
      </w:r>
      <w:r>
        <w:rPr>
          <w:rFonts w:ascii="Times New Roman" w:hAnsi="Times New Roman"/>
          <w:sz w:val="24"/>
          <w:szCs w:val="24"/>
        </w:rPr>
        <w:t xml:space="preserve"> an annual allowance trading program for SO</w:t>
      </w:r>
      <w:r w:rsidR="00555788" w:rsidRPr="00555788">
        <w:rPr>
          <w:rFonts w:ascii="Times New Roman" w:hAnsi="Times New Roman"/>
          <w:sz w:val="24"/>
          <w:szCs w:val="24"/>
          <w:vertAlign w:val="subscript"/>
        </w:rPr>
        <w:t>2</w:t>
      </w:r>
      <w:r>
        <w:rPr>
          <w:rFonts w:ascii="Times New Roman" w:hAnsi="Times New Roman"/>
          <w:sz w:val="24"/>
          <w:szCs w:val="24"/>
        </w:rPr>
        <w:t xml:space="preserve"> and NOx to reduce transport of fine particulate matter and a separate ozone season NO</w:t>
      </w:r>
      <w:r w:rsidR="00555788" w:rsidRPr="00555788">
        <w:rPr>
          <w:rFonts w:ascii="Times New Roman" w:hAnsi="Times New Roman"/>
          <w:sz w:val="24"/>
          <w:szCs w:val="24"/>
          <w:vertAlign w:val="subscript"/>
        </w:rPr>
        <w:t>x</w:t>
      </w:r>
      <w:r>
        <w:rPr>
          <w:rFonts w:ascii="Times New Roman" w:hAnsi="Times New Roman"/>
          <w:sz w:val="24"/>
          <w:szCs w:val="24"/>
        </w:rPr>
        <w:t xml:space="preserve"> allowance trading program to reduce ground-level ozone.  However, the final CSAPR differ</w:t>
      </w:r>
      <w:r w:rsidR="001C077F">
        <w:rPr>
          <w:rFonts w:ascii="Times New Roman" w:hAnsi="Times New Roman"/>
          <w:sz w:val="24"/>
          <w:szCs w:val="24"/>
        </w:rPr>
        <w:t>ed</w:t>
      </w:r>
      <w:r>
        <w:rPr>
          <w:rFonts w:ascii="Times New Roman" w:hAnsi="Times New Roman"/>
          <w:sz w:val="24"/>
          <w:szCs w:val="24"/>
        </w:rPr>
        <w:t xml:space="preserve"> from CAIR in many ways.  In a significant departure from past federal allowance trading programs, CSAPR only allow</w:t>
      </w:r>
      <w:r w:rsidR="001C077F">
        <w:rPr>
          <w:rFonts w:ascii="Times New Roman" w:hAnsi="Times New Roman"/>
          <w:sz w:val="24"/>
          <w:szCs w:val="24"/>
        </w:rPr>
        <w:t>ed</w:t>
      </w:r>
      <w:r>
        <w:rPr>
          <w:rFonts w:ascii="Times New Roman" w:hAnsi="Times New Roman"/>
          <w:sz w:val="24"/>
          <w:szCs w:val="24"/>
        </w:rPr>
        <w:t xml:space="preserve"> for limited interstate trading.  For example, the rule divide</w:t>
      </w:r>
      <w:r w:rsidR="001C077F">
        <w:rPr>
          <w:rFonts w:ascii="Times New Roman" w:hAnsi="Times New Roman"/>
          <w:sz w:val="24"/>
          <w:szCs w:val="24"/>
        </w:rPr>
        <w:t>d</w:t>
      </w:r>
      <w:r>
        <w:rPr>
          <w:rFonts w:ascii="Times New Roman" w:hAnsi="Times New Roman"/>
          <w:sz w:val="24"/>
          <w:szCs w:val="24"/>
        </w:rPr>
        <w:t xml:space="preserve"> states into two groups for purposes of SO</w:t>
      </w:r>
      <w:r w:rsidR="00555788" w:rsidRPr="00555788">
        <w:rPr>
          <w:rFonts w:ascii="Times New Roman" w:hAnsi="Times New Roman"/>
          <w:sz w:val="24"/>
          <w:szCs w:val="24"/>
          <w:vertAlign w:val="subscript"/>
        </w:rPr>
        <w:t>2</w:t>
      </w:r>
      <w:r>
        <w:rPr>
          <w:rFonts w:ascii="Times New Roman" w:hAnsi="Times New Roman"/>
          <w:sz w:val="24"/>
          <w:szCs w:val="24"/>
        </w:rPr>
        <w:t xml:space="preserve"> allowance trading – Group 1 and Group 2.  While trading </w:t>
      </w:r>
      <w:r w:rsidR="001C077F">
        <w:rPr>
          <w:rFonts w:ascii="Times New Roman" w:hAnsi="Times New Roman"/>
          <w:sz w:val="24"/>
          <w:szCs w:val="24"/>
        </w:rPr>
        <w:t>wa</w:t>
      </w:r>
      <w:r>
        <w:rPr>
          <w:rFonts w:ascii="Times New Roman" w:hAnsi="Times New Roman"/>
          <w:sz w:val="24"/>
          <w:szCs w:val="24"/>
        </w:rPr>
        <w:t>s allowed within a given group, the rule prohibit</w:t>
      </w:r>
      <w:r w:rsidR="001C077F">
        <w:rPr>
          <w:rFonts w:ascii="Times New Roman" w:hAnsi="Times New Roman"/>
          <w:sz w:val="24"/>
          <w:szCs w:val="24"/>
        </w:rPr>
        <w:t>ed</w:t>
      </w:r>
      <w:r>
        <w:rPr>
          <w:rFonts w:ascii="Times New Roman" w:hAnsi="Times New Roman"/>
          <w:sz w:val="24"/>
          <w:szCs w:val="24"/>
        </w:rPr>
        <w:t xml:space="preserve"> trading across the two groups.  For example, both Georgia and Alabama </w:t>
      </w:r>
      <w:r w:rsidR="001C077F">
        <w:rPr>
          <w:rFonts w:ascii="Times New Roman" w:hAnsi="Times New Roman"/>
          <w:sz w:val="24"/>
          <w:szCs w:val="24"/>
        </w:rPr>
        <w:t>we</w:t>
      </w:r>
      <w:r>
        <w:rPr>
          <w:rFonts w:ascii="Times New Roman" w:hAnsi="Times New Roman"/>
          <w:sz w:val="24"/>
          <w:szCs w:val="24"/>
        </w:rPr>
        <w:t>re part of Group 2; therefore, sources in those states c</w:t>
      </w:r>
      <w:r w:rsidR="001C077F">
        <w:rPr>
          <w:rFonts w:ascii="Times New Roman" w:hAnsi="Times New Roman"/>
          <w:sz w:val="24"/>
          <w:szCs w:val="24"/>
        </w:rPr>
        <w:t>ould</w:t>
      </w:r>
      <w:r>
        <w:rPr>
          <w:rFonts w:ascii="Times New Roman" w:hAnsi="Times New Roman"/>
          <w:sz w:val="24"/>
          <w:szCs w:val="24"/>
        </w:rPr>
        <w:t xml:space="preserve"> buy and sell SO</w:t>
      </w:r>
      <w:r w:rsidR="00555788" w:rsidRPr="00555788">
        <w:rPr>
          <w:rFonts w:ascii="Times New Roman" w:hAnsi="Times New Roman"/>
          <w:sz w:val="24"/>
          <w:szCs w:val="24"/>
          <w:vertAlign w:val="subscript"/>
        </w:rPr>
        <w:t>2</w:t>
      </w:r>
      <w:r>
        <w:rPr>
          <w:rFonts w:ascii="Times New Roman" w:hAnsi="Times New Roman"/>
          <w:sz w:val="24"/>
          <w:szCs w:val="24"/>
        </w:rPr>
        <w:t xml:space="preserve"> allowances with each other.  However, North Carolina, Virginia, West Virginia, Pennsylvania, Ohio, Indiana and Illinois </w:t>
      </w:r>
      <w:r w:rsidR="001C077F">
        <w:rPr>
          <w:rFonts w:ascii="Times New Roman" w:hAnsi="Times New Roman"/>
          <w:sz w:val="24"/>
          <w:szCs w:val="24"/>
        </w:rPr>
        <w:t>we</w:t>
      </w:r>
      <w:r>
        <w:rPr>
          <w:rFonts w:ascii="Times New Roman" w:hAnsi="Times New Roman"/>
          <w:sz w:val="24"/>
          <w:szCs w:val="24"/>
        </w:rPr>
        <w:t xml:space="preserve">re all Group 1 states; therefore sources in Alabama and Georgia </w:t>
      </w:r>
      <w:r w:rsidR="001C077F">
        <w:rPr>
          <w:rFonts w:ascii="Times New Roman" w:hAnsi="Times New Roman"/>
          <w:sz w:val="24"/>
          <w:szCs w:val="24"/>
        </w:rPr>
        <w:t xml:space="preserve">could </w:t>
      </w:r>
      <w:r w:rsidR="00E45DE0">
        <w:rPr>
          <w:rFonts w:ascii="Times New Roman" w:hAnsi="Times New Roman"/>
          <w:sz w:val="24"/>
          <w:szCs w:val="24"/>
        </w:rPr>
        <w:t xml:space="preserve">not </w:t>
      </w:r>
      <w:r>
        <w:rPr>
          <w:rFonts w:ascii="Times New Roman" w:hAnsi="Times New Roman"/>
          <w:sz w:val="24"/>
          <w:szCs w:val="24"/>
        </w:rPr>
        <w:t>trade with sources in those states.  In addition, like CAIR, CSAPR establishe</w:t>
      </w:r>
      <w:r w:rsidR="001C077F">
        <w:rPr>
          <w:rFonts w:ascii="Times New Roman" w:hAnsi="Times New Roman"/>
          <w:sz w:val="24"/>
          <w:szCs w:val="24"/>
        </w:rPr>
        <w:t>d</w:t>
      </w:r>
      <w:r>
        <w:rPr>
          <w:rFonts w:ascii="Times New Roman" w:hAnsi="Times New Roman"/>
          <w:sz w:val="24"/>
          <w:szCs w:val="24"/>
        </w:rPr>
        <w:t xml:space="preserve"> SO</w:t>
      </w:r>
      <w:r w:rsidR="00555788" w:rsidRPr="00555788">
        <w:rPr>
          <w:rFonts w:ascii="Times New Roman" w:hAnsi="Times New Roman"/>
          <w:sz w:val="24"/>
          <w:szCs w:val="24"/>
          <w:vertAlign w:val="subscript"/>
        </w:rPr>
        <w:t>2</w:t>
      </w:r>
      <w:r>
        <w:rPr>
          <w:rFonts w:ascii="Times New Roman" w:hAnsi="Times New Roman"/>
          <w:sz w:val="24"/>
          <w:szCs w:val="24"/>
        </w:rPr>
        <w:t xml:space="preserve"> and NO</w:t>
      </w:r>
      <w:r w:rsidR="00555788" w:rsidRPr="00555788">
        <w:rPr>
          <w:rFonts w:ascii="Times New Roman" w:hAnsi="Times New Roman"/>
          <w:sz w:val="24"/>
          <w:szCs w:val="24"/>
          <w:vertAlign w:val="subscript"/>
        </w:rPr>
        <w:t>x</w:t>
      </w:r>
      <w:r>
        <w:rPr>
          <w:rFonts w:ascii="Times New Roman" w:hAnsi="Times New Roman"/>
          <w:sz w:val="24"/>
          <w:szCs w:val="24"/>
        </w:rPr>
        <w:t xml:space="preserve"> emissions budgets for each affected state but CSAPR prohibit</w:t>
      </w:r>
      <w:r w:rsidR="001C077F">
        <w:rPr>
          <w:rFonts w:ascii="Times New Roman" w:hAnsi="Times New Roman"/>
          <w:sz w:val="24"/>
          <w:szCs w:val="24"/>
        </w:rPr>
        <w:t>ed</w:t>
      </w:r>
      <w:r>
        <w:rPr>
          <w:rFonts w:ascii="Times New Roman" w:hAnsi="Times New Roman"/>
          <w:sz w:val="24"/>
          <w:szCs w:val="24"/>
        </w:rPr>
        <w:t xml:space="preserve"> states from exceeding their state-wide budgets by more than a set percentage, referred to as the “variability limit.”  </w:t>
      </w:r>
      <w:r w:rsidR="00AF2AC7" w:rsidRPr="00EC781E">
        <w:rPr>
          <w:rFonts w:ascii="Times New Roman" w:hAnsi="Times New Roman"/>
          <w:sz w:val="24"/>
          <w:szCs w:val="24"/>
        </w:rPr>
        <w:t xml:space="preserve">In other words, CSAPR </w:t>
      </w:r>
      <w:r w:rsidR="00AF2AC7">
        <w:rPr>
          <w:rFonts w:ascii="Times New Roman" w:hAnsi="Times New Roman"/>
          <w:sz w:val="24"/>
          <w:szCs w:val="24"/>
        </w:rPr>
        <w:t>wa</w:t>
      </w:r>
      <w:r w:rsidR="00AF2AC7" w:rsidRPr="00EC781E">
        <w:rPr>
          <w:rFonts w:ascii="Times New Roman" w:hAnsi="Times New Roman"/>
          <w:sz w:val="24"/>
          <w:szCs w:val="24"/>
        </w:rPr>
        <w:t xml:space="preserve">s not an unlimited cap-and-trade program like CAIR. </w:t>
      </w:r>
      <w:r w:rsidRPr="00ED7E20">
        <w:rPr>
          <w:rFonts w:ascii="Times New Roman" w:hAnsi="Times New Roman"/>
          <w:sz w:val="24"/>
          <w:szCs w:val="24"/>
        </w:rPr>
        <w:t xml:space="preserve">The final rule </w:t>
      </w:r>
      <w:r w:rsidR="001C077F">
        <w:rPr>
          <w:rFonts w:ascii="Times New Roman" w:hAnsi="Times New Roman"/>
          <w:sz w:val="24"/>
          <w:szCs w:val="24"/>
        </w:rPr>
        <w:t>wa</w:t>
      </w:r>
      <w:r w:rsidRPr="00ED7E20">
        <w:rPr>
          <w:rFonts w:ascii="Times New Roman" w:hAnsi="Times New Roman"/>
          <w:sz w:val="24"/>
          <w:szCs w:val="24"/>
        </w:rPr>
        <w:t>s structured as a Federal Implementation Plan (FIP).  States ha</w:t>
      </w:r>
      <w:r w:rsidR="001C077F">
        <w:rPr>
          <w:rFonts w:ascii="Times New Roman" w:hAnsi="Times New Roman"/>
          <w:sz w:val="24"/>
          <w:szCs w:val="24"/>
        </w:rPr>
        <w:t>d</w:t>
      </w:r>
      <w:r w:rsidRPr="00ED7E20">
        <w:rPr>
          <w:rFonts w:ascii="Times New Roman" w:hAnsi="Times New Roman"/>
          <w:sz w:val="24"/>
          <w:szCs w:val="24"/>
        </w:rPr>
        <w:t xml:space="preserve"> the option of adopting a State Implementation Plan (SIP), but not for initial compliance.</w:t>
      </w:r>
      <w:r w:rsidR="00DE637D">
        <w:rPr>
          <w:rFonts w:ascii="Times New Roman" w:hAnsi="Times New Roman"/>
          <w:sz w:val="24"/>
          <w:szCs w:val="24"/>
        </w:rPr>
        <w:t xml:space="preserve"> </w:t>
      </w:r>
      <w:r w:rsidR="006E444E">
        <w:rPr>
          <w:rFonts w:ascii="Times New Roman" w:hAnsi="Times New Roman"/>
          <w:sz w:val="24"/>
          <w:szCs w:val="24"/>
        </w:rPr>
        <w:t xml:space="preserve"> </w:t>
      </w:r>
      <w:r w:rsidR="00DE637D" w:rsidRPr="00EC781E">
        <w:rPr>
          <w:rFonts w:ascii="Times New Roman" w:hAnsi="Times New Roman"/>
          <w:sz w:val="24"/>
          <w:szCs w:val="24"/>
        </w:rPr>
        <w:t>CSAPR require</w:t>
      </w:r>
      <w:r w:rsidR="001C077F">
        <w:rPr>
          <w:rFonts w:ascii="Times New Roman" w:hAnsi="Times New Roman"/>
          <w:sz w:val="24"/>
          <w:szCs w:val="24"/>
        </w:rPr>
        <w:t>d</w:t>
      </w:r>
      <w:r w:rsidR="00DE637D" w:rsidRPr="00EC781E">
        <w:rPr>
          <w:rFonts w:ascii="Times New Roman" w:hAnsi="Times New Roman"/>
          <w:sz w:val="24"/>
          <w:szCs w:val="24"/>
        </w:rPr>
        <w:t xml:space="preserve"> unreasonable emission reductions by 2012, just six months after issuance of the final rule. The map below illustrates the states included in CSAPR. Alabama and Georgia </w:t>
      </w:r>
      <w:r w:rsidR="001C077F">
        <w:rPr>
          <w:rFonts w:ascii="Times New Roman" w:hAnsi="Times New Roman"/>
          <w:sz w:val="24"/>
          <w:szCs w:val="24"/>
        </w:rPr>
        <w:t>we</w:t>
      </w:r>
      <w:r w:rsidR="00DE637D" w:rsidRPr="00EC781E">
        <w:rPr>
          <w:rFonts w:ascii="Times New Roman" w:hAnsi="Times New Roman"/>
          <w:sz w:val="24"/>
          <w:szCs w:val="24"/>
        </w:rPr>
        <w:t>re included in the annual SO</w:t>
      </w:r>
      <w:r w:rsidR="00DE637D" w:rsidRPr="00EC781E">
        <w:rPr>
          <w:rFonts w:ascii="Times New Roman" w:hAnsi="Times New Roman"/>
          <w:sz w:val="24"/>
          <w:szCs w:val="24"/>
          <w:vertAlign w:val="subscript"/>
        </w:rPr>
        <w:t>2</w:t>
      </w:r>
      <w:r w:rsidR="00DE637D" w:rsidRPr="00EC781E">
        <w:rPr>
          <w:rFonts w:ascii="Times New Roman" w:hAnsi="Times New Roman"/>
          <w:sz w:val="24"/>
          <w:szCs w:val="24"/>
        </w:rPr>
        <w:t>, annual NO</w:t>
      </w:r>
      <w:r w:rsidR="00DE637D" w:rsidRPr="00EC781E">
        <w:rPr>
          <w:rFonts w:ascii="Times New Roman" w:hAnsi="Times New Roman"/>
          <w:sz w:val="24"/>
          <w:szCs w:val="24"/>
          <w:vertAlign w:val="subscript"/>
        </w:rPr>
        <w:t>X</w:t>
      </w:r>
      <w:r w:rsidR="00DE637D" w:rsidRPr="00EC781E">
        <w:rPr>
          <w:rFonts w:ascii="Times New Roman" w:hAnsi="Times New Roman"/>
          <w:sz w:val="24"/>
          <w:szCs w:val="24"/>
        </w:rPr>
        <w:t>, and seasonal NO</w:t>
      </w:r>
      <w:r w:rsidR="00DE637D" w:rsidRPr="00EC781E">
        <w:rPr>
          <w:rFonts w:ascii="Times New Roman" w:hAnsi="Times New Roman"/>
          <w:sz w:val="24"/>
          <w:szCs w:val="24"/>
          <w:vertAlign w:val="subscript"/>
        </w:rPr>
        <w:t>X</w:t>
      </w:r>
      <w:r w:rsidR="00DE637D" w:rsidRPr="00EC781E">
        <w:rPr>
          <w:rFonts w:ascii="Times New Roman" w:hAnsi="Times New Roman"/>
          <w:sz w:val="24"/>
          <w:szCs w:val="24"/>
        </w:rPr>
        <w:t xml:space="preserve"> programs, whereas Mississippi and Florida </w:t>
      </w:r>
      <w:r w:rsidR="001C077F">
        <w:rPr>
          <w:rFonts w:ascii="Times New Roman" w:hAnsi="Times New Roman"/>
          <w:sz w:val="24"/>
          <w:szCs w:val="24"/>
        </w:rPr>
        <w:t>we</w:t>
      </w:r>
      <w:r w:rsidR="00DE637D" w:rsidRPr="00EC781E">
        <w:rPr>
          <w:rFonts w:ascii="Times New Roman" w:hAnsi="Times New Roman"/>
          <w:sz w:val="24"/>
          <w:szCs w:val="24"/>
        </w:rPr>
        <w:t>re included only in the seasonal NO</w:t>
      </w:r>
      <w:r w:rsidR="00DE637D" w:rsidRPr="00EC781E">
        <w:rPr>
          <w:rFonts w:ascii="Times New Roman" w:hAnsi="Times New Roman"/>
          <w:sz w:val="24"/>
          <w:szCs w:val="24"/>
          <w:vertAlign w:val="subscript"/>
        </w:rPr>
        <w:t>X</w:t>
      </w:r>
      <w:r w:rsidR="00DE637D" w:rsidRPr="00EC781E">
        <w:rPr>
          <w:rFonts w:ascii="Times New Roman" w:hAnsi="Times New Roman"/>
          <w:sz w:val="24"/>
          <w:szCs w:val="24"/>
        </w:rPr>
        <w:t xml:space="preserve"> program (ozone season).</w:t>
      </w:r>
    </w:p>
    <w:p w:rsidR="00AA2A9D" w:rsidRPr="00ED7E20" w:rsidRDefault="00AA2A9D" w:rsidP="002A0CD0">
      <w:pPr>
        <w:spacing w:after="0" w:line="240" w:lineRule="auto"/>
        <w:rPr>
          <w:rFonts w:ascii="Times New Roman" w:hAnsi="Times New Roman"/>
          <w:sz w:val="24"/>
          <w:szCs w:val="24"/>
        </w:rPr>
      </w:pPr>
    </w:p>
    <w:p w:rsidR="00B27CA2" w:rsidRPr="00575CF2" w:rsidRDefault="00555788" w:rsidP="002A0CD0">
      <w:pPr>
        <w:spacing w:after="0" w:line="240" w:lineRule="auto"/>
        <w:rPr>
          <w:rFonts w:ascii="Times New Roman" w:hAnsi="Times New Roman"/>
          <w:sz w:val="24"/>
        </w:rPr>
      </w:pPr>
      <w:r w:rsidRPr="00555788">
        <w:rPr>
          <w:rFonts w:ascii="Times New Roman" w:hAnsi="Times New Roman"/>
          <w:sz w:val="24"/>
        </w:rPr>
        <w:t xml:space="preserve">In addition to unreasonable deadlines and requirements, the final CSAPR contained numerous and significant errors. </w:t>
      </w:r>
      <w:r w:rsidR="002D4930">
        <w:rPr>
          <w:rFonts w:ascii="Times New Roman" w:hAnsi="Times New Roman"/>
          <w:sz w:val="24"/>
        </w:rPr>
        <w:t xml:space="preserve"> </w:t>
      </w:r>
      <w:r w:rsidRPr="00555788">
        <w:rPr>
          <w:rFonts w:ascii="Times New Roman" w:hAnsi="Times New Roman"/>
          <w:sz w:val="24"/>
        </w:rPr>
        <w:t xml:space="preserve">These underlying flaws, combined with the immediate nature of the rule, caused numerous states, industry organizations, and utilities to challenge the rule. </w:t>
      </w:r>
      <w:r w:rsidR="006E444E">
        <w:rPr>
          <w:rFonts w:ascii="Times New Roman" w:hAnsi="Times New Roman"/>
          <w:sz w:val="24"/>
        </w:rPr>
        <w:t xml:space="preserve"> </w:t>
      </w:r>
      <w:r w:rsidRPr="00555788">
        <w:rPr>
          <w:rFonts w:ascii="Times New Roman" w:hAnsi="Times New Roman"/>
          <w:sz w:val="24"/>
        </w:rPr>
        <w:t xml:space="preserve">In total, 45 petitions for review and/or petitions for stay were filed in the D.C. Circuit Court by industry petitioners, states, cities, and labor unions and 33 petitions for administrative reconsideration were filed with EPA. </w:t>
      </w:r>
      <w:r w:rsidR="002D4930">
        <w:rPr>
          <w:rFonts w:ascii="Times New Roman" w:hAnsi="Times New Roman"/>
          <w:sz w:val="24"/>
        </w:rPr>
        <w:t xml:space="preserve"> </w:t>
      </w:r>
      <w:r w:rsidRPr="00555788">
        <w:rPr>
          <w:rFonts w:ascii="Times New Roman" w:hAnsi="Times New Roman"/>
          <w:sz w:val="24"/>
        </w:rPr>
        <w:t xml:space="preserve">Southern Company and its subsidiaries filed both a petition for administrative reconsideration and a petition for judicial review. </w:t>
      </w:r>
      <w:r w:rsidR="002D4930">
        <w:rPr>
          <w:rFonts w:ascii="Times New Roman" w:hAnsi="Times New Roman"/>
          <w:sz w:val="24"/>
        </w:rPr>
        <w:t xml:space="preserve"> </w:t>
      </w:r>
      <w:r w:rsidRPr="00555788">
        <w:rPr>
          <w:rFonts w:ascii="Times New Roman" w:hAnsi="Times New Roman"/>
          <w:sz w:val="24"/>
        </w:rPr>
        <w:t>In response to the various requests for stay, the D.C. Circuit Court issued a stay of the effectiveness of CSAPR on December 30, 2011 – less than 48 hours before compliance</w:t>
      </w:r>
      <w:r w:rsidR="00AF2AC7">
        <w:rPr>
          <w:rFonts w:ascii="Times New Roman" w:hAnsi="Times New Roman"/>
          <w:sz w:val="24"/>
        </w:rPr>
        <w:t xml:space="preserve"> requirements were set to begin</w:t>
      </w:r>
      <w:r w:rsidRPr="00555788">
        <w:rPr>
          <w:rFonts w:ascii="Times New Roman" w:hAnsi="Times New Roman"/>
          <w:sz w:val="24"/>
        </w:rPr>
        <w:t xml:space="preserve"> – and ordered EPA to continue administering CAIR while CSAPR </w:t>
      </w:r>
      <w:r w:rsidR="001C077F">
        <w:rPr>
          <w:rFonts w:ascii="Times New Roman" w:hAnsi="Times New Roman"/>
          <w:sz w:val="24"/>
        </w:rPr>
        <w:t>wa</w:t>
      </w:r>
      <w:r w:rsidRPr="00555788">
        <w:rPr>
          <w:rFonts w:ascii="Times New Roman" w:hAnsi="Times New Roman"/>
          <w:sz w:val="24"/>
        </w:rPr>
        <w:t>s stayed.</w:t>
      </w:r>
    </w:p>
    <w:p w:rsidR="002A0CD0" w:rsidRDefault="002A0CD0" w:rsidP="002A0CD0">
      <w:pPr>
        <w:spacing w:after="0" w:line="240" w:lineRule="auto"/>
        <w:rPr>
          <w:rFonts w:ascii="Times New Roman" w:hAnsi="Times New Roman"/>
          <w:sz w:val="24"/>
        </w:rPr>
      </w:pPr>
    </w:p>
    <w:p w:rsidR="006D2DDC" w:rsidRDefault="006D2DDC" w:rsidP="002A0CD0">
      <w:pPr>
        <w:spacing w:after="0" w:line="240" w:lineRule="auto"/>
        <w:rPr>
          <w:rFonts w:ascii="Times New Roman" w:hAnsi="Times New Roman"/>
          <w:sz w:val="24"/>
        </w:rPr>
      </w:pPr>
      <w:r>
        <w:rPr>
          <w:rFonts w:ascii="Times New Roman" w:hAnsi="Times New Roman"/>
          <w:sz w:val="24"/>
        </w:rPr>
        <w:t>On August 21, 2012, the D.C. Circuit issued its opinion in the CSAPR</w:t>
      </w:r>
      <w:r w:rsidRPr="006D2DDC">
        <w:rPr>
          <w:rFonts w:ascii="Times New Roman" w:hAnsi="Times New Roman"/>
          <w:sz w:val="24"/>
        </w:rPr>
        <w:t xml:space="preserve"> litigation, vacating and remanding CSAPR and the CSAPR federal implementation plans (FIPs) and directing EPA to continue administering</w:t>
      </w:r>
      <w:r>
        <w:rPr>
          <w:rFonts w:ascii="Times New Roman" w:hAnsi="Times New Roman"/>
          <w:sz w:val="24"/>
        </w:rPr>
        <w:t xml:space="preserve"> CAIR </w:t>
      </w:r>
      <w:r w:rsidRPr="006D2DDC">
        <w:rPr>
          <w:rFonts w:ascii="Times New Roman" w:hAnsi="Times New Roman"/>
          <w:sz w:val="24"/>
        </w:rPr>
        <w:t xml:space="preserve">pending completion of a remand rulemaking to replace CSAPR with a valid rule. </w:t>
      </w:r>
      <w:r>
        <w:rPr>
          <w:rFonts w:ascii="Times New Roman" w:hAnsi="Times New Roman"/>
          <w:sz w:val="24"/>
        </w:rPr>
        <w:t>The court found that CSAPR “exceeds [EPA’</w:t>
      </w:r>
      <w:r w:rsidRPr="006D2DDC">
        <w:rPr>
          <w:rFonts w:ascii="Times New Roman" w:hAnsi="Times New Roman"/>
          <w:sz w:val="24"/>
        </w:rPr>
        <w:t>s] statutory author</w:t>
      </w:r>
      <w:r>
        <w:rPr>
          <w:rFonts w:ascii="Times New Roman" w:hAnsi="Times New Roman"/>
          <w:sz w:val="24"/>
        </w:rPr>
        <w:t>ity in two independent respects”</w:t>
      </w:r>
      <w:r w:rsidRPr="006D2DDC">
        <w:rPr>
          <w:rFonts w:ascii="Times New Roman" w:hAnsi="Times New Roman"/>
          <w:sz w:val="24"/>
        </w:rPr>
        <w:t xml:space="preserve"> by (1) requiring upwind states to reduce emissions by more than their own significant contributions to nonattainment in other states, and (2) failing to allow states the initial opportunity to implement, through </w:t>
      </w:r>
      <w:r>
        <w:rPr>
          <w:rFonts w:ascii="Times New Roman" w:hAnsi="Times New Roman"/>
          <w:sz w:val="24"/>
        </w:rPr>
        <w:t>state implementation plans (</w:t>
      </w:r>
      <w:r w:rsidRPr="006D2DDC">
        <w:rPr>
          <w:rFonts w:ascii="Times New Roman" w:hAnsi="Times New Roman"/>
          <w:sz w:val="24"/>
        </w:rPr>
        <w:t>SIPs</w:t>
      </w:r>
      <w:r>
        <w:rPr>
          <w:rFonts w:ascii="Times New Roman" w:hAnsi="Times New Roman"/>
          <w:sz w:val="24"/>
        </w:rPr>
        <w:t>)</w:t>
      </w:r>
      <w:r w:rsidRPr="006D2DDC">
        <w:rPr>
          <w:rFonts w:ascii="Times New Roman" w:hAnsi="Times New Roman"/>
          <w:sz w:val="24"/>
        </w:rPr>
        <w:t>, the emission reductions required by EPA in CSAPR.</w:t>
      </w:r>
      <w:r>
        <w:rPr>
          <w:rFonts w:ascii="Times New Roman" w:hAnsi="Times New Roman"/>
          <w:sz w:val="24"/>
        </w:rPr>
        <w:t xml:space="preserve">  </w:t>
      </w:r>
      <w:r w:rsidR="00C53C9F">
        <w:rPr>
          <w:rFonts w:ascii="Times New Roman" w:hAnsi="Times New Roman"/>
          <w:sz w:val="24"/>
        </w:rPr>
        <w:t>EPA has not yet set a schedule for developing and issuing a replacement rule</w:t>
      </w:r>
      <w:r>
        <w:rPr>
          <w:rFonts w:ascii="Times New Roman" w:hAnsi="Times New Roman"/>
          <w:sz w:val="24"/>
        </w:rPr>
        <w:t>.</w:t>
      </w:r>
      <w:r w:rsidR="00EC35B8">
        <w:rPr>
          <w:rFonts w:ascii="Times New Roman" w:hAnsi="Times New Roman"/>
          <w:sz w:val="24"/>
        </w:rPr>
        <w:t xml:space="preserve">  Ther</w:t>
      </w:r>
      <w:r w:rsidR="00EC35B8" w:rsidRPr="00EC35B8">
        <w:rPr>
          <w:rFonts w:ascii="Times New Roman" w:hAnsi="Times New Roman"/>
          <w:sz w:val="24"/>
        </w:rPr>
        <w:t>efore, until EPA acts, CAIR will remain in place and be the applicable rule controlling the NOx and SO2 trading programs.</w:t>
      </w:r>
    </w:p>
    <w:p w:rsidR="00BF559E" w:rsidRDefault="00BF559E" w:rsidP="002A0CD0">
      <w:pPr>
        <w:spacing w:after="0" w:line="240" w:lineRule="auto"/>
        <w:rPr>
          <w:rFonts w:ascii="Times New Roman" w:hAnsi="Times New Roman"/>
          <w:sz w:val="24"/>
        </w:rPr>
      </w:pPr>
    </w:p>
    <w:p w:rsidR="002864A7" w:rsidRDefault="002864A7" w:rsidP="002864A7">
      <w:pPr>
        <w:pStyle w:val="Style1"/>
        <w:keepNext w:val="0"/>
        <w:tabs>
          <w:tab w:val="num" w:pos="720"/>
        </w:tabs>
        <w:autoSpaceDE/>
        <w:autoSpaceDN/>
        <w:adjustRightInd/>
        <w:rPr>
          <w:b w:val="0"/>
          <w:bCs w:val="0"/>
          <w:color w:val="auto"/>
          <w:szCs w:val="22"/>
        </w:rPr>
      </w:pPr>
      <w:r w:rsidRPr="00A93953">
        <w:rPr>
          <w:b w:val="0"/>
          <w:bCs w:val="0"/>
          <w:color w:val="auto"/>
          <w:szCs w:val="22"/>
        </w:rPr>
        <w:t>On October 5,</w:t>
      </w:r>
      <w:r>
        <w:rPr>
          <w:b w:val="0"/>
          <w:bCs w:val="0"/>
          <w:color w:val="auto"/>
          <w:szCs w:val="22"/>
        </w:rPr>
        <w:t xml:space="preserve"> 2012,</w:t>
      </w:r>
      <w:r w:rsidRPr="00A93953">
        <w:rPr>
          <w:b w:val="0"/>
          <w:bCs w:val="0"/>
          <w:color w:val="auto"/>
          <w:szCs w:val="22"/>
        </w:rPr>
        <w:t xml:space="preserve"> as expected, EPA </w:t>
      </w:r>
      <w:r>
        <w:rPr>
          <w:b w:val="0"/>
          <w:bCs w:val="0"/>
          <w:color w:val="auto"/>
          <w:szCs w:val="22"/>
        </w:rPr>
        <w:t xml:space="preserve">and others </w:t>
      </w:r>
      <w:r w:rsidRPr="00A93953">
        <w:rPr>
          <w:b w:val="0"/>
          <w:bCs w:val="0"/>
          <w:color w:val="auto"/>
          <w:szCs w:val="22"/>
        </w:rPr>
        <w:t>filed petition</w:t>
      </w:r>
      <w:r>
        <w:rPr>
          <w:b w:val="0"/>
          <w:bCs w:val="0"/>
          <w:color w:val="auto"/>
          <w:szCs w:val="22"/>
        </w:rPr>
        <w:t>s</w:t>
      </w:r>
      <w:r w:rsidRPr="00A93953">
        <w:rPr>
          <w:b w:val="0"/>
          <w:bCs w:val="0"/>
          <w:color w:val="auto"/>
          <w:szCs w:val="22"/>
        </w:rPr>
        <w:t xml:space="preserve"> for rehear</w:t>
      </w:r>
      <w:r>
        <w:rPr>
          <w:b w:val="0"/>
          <w:bCs w:val="0"/>
          <w:color w:val="auto"/>
          <w:szCs w:val="22"/>
        </w:rPr>
        <w:t xml:space="preserve">ing in the D.C. Circuit Court.  On January 24, 2013, the court denied the petitions for rehearing, but the decision was not unanimous.  </w:t>
      </w:r>
      <w:r w:rsidRPr="00932969">
        <w:rPr>
          <w:b w:val="0"/>
          <w:bCs w:val="0"/>
          <w:color w:val="auto"/>
          <w:szCs w:val="22"/>
        </w:rPr>
        <w:t>EPA</w:t>
      </w:r>
      <w:r>
        <w:rPr>
          <w:b w:val="0"/>
          <w:bCs w:val="0"/>
          <w:color w:val="auto"/>
          <w:szCs w:val="22"/>
        </w:rPr>
        <w:t xml:space="preserve"> has not indicated whether it will request for the case to be reviewed by the U.S. Supreme Court.                           </w:t>
      </w:r>
    </w:p>
    <w:p w:rsidR="00FC67F9" w:rsidRPr="00ED7E20" w:rsidRDefault="00FC67F9" w:rsidP="002A0CD0">
      <w:pPr>
        <w:tabs>
          <w:tab w:val="left" w:pos="720"/>
          <w:tab w:val="left" w:pos="1428"/>
          <w:tab w:val="left" w:pos="4716"/>
          <w:tab w:val="left" w:pos="4896"/>
          <w:tab w:val="left" w:pos="6718"/>
        </w:tabs>
        <w:suppressAutoHyphens/>
        <w:spacing w:after="0" w:line="240" w:lineRule="auto"/>
        <w:rPr>
          <w:rFonts w:ascii="Times New Roman" w:hAnsi="Times New Roman"/>
          <w:sz w:val="24"/>
          <w:szCs w:val="24"/>
        </w:rPr>
      </w:pPr>
    </w:p>
    <w:p w:rsidR="00FC67F9" w:rsidRPr="00ED7E20" w:rsidRDefault="001D1F0E" w:rsidP="006E444E">
      <w:pPr>
        <w:tabs>
          <w:tab w:val="left" w:pos="720"/>
          <w:tab w:val="left" w:pos="1428"/>
          <w:tab w:val="left" w:pos="4716"/>
          <w:tab w:val="left" w:pos="4896"/>
          <w:tab w:val="left" w:pos="6718"/>
        </w:tabs>
        <w:suppressAutoHyphens/>
        <w:spacing w:after="0" w:line="240" w:lineRule="auto"/>
        <w:jc w:val="center"/>
        <w:rPr>
          <w:rFonts w:ascii="Times New Roman" w:hAnsi="Times New Roman"/>
          <w:sz w:val="24"/>
          <w:szCs w:val="24"/>
        </w:rPr>
      </w:pPr>
      <w:r>
        <w:rPr>
          <w:rFonts w:ascii="Times New Roman" w:hAnsi="Times New Roman"/>
          <w:noProof/>
          <w:sz w:val="24"/>
          <w:szCs w:val="24"/>
        </w:rPr>
        <w:drawing>
          <wp:inline distT="0" distB="0" distL="0" distR="0">
            <wp:extent cx="4767789" cy="2829861"/>
            <wp:effectExtent l="19050" t="19050" r="13761" b="27639"/>
            <wp:docPr id="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 cstate="print"/>
                    <a:srcRect/>
                    <a:stretch>
                      <a:fillRect/>
                    </a:stretch>
                  </pic:blipFill>
                  <pic:spPr bwMode="auto">
                    <a:xfrm>
                      <a:off x="0" y="0"/>
                      <a:ext cx="4770838" cy="2831670"/>
                    </a:xfrm>
                    <a:prstGeom prst="rect">
                      <a:avLst/>
                    </a:prstGeom>
                    <a:noFill/>
                    <a:ln w="12700" cmpd="sng">
                      <a:solidFill>
                        <a:srgbClr val="000000"/>
                      </a:solidFill>
                      <a:miter lim="800000"/>
                      <a:headEnd/>
                      <a:tailEnd/>
                    </a:ln>
                    <a:effectLst/>
                  </pic:spPr>
                </pic:pic>
              </a:graphicData>
            </a:graphic>
          </wp:inline>
        </w:drawing>
      </w:r>
    </w:p>
    <w:p w:rsidR="00FC67F9" w:rsidRPr="00ED7E20" w:rsidRDefault="00FC67F9" w:rsidP="002A0CD0">
      <w:pPr>
        <w:tabs>
          <w:tab w:val="left" w:pos="720"/>
          <w:tab w:val="left" w:pos="1428"/>
          <w:tab w:val="left" w:pos="4716"/>
          <w:tab w:val="left" w:pos="4896"/>
          <w:tab w:val="left" w:pos="6718"/>
        </w:tabs>
        <w:suppressAutoHyphens/>
        <w:spacing w:after="0" w:line="240" w:lineRule="auto"/>
        <w:jc w:val="center"/>
        <w:rPr>
          <w:rFonts w:ascii="Times New Roman" w:hAnsi="Times New Roman"/>
          <w:b/>
          <w:sz w:val="20"/>
          <w:szCs w:val="20"/>
        </w:rPr>
      </w:pPr>
      <w:r w:rsidRPr="00ED7E20">
        <w:rPr>
          <w:rFonts w:ascii="Times New Roman" w:hAnsi="Times New Roman"/>
          <w:b/>
          <w:sz w:val="20"/>
          <w:szCs w:val="20"/>
        </w:rPr>
        <w:t xml:space="preserve">Figure 2.5-1 States Covered by the </w:t>
      </w:r>
      <w:r w:rsidR="00A82768">
        <w:rPr>
          <w:rFonts w:ascii="Times New Roman" w:hAnsi="Times New Roman"/>
          <w:b/>
          <w:sz w:val="20"/>
          <w:szCs w:val="20"/>
        </w:rPr>
        <w:t>F</w:t>
      </w:r>
      <w:r w:rsidR="00A82768" w:rsidRPr="00A82768">
        <w:rPr>
          <w:rFonts w:ascii="Times New Roman" w:hAnsi="Times New Roman"/>
          <w:b/>
          <w:sz w:val="20"/>
          <w:szCs w:val="20"/>
        </w:rPr>
        <w:t>inal Cross-State Air Pollution Rule</w:t>
      </w:r>
    </w:p>
    <w:p w:rsidR="00F30E62" w:rsidRDefault="00F30E62" w:rsidP="0096781E">
      <w:pPr>
        <w:autoSpaceDE w:val="0"/>
        <w:autoSpaceDN w:val="0"/>
        <w:adjustRightInd w:val="0"/>
        <w:spacing w:after="0" w:line="240" w:lineRule="auto"/>
        <w:outlineLvl w:val="1"/>
        <w:rPr>
          <w:rFonts w:ascii="Times New Roman" w:hAnsi="Times New Roman"/>
          <w:b/>
          <w:bCs/>
          <w:color w:val="000080"/>
          <w:sz w:val="24"/>
          <w:szCs w:val="24"/>
        </w:rPr>
      </w:pPr>
    </w:p>
    <w:p w:rsidR="00FC67F9" w:rsidRPr="00ED7E20" w:rsidRDefault="00FC67F9" w:rsidP="0096781E">
      <w:pPr>
        <w:autoSpaceDE w:val="0"/>
        <w:autoSpaceDN w:val="0"/>
        <w:adjustRightInd w:val="0"/>
        <w:spacing w:after="0" w:line="240" w:lineRule="auto"/>
        <w:outlineLvl w:val="1"/>
        <w:rPr>
          <w:rFonts w:ascii="Times New Roman" w:hAnsi="Times New Roman"/>
          <w:b/>
          <w:bCs/>
          <w:color w:val="000080"/>
          <w:sz w:val="24"/>
          <w:szCs w:val="24"/>
        </w:rPr>
      </w:pPr>
      <w:bookmarkStart w:id="11" w:name="_Toc347314839"/>
      <w:r>
        <w:rPr>
          <w:rFonts w:ascii="Times New Roman" w:hAnsi="Times New Roman"/>
          <w:b/>
          <w:bCs/>
          <w:color w:val="000080"/>
          <w:sz w:val="24"/>
          <w:szCs w:val="24"/>
        </w:rPr>
        <w:t>2.6</w:t>
      </w:r>
      <w:r>
        <w:rPr>
          <w:rFonts w:ascii="Times New Roman" w:hAnsi="Times New Roman"/>
          <w:b/>
          <w:bCs/>
          <w:color w:val="000080"/>
          <w:sz w:val="24"/>
          <w:szCs w:val="24"/>
        </w:rPr>
        <w:tab/>
      </w:r>
      <w:r w:rsidR="00657780">
        <w:rPr>
          <w:rFonts w:ascii="Times New Roman" w:hAnsi="Times New Roman"/>
          <w:b/>
          <w:bCs/>
          <w:color w:val="000080"/>
          <w:sz w:val="24"/>
          <w:szCs w:val="24"/>
        </w:rPr>
        <w:t>Mercury and Air Toxics Standar</w:t>
      </w:r>
      <w:r w:rsidR="002A0CD0">
        <w:rPr>
          <w:rFonts w:ascii="Times New Roman" w:hAnsi="Times New Roman"/>
          <w:b/>
          <w:bCs/>
          <w:color w:val="000080"/>
          <w:sz w:val="24"/>
          <w:szCs w:val="24"/>
        </w:rPr>
        <w:t>d</w:t>
      </w:r>
      <w:r w:rsidR="00657780">
        <w:rPr>
          <w:rFonts w:ascii="Times New Roman" w:hAnsi="Times New Roman"/>
          <w:b/>
          <w:bCs/>
          <w:color w:val="000080"/>
          <w:sz w:val="24"/>
          <w:szCs w:val="24"/>
        </w:rPr>
        <w:t>s Rule</w:t>
      </w:r>
      <w:r w:rsidRPr="00ED7E20">
        <w:rPr>
          <w:rFonts w:ascii="Times New Roman" w:hAnsi="Times New Roman"/>
          <w:b/>
          <w:bCs/>
          <w:color w:val="000080"/>
          <w:sz w:val="24"/>
          <w:szCs w:val="24"/>
        </w:rPr>
        <w:t xml:space="preserve"> (</w:t>
      </w:r>
      <w:r w:rsidR="00657780">
        <w:rPr>
          <w:rFonts w:ascii="Times New Roman" w:hAnsi="Times New Roman"/>
          <w:b/>
          <w:bCs/>
          <w:color w:val="000080"/>
          <w:sz w:val="24"/>
          <w:szCs w:val="24"/>
        </w:rPr>
        <w:t>MATS</w:t>
      </w:r>
      <w:r w:rsidRPr="00ED7E20">
        <w:rPr>
          <w:rFonts w:ascii="Times New Roman" w:hAnsi="Times New Roman"/>
          <w:b/>
          <w:bCs/>
          <w:color w:val="000080"/>
          <w:sz w:val="24"/>
          <w:szCs w:val="24"/>
        </w:rPr>
        <w:t>)</w:t>
      </w:r>
      <w:bookmarkEnd w:id="11"/>
    </w:p>
    <w:p w:rsidR="00FC67F9" w:rsidRPr="00ED7E20" w:rsidRDefault="00FC67F9" w:rsidP="002A0CD0">
      <w:pPr>
        <w:autoSpaceDE w:val="0"/>
        <w:autoSpaceDN w:val="0"/>
        <w:adjustRightInd w:val="0"/>
        <w:spacing w:after="0" w:line="240" w:lineRule="auto"/>
        <w:rPr>
          <w:rFonts w:ascii="Arial" w:hAnsi="Arial" w:cs="Arial"/>
          <w:color w:val="231F20"/>
          <w:sz w:val="20"/>
          <w:szCs w:val="20"/>
        </w:rPr>
      </w:pPr>
    </w:p>
    <w:p w:rsidR="004865FF" w:rsidRDefault="004865FF" w:rsidP="002A0CD0">
      <w:pPr>
        <w:tabs>
          <w:tab w:val="left" w:pos="360"/>
        </w:tabs>
        <w:spacing w:after="0" w:line="240" w:lineRule="auto"/>
        <w:ind w:right="240"/>
        <w:rPr>
          <w:rFonts w:ascii="Times New Roman" w:hAnsi="Times New Roman"/>
          <w:sz w:val="24"/>
          <w:szCs w:val="24"/>
        </w:rPr>
      </w:pPr>
      <w:r>
        <w:rPr>
          <w:rFonts w:ascii="Times New Roman" w:hAnsi="Times New Roman"/>
          <w:sz w:val="24"/>
          <w:szCs w:val="24"/>
        </w:rPr>
        <w:t xml:space="preserve">EPA’s Mercury and Air Toxics Standards </w:t>
      </w:r>
      <w:r w:rsidR="006E444E">
        <w:rPr>
          <w:rFonts w:ascii="Times New Roman" w:hAnsi="Times New Roman"/>
          <w:sz w:val="24"/>
          <w:szCs w:val="24"/>
        </w:rPr>
        <w:t>(MATS)</w:t>
      </w:r>
      <w:r>
        <w:rPr>
          <w:rFonts w:ascii="Times New Roman" w:hAnsi="Times New Roman"/>
          <w:sz w:val="24"/>
          <w:szCs w:val="24"/>
        </w:rPr>
        <w:t xml:space="preserve">, issued in final form in December 2011, is designed to reduce mercury, acid gases and certain metal emissions from coal- and oil-fired utility boilers.  To do so, it establishes stringent emission limits based on Maximum Achieveable Control Technologies </w:t>
      </w:r>
      <w:r w:rsidR="006E444E">
        <w:rPr>
          <w:rFonts w:ascii="Times New Roman" w:hAnsi="Times New Roman"/>
          <w:sz w:val="24"/>
          <w:szCs w:val="24"/>
        </w:rPr>
        <w:t xml:space="preserve">(MACT) </w:t>
      </w:r>
      <w:r>
        <w:rPr>
          <w:rFonts w:ascii="Times New Roman" w:hAnsi="Times New Roman"/>
          <w:sz w:val="24"/>
          <w:szCs w:val="24"/>
        </w:rPr>
        <w:t xml:space="preserve">for </w:t>
      </w:r>
      <w:r w:rsidR="00FF6184">
        <w:rPr>
          <w:rFonts w:ascii="Times New Roman" w:hAnsi="Times New Roman"/>
          <w:sz w:val="24"/>
          <w:szCs w:val="24"/>
        </w:rPr>
        <w:t>hazardous air pollutants (HAPs)</w:t>
      </w:r>
      <w:r>
        <w:rPr>
          <w:rFonts w:ascii="Times New Roman" w:hAnsi="Times New Roman"/>
          <w:sz w:val="24"/>
          <w:szCs w:val="24"/>
        </w:rPr>
        <w:t>.  While the rule contains limited emissions averaging provisions, in general the limits must be met on a unit-by-unit basis and is thus known as a command -and -control type regulation.</w:t>
      </w:r>
    </w:p>
    <w:p w:rsidR="004865FF" w:rsidRDefault="004865FF" w:rsidP="002A0CD0">
      <w:pPr>
        <w:tabs>
          <w:tab w:val="left" w:pos="360"/>
        </w:tabs>
        <w:spacing w:after="0" w:line="240" w:lineRule="auto"/>
        <w:ind w:right="240"/>
        <w:rPr>
          <w:rFonts w:ascii="Times New Roman" w:hAnsi="Times New Roman"/>
          <w:sz w:val="24"/>
          <w:szCs w:val="24"/>
        </w:rPr>
      </w:pPr>
    </w:p>
    <w:p w:rsidR="00FC67F9" w:rsidRPr="00ED7E20" w:rsidRDefault="00896100" w:rsidP="002A0CD0">
      <w:pPr>
        <w:tabs>
          <w:tab w:val="left" w:pos="360"/>
        </w:tabs>
        <w:spacing w:after="0" w:line="240" w:lineRule="auto"/>
        <w:ind w:right="240"/>
        <w:rPr>
          <w:rFonts w:ascii="Times New Roman" w:hAnsi="Times New Roman"/>
          <w:color w:val="000000"/>
          <w:sz w:val="24"/>
          <w:szCs w:val="24"/>
        </w:rPr>
      </w:pPr>
      <w:r>
        <w:rPr>
          <w:rFonts w:ascii="Times New Roman" w:hAnsi="Times New Roman"/>
          <w:sz w:val="24"/>
          <w:szCs w:val="24"/>
        </w:rPr>
        <w:t xml:space="preserve">Prior to developing </w:t>
      </w:r>
      <w:r w:rsidR="006E444E">
        <w:rPr>
          <w:rFonts w:ascii="Times New Roman" w:hAnsi="Times New Roman"/>
          <w:sz w:val="24"/>
          <w:szCs w:val="24"/>
        </w:rPr>
        <w:t xml:space="preserve">the </w:t>
      </w:r>
      <w:r>
        <w:rPr>
          <w:rFonts w:ascii="Times New Roman" w:hAnsi="Times New Roman"/>
          <w:sz w:val="24"/>
          <w:szCs w:val="24"/>
        </w:rPr>
        <w:t>MATS</w:t>
      </w:r>
      <w:r w:rsidR="006E444E">
        <w:rPr>
          <w:rFonts w:ascii="Times New Roman" w:hAnsi="Times New Roman"/>
          <w:sz w:val="24"/>
          <w:szCs w:val="24"/>
        </w:rPr>
        <w:t xml:space="preserve"> rule</w:t>
      </w:r>
      <w:r w:rsidR="009E0DC4">
        <w:rPr>
          <w:rFonts w:ascii="Times New Roman" w:hAnsi="Times New Roman"/>
          <w:sz w:val="24"/>
          <w:szCs w:val="24"/>
        </w:rPr>
        <w:t>,</w:t>
      </w:r>
      <w:r>
        <w:rPr>
          <w:rFonts w:ascii="Times New Roman" w:hAnsi="Times New Roman"/>
          <w:sz w:val="24"/>
          <w:szCs w:val="24"/>
        </w:rPr>
        <w:t xml:space="preserve"> EPA had planned to tak</w:t>
      </w:r>
      <w:r w:rsidR="009E0DC4">
        <w:rPr>
          <w:rFonts w:ascii="Times New Roman" w:hAnsi="Times New Roman"/>
          <w:sz w:val="24"/>
          <w:szCs w:val="24"/>
        </w:rPr>
        <w:t>e</w:t>
      </w:r>
      <w:r>
        <w:rPr>
          <w:rFonts w:ascii="Times New Roman" w:hAnsi="Times New Roman"/>
          <w:sz w:val="24"/>
          <w:szCs w:val="24"/>
        </w:rPr>
        <w:t xml:space="preserve"> a </w:t>
      </w:r>
      <w:r w:rsidR="00BE0EF0">
        <w:rPr>
          <w:rFonts w:ascii="Times New Roman" w:hAnsi="Times New Roman"/>
          <w:sz w:val="24"/>
          <w:szCs w:val="24"/>
        </w:rPr>
        <w:t>market</w:t>
      </w:r>
      <w:r w:rsidR="004865FF">
        <w:rPr>
          <w:rFonts w:ascii="Times New Roman" w:hAnsi="Times New Roman"/>
          <w:sz w:val="24"/>
          <w:szCs w:val="24"/>
        </w:rPr>
        <w:t>-based</w:t>
      </w:r>
      <w:r w:rsidR="005374D8">
        <w:rPr>
          <w:rFonts w:ascii="Times New Roman" w:hAnsi="Times New Roman"/>
          <w:sz w:val="24"/>
          <w:szCs w:val="24"/>
        </w:rPr>
        <w:t xml:space="preserve"> </w:t>
      </w:r>
      <w:r>
        <w:rPr>
          <w:rFonts w:ascii="Times New Roman" w:hAnsi="Times New Roman"/>
          <w:sz w:val="24"/>
          <w:szCs w:val="24"/>
        </w:rPr>
        <w:t xml:space="preserve">approach </w:t>
      </w:r>
      <w:r w:rsidR="005374D8">
        <w:rPr>
          <w:rFonts w:ascii="Times New Roman" w:hAnsi="Times New Roman"/>
          <w:sz w:val="24"/>
          <w:szCs w:val="24"/>
        </w:rPr>
        <w:t xml:space="preserve">to achieve </w:t>
      </w:r>
      <w:r>
        <w:rPr>
          <w:rFonts w:ascii="Times New Roman" w:hAnsi="Times New Roman"/>
          <w:sz w:val="24"/>
          <w:szCs w:val="24"/>
        </w:rPr>
        <w:t xml:space="preserve">mercury reductions from coal-fired power plants.  </w:t>
      </w:r>
      <w:r w:rsidR="00FC67F9" w:rsidRPr="00ED7E20">
        <w:rPr>
          <w:rFonts w:ascii="Times New Roman" w:hAnsi="Times New Roman"/>
          <w:sz w:val="24"/>
          <w:szCs w:val="24"/>
        </w:rPr>
        <w:t xml:space="preserve">On March 15, 2005, EPA announced the final Clean Air Mercury Rule (CAMR), a cap-and-trade program for the reduction of mercury emissions from coal-fired power plants as an alternative to MACT emission limits under Section 112 of the CAA.  EPA concurrently delisted coal-fired power plants from </w:t>
      </w:r>
      <w:r w:rsidR="009E0DC4">
        <w:rPr>
          <w:rFonts w:ascii="Times New Roman" w:hAnsi="Times New Roman"/>
          <w:sz w:val="24"/>
          <w:szCs w:val="24"/>
        </w:rPr>
        <w:t xml:space="preserve">CAA </w:t>
      </w:r>
      <w:r w:rsidR="00FC67F9" w:rsidRPr="00ED7E20">
        <w:rPr>
          <w:rFonts w:ascii="Times New Roman" w:hAnsi="Times New Roman"/>
          <w:sz w:val="24"/>
          <w:szCs w:val="24"/>
        </w:rPr>
        <w:t xml:space="preserve">Section 112 in order to regulate them under Section 111 for CAMR.  However, </w:t>
      </w:r>
      <w:r w:rsidR="00FC67F9" w:rsidRPr="00ED7E20">
        <w:rPr>
          <w:rFonts w:ascii="Times New Roman" w:hAnsi="Times New Roman"/>
          <w:color w:val="000000"/>
          <w:sz w:val="24"/>
          <w:szCs w:val="24"/>
        </w:rPr>
        <w:t xml:space="preserve">in February 2008, in response to a legal challenge to CAMR brought by a number of states and environmental groups, the D.C. Circuit Court of Appeals vacated CAMR and vacated EPA’s concurrent rule to “delist” power plants from the CAA provisions that require application of MACT.  The vacatur became effective on March 14, 2008, nullifying CAMR mercury emission control obligations and monitoring requirements.  Petitions for rehearing filed by EPA and </w:t>
      </w:r>
      <w:r w:rsidR="00F06939">
        <w:rPr>
          <w:rFonts w:ascii="Times New Roman" w:hAnsi="Times New Roman"/>
          <w:color w:val="000000"/>
          <w:sz w:val="24"/>
          <w:szCs w:val="24"/>
        </w:rPr>
        <w:t xml:space="preserve">the </w:t>
      </w:r>
      <w:r w:rsidR="00FC67F9" w:rsidRPr="00ED7E20">
        <w:rPr>
          <w:rFonts w:ascii="Times New Roman" w:hAnsi="Times New Roman"/>
          <w:color w:val="000000"/>
          <w:sz w:val="24"/>
          <w:szCs w:val="24"/>
        </w:rPr>
        <w:t>U</w:t>
      </w:r>
      <w:r w:rsidR="00F06939">
        <w:rPr>
          <w:rFonts w:ascii="Times New Roman" w:hAnsi="Times New Roman"/>
          <w:color w:val="000000"/>
          <w:sz w:val="24"/>
          <w:szCs w:val="24"/>
        </w:rPr>
        <w:t>tility Air Regulatory Group (U</w:t>
      </w:r>
      <w:r w:rsidR="00FC67F9" w:rsidRPr="00ED7E20">
        <w:rPr>
          <w:rFonts w:ascii="Times New Roman" w:hAnsi="Times New Roman"/>
          <w:color w:val="000000"/>
          <w:sz w:val="24"/>
          <w:szCs w:val="24"/>
        </w:rPr>
        <w:t>ARG</w:t>
      </w:r>
      <w:r w:rsidR="00F06939">
        <w:rPr>
          <w:rFonts w:ascii="Times New Roman" w:hAnsi="Times New Roman"/>
          <w:color w:val="000000"/>
          <w:sz w:val="24"/>
          <w:szCs w:val="24"/>
        </w:rPr>
        <w:t>)</w:t>
      </w:r>
      <w:r w:rsidR="00FC67F9" w:rsidRPr="00ED7E20">
        <w:rPr>
          <w:rFonts w:ascii="Times New Roman" w:hAnsi="Times New Roman"/>
          <w:color w:val="000000"/>
          <w:sz w:val="24"/>
          <w:szCs w:val="24"/>
        </w:rPr>
        <w:t xml:space="preserve"> were denied on May 20, 2008, and both parties filed an appeal to the Supreme Court.  EPA later withdrew its petition, and the Supreme Court denied UARG’s petition on February 23, 2009.</w:t>
      </w:r>
    </w:p>
    <w:p w:rsidR="00FC67F9" w:rsidRPr="00ED7E20" w:rsidRDefault="00FC67F9" w:rsidP="002A0CD0">
      <w:pPr>
        <w:tabs>
          <w:tab w:val="left" w:pos="360"/>
        </w:tabs>
        <w:spacing w:after="0" w:line="240" w:lineRule="auto"/>
        <w:ind w:right="240"/>
        <w:rPr>
          <w:rFonts w:ascii="Times New Roman" w:hAnsi="Times New Roman"/>
          <w:sz w:val="24"/>
          <w:szCs w:val="24"/>
        </w:rPr>
      </w:pPr>
    </w:p>
    <w:p w:rsidR="00FC67F9" w:rsidRPr="00ED7E20" w:rsidRDefault="00FC67F9" w:rsidP="002A0CD0">
      <w:pPr>
        <w:spacing w:after="0" w:line="240" w:lineRule="auto"/>
        <w:rPr>
          <w:rFonts w:ascii="Times New Roman" w:hAnsi="Times New Roman"/>
          <w:bCs/>
          <w:sz w:val="24"/>
          <w:szCs w:val="24"/>
        </w:rPr>
      </w:pPr>
      <w:r w:rsidRPr="00ED7E20">
        <w:rPr>
          <w:rFonts w:ascii="Times New Roman" w:hAnsi="Times New Roman"/>
          <w:sz w:val="24"/>
          <w:szCs w:val="24"/>
        </w:rPr>
        <w:t xml:space="preserve">In response to the vacatur of CAMR, </w:t>
      </w:r>
      <w:r w:rsidRPr="00ED7E20">
        <w:rPr>
          <w:rFonts w:ascii="Times New Roman" w:hAnsi="Times New Roman"/>
          <w:bCs/>
          <w:sz w:val="24"/>
          <w:szCs w:val="24"/>
        </w:rPr>
        <w:t xml:space="preserve">EPA has </w:t>
      </w:r>
      <w:r w:rsidR="006C7F2D">
        <w:rPr>
          <w:rFonts w:ascii="Times New Roman" w:hAnsi="Times New Roman"/>
          <w:bCs/>
          <w:sz w:val="24"/>
          <w:szCs w:val="24"/>
        </w:rPr>
        <w:t>issued</w:t>
      </w:r>
      <w:r w:rsidRPr="00ED7E20">
        <w:rPr>
          <w:rFonts w:ascii="Times New Roman" w:hAnsi="Times New Roman"/>
          <w:bCs/>
          <w:sz w:val="24"/>
          <w:szCs w:val="24"/>
        </w:rPr>
        <w:t xml:space="preserve"> MACT standards for coal and oil-fired electric generating units (EGUs) under Section 112 of the CAA</w:t>
      </w:r>
      <w:r w:rsidR="005374D8">
        <w:rPr>
          <w:rFonts w:ascii="Times New Roman" w:hAnsi="Times New Roman"/>
          <w:bCs/>
          <w:sz w:val="24"/>
          <w:szCs w:val="24"/>
        </w:rPr>
        <w:t xml:space="preserve"> through the promulgation of the MATS rule</w:t>
      </w:r>
      <w:r w:rsidRPr="00ED7E20">
        <w:rPr>
          <w:rFonts w:ascii="Times New Roman" w:hAnsi="Times New Roman"/>
          <w:bCs/>
          <w:sz w:val="24"/>
          <w:szCs w:val="24"/>
        </w:rPr>
        <w:t>.  Unlike CAMR</w:t>
      </w:r>
      <w:r w:rsidR="005374D8">
        <w:rPr>
          <w:rFonts w:ascii="Times New Roman" w:hAnsi="Times New Roman"/>
          <w:bCs/>
          <w:sz w:val="24"/>
          <w:szCs w:val="24"/>
        </w:rPr>
        <w:t>’s cap and trade program</w:t>
      </w:r>
      <w:r w:rsidRPr="00ED7E20">
        <w:rPr>
          <w:rFonts w:ascii="Times New Roman" w:hAnsi="Times New Roman"/>
          <w:bCs/>
          <w:sz w:val="24"/>
          <w:szCs w:val="24"/>
        </w:rPr>
        <w:t xml:space="preserve">, </w:t>
      </w:r>
      <w:r w:rsidR="005374D8">
        <w:rPr>
          <w:rFonts w:ascii="Times New Roman" w:hAnsi="Times New Roman"/>
          <w:bCs/>
          <w:sz w:val="24"/>
          <w:szCs w:val="24"/>
        </w:rPr>
        <w:t>MATS</w:t>
      </w:r>
      <w:r w:rsidRPr="00ED7E20">
        <w:rPr>
          <w:rFonts w:ascii="Times New Roman" w:hAnsi="Times New Roman"/>
          <w:bCs/>
          <w:sz w:val="24"/>
          <w:szCs w:val="24"/>
        </w:rPr>
        <w:t xml:space="preserve"> is a technology-based command-and-control rule that address</w:t>
      </w:r>
      <w:r w:rsidR="00AF2AC7">
        <w:rPr>
          <w:rFonts w:ascii="Times New Roman" w:hAnsi="Times New Roman"/>
          <w:bCs/>
          <w:sz w:val="24"/>
          <w:szCs w:val="24"/>
        </w:rPr>
        <w:t>es</w:t>
      </w:r>
      <w:r w:rsidRPr="00ED7E20">
        <w:rPr>
          <w:rFonts w:ascii="Times New Roman" w:hAnsi="Times New Roman"/>
          <w:bCs/>
          <w:sz w:val="24"/>
          <w:szCs w:val="24"/>
        </w:rPr>
        <w:t xml:space="preserve"> a</w:t>
      </w:r>
      <w:r w:rsidR="005374D8">
        <w:rPr>
          <w:rFonts w:ascii="Times New Roman" w:hAnsi="Times New Roman"/>
          <w:bCs/>
          <w:sz w:val="24"/>
          <w:szCs w:val="24"/>
        </w:rPr>
        <w:t xml:space="preserve"> number of </w:t>
      </w:r>
      <w:r w:rsidRPr="00ED7E20">
        <w:rPr>
          <w:rFonts w:ascii="Times New Roman" w:hAnsi="Times New Roman"/>
          <w:bCs/>
          <w:sz w:val="24"/>
          <w:szCs w:val="24"/>
        </w:rPr>
        <w:t xml:space="preserve">hazardous air pollutants (HAPs), not just mercury.  In order to gather data to support a MACT rule, EPA issued an Information Collection Request (ICR) in January 2010 in which the utility industry was obligated to submit data to support the rulemaking.  All of </w:t>
      </w:r>
      <w:r w:rsidR="00AF2AC7">
        <w:rPr>
          <w:rFonts w:ascii="Times New Roman" w:hAnsi="Times New Roman"/>
          <w:bCs/>
          <w:sz w:val="24"/>
          <w:szCs w:val="24"/>
        </w:rPr>
        <w:t>Georgia Power</w:t>
      </w:r>
      <w:r w:rsidRPr="00ED7E20">
        <w:rPr>
          <w:rFonts w:ascii="Times New Roman" w:hAnsi="Times New Roman"/>
          <w:bCs/>
          <w:sz w:val="24"/>
          <w:szCs w:val="24"/>
        </w:rPr>
        <w:t xml:space="preserve">’s coal- and oil-fired </w:t>
      </w:r>
      <w:r w:rsidR="00092BD0">
        <w:rPr>
          <w:rFonts w:ascii="Times New Roman" w:hAnsi="Times New Roman"/>
          <w:bCs/>
          <w:sz w:val="24"/>
          <w:szCs w:val="24"/>
        </w:rPr>
        <w:t xml:space="preserve">steam electric generating </w:t>
      </w:r>
      <w:r w:rsidRPr="00ED7E20">
        <w:rPr>
          <w:rFonts w:ascii="Times New Roman" w:hAnsi="Times New Roman"/>
          <w:bCs/>
          <w:sz w:val="24"/>
          <w:szCs w:val="24"/>
        </w:rPr>
        <w:t xml:space="preserve">facilities were required to submit existing data on fuels, emissions, and emission controls; many were required to conduct costly emission testing for mercury, acid gases, organics, metals, and/or dioxins/furans, at the company’s expense.  The historical data requested by EPA was submitted in April 2010 and all of the emissions test results were submitted between July and September 2010.    </w:t>
      </w:r>
    </w:p>
    <w:p w:rsidR="000D4863" w:rsidRDefault="00555788" w:rsidP="001A61A1">
      <w:pPr>
        <w:spacing w:before="240" w:line="240" w:lineRule="auto"/>
        <w:rPr>
          <w:rFonts w:ascii="Times New Roman" w:hAnsi="Times New Roman"/>
          <w:sz w:val="24"/>
        </w:rPr>
      </w:pPr>
      <w:r w:rsidRPr="00555788">
        <w:rPr>
          <w:rFonts w:ascii="Times New Roman" w:hAnsi="Times New Roman"/>
          <w:sz w:val="24"/>
        </w:rPr>
        <w:t xml:space="preserve">On March 16, 2011, </w:t>
      </w:r>
      <w:r w:rsidR="00BB18CB">
        <w:rPr>
          <w:rFonts w:ascii="Times New Roman" w:hAnsi="Times New Roman"/>
          <w:sz w:val="24"/>
        </w:rPr>
        <w:t>in order</w:t>
      </w:r>
      <w:r w:rsidR="00BB18CB" w:rsidRPr="00555788">
        <w:rPr>
          <w:rFonts w:ascii="Times New Roman" w:hAnsi="Times New Roman"/>
          <w:sz w:val="24"/>
        </w:rPr>
        <w:t xml:space="preserve"> </w:t>
      </w:r>
      <w:r w:rsidRPr="00555788">
        <w:rPr>
          <w:rFonts w:ascii="Times New Roman" w:hAnsi="Times New Roman"/>
          <w:sz w:val="24"/>
        </w:rPr>
        <w:t xml:space="preserve">to </w:t>
      </w:r>
      <w:r w:rsidR="00BB18CB">
        <w:rPr>
          <w:rFonts w:ascii="Times New Roman" w:hAnsi="Times New Roman"/>
          <w:sz w:val="24"/>
        </w:rPr>
        <w:t xml:space="preserve">meet </w:t>
      </w:r>
      <w:r w:rsidR="005374D8">
        <w:rPr>
          <w:rFonts w:ascii="Times New Roman" w:hAnsi="Times New Roman"/>
          <w:sz w:val="24"/>
        </w:rPr>
        <w:t xml:space="preserve">a </w:t>
      </w:r>
      <w:r w:rsidRPr="00555788">
        <w:rPr>
          <w:rFonts w:ascii="Times New Roman" w:hAnsi="Times New Roman"/>
          <w:sz w:val="24"/>
        </w:rPr>
        <w:t xml:space="preserve">court-settlement schedule, EPA signed the proposed </w:t>
      </w:r>
      <w:r w:rsidR="005374D8">
        <w:rPr>
          <w:rFonts w:ascii="Times New Roman" w:hAnsi="Times New Roman"/>
          <w:sz w:val="24"/>
        </w:rPr>
        <w:t>MATS rule</w:t>
      </w:r>
      <w:r w:rsidRPr="00555788">
        <w:rPr>
          <w:rFonts w:ascii="Times New Roman" w:hAnsi="Times New Roman"/>
          <w:sz w:val="24"/>
        </w:rPr>
        <w:t>.</w:t>
      </w:r>
      <w:r w:rsidR="00C53C9F">
        <w:rPr>
          <w:rFonts w:ascii="Times New Roman" w:hAnsi="Times New Roman"/>
          <w:sz w:val="24"/>
        </w:rPr>
        <w:t xml:space="preserve"> </w:t>
      </w:r>
      <w:r w:rsidRPr="00555788">
        <w:rPr>
          <w:rFonts w:ascii="Times New Roman" w:hAnsi="Times New Roman"/>
          <w:sz w:val="24"/>
        </w:rPr>
        <w:t xml:space="preserve"> The proposed rule </w:t>
      </w:r>
      <w:r w:rsidR="00F36A74">
        <w:rPr>
          <w:rFonts w:ascii="Times New Roman" w:hAnsi="Times New Roman"/>
          <w:sz w:val="24"/>
        </w:rPr>
        <w:t>covered both</w:t>
      </w:r>
      <w:r w:rsidRPr="00555788">
        <w:rPr>
          <w:rFonts w:ascii="Times New Roman" w:hAnsi="Times New Roman"/>
          <w:sz w:val="24"/>
        </w:rPr>
        <w:t xml:space="preserve"> new and existing coal- and oil-fired electric utility steam generating units and require</w:t>
      </w:r>
      <w:r w:rsidR="005374D8">
        <w:rPr>
          <w:rFonts w:ascii="Times New Roman" w:hAnsi="Times New Roman"/>
          <w:sz w:val="24"/>
        </w:rPr>
        <w:t>d</w:t>
      </w:r>
      <w:r w:rsidRPr="00555788">
        <w:rPr>
          <w:rFonts w:ascii="Times New Roman" w:hAnsi="Times New Roman"/>
          <w:sz w:val="24"/>
        </w:rPr>
        <w:t xml:space="preserve"> each unit to meet stringent emission limits for mercury,  particulate matter</w:t>
      </w:r>
      <w:r w:rsidR="00FF6184">
        <w:rPr>
          <w:rFonts w:ascii="Times New Roman" w:hAnsi="Times New Roman"/>
          <w:sz w:val="24"/>
        </w:rPr>
        <w:t xml:space="preserve"> (as a surrogate for certain metals)</w:t>
      </w:r>
      <w:r w:rsidRPr="00555788">
        <w:rPr>
          <w:rFonts w:ascii="Times New Roman" w:hAnsi="Times New Roman"/>
          <w:sz w:val="24"/>
        </w:rPr>
        <w:t xml:space="preserve">, and acid gases. </w:t>
      </w:r>
      <w:r w:rsidR="00303A5E">
        <w:rPr>
          <w:rFonts w:ascii="Times New Roman" w:hAnsi="Times New Roman"/>
          <w:sz w:val="24"/>
        </w:rPr>
        <w:t xml:space="preserve"> </w:t>
      </w:r>
      <w:r w:rsidR="00BB18CB">
        <w:rPr>
          <w:rFonts w:ascii="Times New Roman" w:hAnsi="Times New Roman"/>
          <w:sz w:val="24"/>
        </w:rPr>
        <w:t>While all three categories of limits were very stringent, t</w:t>
      </w:r>
      <w:r w:rsidR="00303A5E">
        <w:rPr>
          <w:rFonts w:ascii="Times New Roman" w:hAnsi="Times New Roman"/>
          <w:sz w:val="24"/>
        </w:rPr>
        <w:t>he particulate matter limit, in particular, included especially onerous compliance requirements.  The proposed rule required units to</w:t>
      </w:r>
      <w:r w:rsidR="00F02FFC">
        <w:rPr>
          <w:rFonts w:ascii="Times New Roman" w:hAnsi="Times New Roman"/>
          <w:sz w:val="24"/>
        </w:rPr>
        <w:t xml:space="preserve"> </w:t>
      </w:r>
      <w:r w:rsidR="000D4863">
        <w:rPr>
          <w:rFonts w:ascii="Times New Roman" w:hAnsi="Times New Roman"/>
          <w:sz w:val="24"/>
        </w:rPr>
        <w:t>not only</w:t>
      </w:r>
      <w:r w:rsidR="00F02FFC">
        <w:rPr>
          <w:rFonts w:ascii="Times New Roman" w:hAnsi="Times New Roman"/>
          <w:sz w:val="24"/>
        </w:rPr>
        <w:t xml:space="preserve"> comply with a standard numerical total particulate limit</w:t>
      </w:r>
      <w:r w:rsidR="00EB418E">
        <w:rPr>
          <w:rFonts w:ascii="Times New Roman" w:hAnsi="Times New Roman"/>
          <w:sz w:val="24"/>
        </w:rPr>
        <w:t xml:space="preserve"> (filterable + condensable)</w:t>
      </w:r>
      <w:r w:rsidR="000D4863">
        <w:rPr>
          <w:rFonts w:ascii="Times New Roman" w:hAnsi="Times New Roman"/>
          <w:sz w:val="24"/>
        </w:rPr>
        <w:t>, but also required units to comply with</w:t>
      </w:r>
      <w:r w:rsidR="00303A5E">
        <w:rPr>
          <w:rFonts w:ascii="Times New Roman" w:hAnsi="Times New Roman"/>
          <w:sz w:val="24"/>
        </w:rPr>
        <w:t xml:space="preserve"> unit-specific limits on</w:t>
      </w:r>
      <w:r w:rsidR="00F02FFC">
        <w:rPr>
          <w:rFonts w:ascii="Times New Roman" w:hAnsi="Times New Roman"/>
          <w:sz w:val="24"/>
        </w:rPr>
        <w:t xml:space="preserve"> filterable </w:t>
      </w:r>
      <w:r w:rsidR="00303A5E">
        <w:rPr>
          <w:rFonts w:ascii="Times New Roman" w:hAnsi="Times New Roman"/>
          <w:sz w:val="24"/>
        </w:rPr>
        <w:t>particulate matter</w:t>
      </w:r>
      <w:r w:rsidR="000D4863">
        <w:rPr>
          <w:rFonts w:ascii="Times New Roman" w:hAnsi="Times New Roman"/>
          <w:sz w:val="24"/>
        </w:rPr>
        <w:t xml:space="preserve">.  The unit-specific limits would be based </w:t>
      </w:r>
      <w:r w:rsidR="00BB18CB">
        <w:rPr>
          <w:rFonts w:ascii="Times New Roman" w:hAnsi="Times New Roman"/>
          <w:sz w:val="24"/>
        </w:rPr>
        <w:t xml:space="preserve">on </w:t>
      </w:r>
      <w:r w:rsidR="000D4863">
        <w:rPr>
          <w:rFonts w:ascii="Times New Roman" w:hAnsi="Times New Roman"/>
          <w:sz w:val="24"/>
        </w:rPr>
        <w:t xml:space="preserve">the actual emission test results during </w:t>
      </w:r>
      <w:r w:rsidR="00F26117">
        <w:rPr>
          <w:rFonts w:ascii="Times New Roman" w:hAnsi="Times New Roman"/>
          <w:sz w:val="24"/>
        </w:rPr>
        <w:t xml:space="preserve">periodic </w:t>
      </w:r>
      <w:r w:rsidR="000D4863">
        <w:rPr>
          <w:rFonts w:ascii="Times New Roman" w:hAnsi="Times New Roman"/>
          <w:sz w:val="24"/>
        </w:rPr>
        <w:t xml:space="preserve">steady-state testing, while the unit would then be required to maintain emissions below those achieved during steady-state testing </w:t>
      </w:r>
      <w:r w:rsidR="00F26117">
        <w:rPr>
          <w:rFonts w:ascii="Times New Roman" w:hAnsi="Times New Roman"/>
          <w:sz w:val="24"/>
        </w:rPr>
        <w:t xml:space="preserve">at all times and </w:t>
      </w:r>
      <w:r w:rsidR="000D4863">
        <w:rPr>
          <w:rFonts w:ascii="Times New Roman" w:hAnsi="Times New Roman"/>
          <w:sz w:val="24"/>
        </w:rPr>
        <w:t xml:space="preserve">during all modes of operation.  These proposed requirements essentially </w:t>
      </w:r>
      <w:r w:rsidR="00303A5E" w:rsidRPr="00303A5E">
        <w:rPr>
          <w:rFonts w:ascii="Times New Roman" w:hAnsi="Times New Roman"/>
          <w:sz w:val="24"/>
        </w:rPr>
        <w:t>remov</w:t>
      </w:r>
      <w:r w:rsidR="000D4863">
        <w:rPr>
          <w:rFonts w:ascii="Times New Roman" w:hAnsi="Times New Roman"/>
          <w:sz w:val="24"/>
        </w:rPr>
        <w:t>ed</w:t>
      </w:r>
      <w:r w:rsidR="00303A5E" w:rsidRPr="00303A5E">
        <w:rPr>
          <w:rFonts w:ascii="Times New Roman" w:hAnsi="Times New Roman"/>
          <w:sz w:val="24"/>
        </w:rPr>
        <w:t xml:space="preserve"> all compliance margin </w:t>
      </w:r>
      <w:r w:rsidR="00BB18CB">
        <w:rPr>
          <w:rFonts w:ascii="Times New Roman" w:hAnsi="Times New Roman"/>
          <w:sz w:val="24"/>
        </w:rPr>
        <w:t xml:space="preserve">built into existing controls </w:t>
      </w:r>
      <w:r w:rsidR="00303A5E" w:rsidRPr="00303A5E">
        <w:rPr>
          <w:rFonts w:ascii="Times New Roman" w:hAnsi="Times New Roman"/>
          <w:sz w:val="24"/>
        </w:rPr>
        <w:t xml:space="preserve">without accounting for </w:t>
      </w:r>
      <w:r w:rsidR="000D4863">
        <w:rPr>
          <w:rFonts w:ascii="Times New Roman" w:hAnsi="Times New Roman"/>
          <w:sz w:val="24"/>
        </w:rPr>
        <w:t xml:space="preserve">the </w:t>
      </w:r>
      <w:r w:rsidR="00303A5E" w:rsidRPr="00303A5E">
        <w:rPr>
          <w:rFonts w:ascii="Times New Roman" w:hAnsi="Times New Roman"/>
          <w:sz w:val="24"/>
        </w:rPr>
        <w:t>natural variation in operation of a generating unit</w:t>
      </w:r>
      <w:r w:rsidR="00303A5E">
        <w:rPr>
          <w:rFonts w:ascii="Times New Roman" w:hAnsi="Times New Roman"/>
          <w:sz w:val="24"/>
        </w:rPr>
        <w:t>.</w:t>
      </w:r>
      <w:r w:rsidR="00303A5E" w:rsidRPr="00303A5E">
        <w:rPr>
          <w:rFonts w:ascii="Times New Roman" w:hAnsi="Times New Roman"/>
          <w:sz w:val="24"/>
        </w:rPr>
        <w:t xml:space="preserve"> </w:t>
      </w:r>
    </w:p>
    <w:p w:rsidR="009E421B" w:rsidRDefault="00555788" w:rsidP="001A61A1">
      <w:pPr>
        <w:spacing w:before="240" w:line="240" w:lineRule="auto"/>
        <w:rPr>
          <w:rFonts w:ascii="Times New Roman" w:hAnsi="Times New Roman"/>
          <w:sz w:val="24"/>
        </w:rPr>
      </w:pPr>
      <w:r w:rsidRPr="00555788">
        <w:rPr>
          <w:rFonts w:ascii="Times New Roman" w:hAnsi="Times New Roman"/>
          <w:sz w:val="24"/>
        </w:rPr>
        <w:t xml:space="preserve">Numerous and significant concerns were raised over the stringency of the proposed emission limits and the ability to install the necessary control technologies by the compliance deadlines. </w:t>
      </w:r>
      <w:r w:rsidR="00AF2AC7">
        <w:rPr>
          <w:rFonts w:ascii="Times New Roman" w:hAnsi="Times New Roman"/>
          <w:sz w:val="24"/>
        </w:rPr>
        <w:t>Many i</w:t>
      </w:r>
      <w:r w:rsidRPr="00555788">
        <w:rPr>
          <w:rFonts w:ascii="Times New Roman" w:hAnsi="Times New Roman"/>
          <w:sz w:val="24"/>
        </w:rPr>
        <w:t>ndustry, reliability organizations, and states filed comments on the rule suggesting that the results of this regulation could have a substantial impact on the reliability and affordability of electricity in the United States.</w:t>
      </w:r>
      <w:r w:rsidR="00C53C9F">
        <w:rPr>
          <w:rFonts w:ascii="Times New Roman" w:hAnsi="Times New Roman"/>
          <w:sz w:val="24"/>
        </w:rPr>
        <w:t xml:space="preserve"> </w:t>
      </w:r>
      <w:r w:rsidRPr="00555788">
        <w:rPr>
          <w:rFonts w:ascii="Times New Roman" w:hAnsi="Times New Roman"/>
          <w:sz w:val="24"/>
        </w:rPr>
        <w:t xml:space="preserve"> In total, more than 150 industry comments were submitted on the proposed rule, and more than 27 states and 1 territory sought major changes or withdrawal of the rule.</w:t>
      </w:r>
      <w:r w:rsidR="009E421B">
        <w:rPr>
          <w:rFonts w:ascii="Times New Roman" w:hAnsi="Times New Roman"/>
          <w:sz w:val="24"/>
        </w:rPr>
        <w:t xml:space="preserve">  </w:t>
      </w:r>
    </w:p>
    <w:p w:rsidR="00931475" w:rsidRDefault="00555788" w:rsidP="002A0CD0">
      <w:pPr>
        <w:spacing w:after="0" w:line="240" w:lineRule="auto"/>
        <w:rPr>
          <w:rFonts w:ascii="Times New Roman" w:hAnsi="Times New Roman"/>
          <w:sz w:val="24"/>
        </w:rPr>
      </w:pPr>
      <w:r w:rsidRPr="00555788">
        <w:rPr>
          <w:rFonts w:ascii="Times New Roman" w:hAnsi="Times New Roman"/>
          <w:sz w:val="24"/>
        </w:rPr>
        <w:t xml:space="preserve">On December 16, 2011, EPA </w:t>
      </w:r>
      <w:r w:rsidR="00885474">
        <w:rPr>
          <w:rFonts w:ascii="Times New Roman" w:hAnsi="Times New Roman"/>
          <w:sz w:val="24"/>
        </w:rPr>
        <w:t>signed</w:t>
      </w:r>
      <w:r w:rsidRPr="00555788">
        <w:rPr>
          <w:rFonts w:ascii="Times New Roman" w:hAnsi="Times New Roman"/>
          <w:sz w:val="24"/>
        </w:rPr>
        <w:t xml:space="preserve"> the final MATS</w:t>
      </w:r>
      <w:r w:rsidR="00B477E5">
        <w:rPr>
          <w:rFonts w:ascii="Times New Roman" w:hAnsi="Times New Roman"/>
          <w:sz w:val="24"/>
        </w:rPr>
        <w:t xml:space="preserve"> rule</w:t>
      </w:r>
      <w:r w:rsidRPr="00555788">
        <w:rPr>
          <w:rFonts w:ascii="Times New Roman" w:hAnsi="Times New Roman"/>
          <w:sz w:val="24"/>
        </w:rPr>
        <w:t xml:space="preserve">. The rule was published in the Federal Register on February 16, 2012, and became effective on April 16, 2012. </w:t>
      </w:r>
      <w:r w:rsidR="00AF2AC7" w:rsidRPr="00555788">
        <w:rPr>
          <w:rFonts w:ascii="Times New Roman" w:hAnsi="Times New Roman"/>
          <w:sz w:val="24"/>
        </w:rPr>
        <w:t xml:space="preserve">The Clean Air Act specifies that MACT compliance for existing sources begins </w:t>
      </w:r>
      <w:r w:rsidR="00C53C9F">
        <w:rPr>
          <w:rFonts w:ascii="Times New Roman" w:hAnsi="Times New Roman"/>
          <w:sz w:val="24"/>
        </w:rPr>
        <w:t xml:space="preserve">within </w:t>
      </w:r>
      <w:r w:rsidR="00AF2AC7" w:rsidRPr="00555788">
        <w:rPr>
          <w:rFonts w:ascii="Times New Roman" w:hAnsi="Times New Roman"/>
          <w:sz w:val="24"/>
        </w:rPr>
        <w:t>3 years after the effective date of the final rule with limited options for compliance extensions.</w:t>
      </w:r>
      <w:r w:rsidR="00AF2AC7">
        <w:rPr>
          <w:rFonts w:ascii="Times New Roman" w:hAnsi="Times New Roman"/>
          <w:sz w:val="24"/>
        </w:rPr>
        <w:t xml:space="preserve">  </w:t>
      </w:r>
      <w:r w:rsidR="003469EF" w:rsidRPr="00555788">
        <w:rPr>
          <w:rFonts w:ascii="Times New Roman" w:hAnsi="Times New Roman"/>
          <w:sz w:val="24"/>
        </w:rPr>
        <w:t xml:space="preserve">Despite numerous requests for additional compliance time, </w:t>
      </w:r>
      <w:r w:rsidR="003469EF">
        <w:rPr>
          <w:rFonts w:ascii="Times New Roman" w:hAnsi="Times New Roman"/>
          <w:sz w:val="24"/>
        </w:rPr>
        <w:t>EPA finalized the rule with a c</w:t>
      </w:r>
      <w:r w:rsidRPr="00555788">
        <w:rPr>
          <w:rFonts w:ascii="Times New Roman" w:hAnsi="Times New Roman"/>
          <w:sz w:val="24"/>
        </w:rPr>
        <w:t xml:space="preserve">ompliance </w:t>
      </w:r>
      <w:r w:rsidR="003469EF">
        <w:rPr>
          <w:rFonts w:ascii="Times New Roman" w:hAnsi="Times New Roman"/>
          <w:sz w:val="24"/>
        </w:rPr>
        <w:t xml:space="preserve">deadline for existing sources of </w:t>
      </w:r>
      <w:r w:rsidRPr="00555788">
        <w:rPr>
          <w:rFonts w:ascii="Times New Roman" w:hAnsi="Times New Roman"/>
          <w:sz w:val="24"/>
        </w:rPr>
        <w:t>April 16, 2015</w:t>
      </w:r>
      <w:r w:rsidR="009E0DC4">
        <w:rPr>
          <w:rFonts w:ascii="Times New Roman" w:hAnsi="Times New Roman"/>
          <w:sz w:val="24"/>
        </w:rPr>
        <w:t xml:space="preserve">.  </w:t>
      </w:r>
      <w:r w:rsidR="00303A5E">
        <w:rPr>
          <w:rFonts w:ascii="Times New Roman" w:hAnsi="Times New Roman"/>
          <w:sz w:val="24"/>
        </w:rPr>
        <w:t xml:space="preserve">In a change from the proposed rule, however, EPA stated in the final rule </w:t>
      </w:r>
      <w:r w:rsidR="004304A1">
        <w:rPr>
          <w:rFonts w:ascii="Times New Roman" w:hAnsi="Times New Roman"/>
          <w:sz w:val="24"/>
        </w:rPr>
        <w:t xml:space="preserve">supporting </w:t>
      </w:r>
      <w:r w:rsidR="00303A5E">
        <w:rPr>
          <w:rFonts w:ascii="Times New Roman" w:hAnsi="Times New Roman"/>
          <w:sz w:val="24"/>
        </w:rPr>
        <w:t xml:space="preserve">documents that the </w:t>
      </w:r>
      <w:r w:rsidRPr="00555788">
        <w:rPr>
          <w:rFonts w:ascii="Times New Roman" w:hAnsi="Times New Roman"/>
          <w:sz w:val="24"/>
        </w:rPr>
        <w:t>one-year case-by-case extension from the state permitting authority</w:t>
      </w:r>
      <w:r w:rsidR="00303A5E">
        <w:rPr>
          <w:rFonts w:ascii="Times New Roman" w:hAnsi="Times New Roman"/>
          <w:sz w:val="24"/>
        </w:rPr>
        <w:t xml:space="preserve"> should be “broadly available” for units installing controls as well as for units that are in the process of being replaced or retired but that are necessary for maintaining system reliability</w:t>
      </w:r>
      <w:r w:rsidR="00F36A74">
        <w:rPr>
          <w:rFonts w:ascii="Times New Roman" w:hAnsi="Times New Roman"/>
          <w:sz w:val="24"/>
        </w:rPr>
        <w:t xml:space="preserve">.  Also, the final MATS rule included </w:t>
      </w:r>
      <w:r w:rsidR="00F02FFC">
        <w:rPr>
          <w:rFonts w:ascii="Times New Roman" w:hAnsi="Times New Roman"/>
          <w:sz w:val="24"/>
        </w:rPr>
        <w:t>a very limited</w:t>
      </w:r>
      <w:r w:rsidR="00F36A74">
        <w:rPr>
          <w:rFonts w:ascii="Times New Roman" w:hAnsi="Times New Roman"/>
          <w:sz w:val="24"/>
        </w:rPr>
        <w:t xml:space="preserve"> option </w:t>
      </w:r>
      <w:r w:rsidR="004865FF">
        <w:rPr>
          <w:rFonts w:ascii="Times New Roman" w:hAnsi="Times New Roman"/>
          <w:sz w:val="24"/>
        </w:rPr>
        <w:t>to seek</w:t>
      </w:r>
      <w:r w:rsidR="00F36A74">
        <w:rPr>
          <w:rFonts w:ascii="Times New Roman" w:hAnsi="Times New Roman"/>
          <w:sz w:val="24"/>
        </w:rPr>
        <w:t xml:space="preserve"> </w:t>
      </w:r>
      <w:r w:rsidRPr="00555788">
        <w:rPr>
          <w:rFonts w:ascii="Times New Roman" w:hAnsi="Times New Roman"/>
          <w:sz w:val="24"/>
        </w:rPr>
        <w:t xml:space="preserve">an administrative order from EPA </w:t>
      </w:r>
      <w:r w:rsidR="004865FF">
        <w:rPr>
          <w:rFonts w:ascii="Times New Roman" w:hAnsi="Times New Roman"/>
          <w:sz w:val="24"/>
        </w:rPr>
        <w:t xml:space="preserve">allowing up to an </w:t>
      </w:r>
      <w:r w:rsidR="009E0DC4">
        <w:rPr>
          <w:rFonts w:ascii="Times New Roman" w:hAnsi="Times New Roman"/>
          <w:sz w:val="24"/>
        </w:rPr>
        <w:t xml:space="preserve">additional </w:t>
      </w:r>
      <w:r w:rsidR="004865FF">
        <w:rPr>
          <w:rFonts w:ascii="Times New Roman" w:hAnsi="Times New Roman"/>
          <w:sz w:val="24"/>
        </w:rPr>
        <w:t xml:space="preserve">year </w:t>
      </w:r>
      <w:r w:rsidR="003469EF">
        <w:rPr>
          <w:rFonts w:ascii="Times New Roman" w:hAnsi="Times New Roman"/>
          <w:sz w:val="24"/>
        </w:rPr>
        <w:t xml:space="preserve">for </w:t>
      </w:r>
      <w:r w:rsidR="004865FF">
        <w:rPr>
          <w:rFonts w:ascii="Times New Roman" w:hAnsi="Times New Roman"/>
          <w:sz w:val="24"/>
        </w:rPr>
        <w:t>“</w:t>
      </w:r>
      <w:r w:rsidR="003469EF">
        <w:rPr>
          <w:rFonts w:ascii="Times New Roman" w:hAnsi="Times New Roman"/>
          <w:sz w:val="24"/>
        </w:rPr>
        <w:t>reliability</w:t>
      </w:r>
      <w:r w:rsidR="006E444E">
        <w:rPr>
          <w:rFonts w:ascii="Times New Roman" w:hAnsi="Times New Roman"/>
          <w:sz w:val="24"/>
        </w:rPr>
        <w:t>-</w:t>
      </w:r>
      <w:r w:rsidR="003469EF">
        <w:rPr>
          <w:rFonts w:ascii="Times New Roman" w:hAnsi="Times New Roman"/>
          <w:sz w:val="24"/>
        </w:rPr>
        <w:t>critical</w:t>
      </w:r>
      <w:r w:rsidR="004865FF">
        <w:rPr>
          <w:rFonts w:ascii="Times New Roman" w:hAnsi="Times New Roman"/>
          <w:sz w:val="24"/>
        </w:rPr>
        <w:t>”</w:t>
      </w:r>
      <w:r w:rsidR="003469EF">
        <w:rPr>
          <w:rFonts w:ascii="Times New Roman" w:hAnsi="Times New Roman"/>
          <w:sz w:val="24"/>
        </w:rPr>
        <w:t xml:space="preserve"> units</w:t>
      </w:r>
      <w:r w:rsidR="009E0DC4">
        <w:rPr>
          <w:rFonts w:ascii="Times New Roman" w:hAnsi="Times New Roman"/>
          <w:sz w:val="24"/>
        </w:rPr>
        <w:t xml:space="preserve"> beyond the 1-year extension available from state permitting authorities</w:t>
      </w:r>
      <w:r w:rsidRPr="00555788">
        <w:rPr>
          <w:rFonts w:ascii="Times New Roman" w:hAnsi="Times New Roman"/>
          <w:sz w:val="24"/>
        </w:rPr>
        <w:t>.</w:t>
      </w:r>
      <w:r w:rsidR="009E0DC4">
        <w:rPr>
          <w:rFonts w:ascii="Times New Roman" w:hAnsi="Times New Roman"/>
          <w:sz w:val="24"/>
        </w:rPr>
        <w:t xml:space="preserve"> </w:t>
      </w:r>
      <w:r w:rsidR="003469EF">
        <w:rPr>
          <w:rFonts w:ascii="Times New Roman" w:hAnsi="Times New Roman"/>
          <w:sz w:val="24"/>
        </w:rPr>
        <w:t xml:space="preserve"> </w:t>
      </w:r>
      <w:r w:rsidR="00206EC6">
        <w:rPr>
          <w:rFonts w:ascii="Times New Roman" w:hAnsi="Times New Roman"/>
          <w:sz w:val="24"/>
        </w:rPr>
        <w:t xml:space="preserve">However, EPA has set a high bar for this additional extension and has stated that it will not issue such orders until after the compliance deadline.  </w:t>
      </w:r>
      <w:r w:rsidRPr="00555788">
        <w:rPr>
          <w:rFonts w:ascii="Times New Roman" w:hAnsi="Times New Roman"/>
          <w:sz w:val="24"/>
        </w:rPr>
        <w:t xml:space="preserve">The final rule is largely unchanged from the proposed rule, although EPA did </w:t>
      </w:r>
      <w:r w:rsidR="0096513C">
        <w:rPr>
          <w:rFonts w:ascii="Times New Roman" w:hAnsi="Times New Roman"/>
          <w:sz w:val="24"/>
        </w:rPr>
        <w:t>make key change</w:t>
      </w:r>
      <w:r w:rsidR="00111378">
        <w:rPr>
          <w:rFonts w:ascii="Times New Roman" w:hAnsi="Times New Roman"/>
          <w:sz w:val="24"/>
        </w:rPr>
        <w:t>s</w:t>
      </w:r>
      <w:r w:rsidR="00F02FFC">
        <w:rPr>
          <w:rFonts w:ascii="Times New Roman" w:hAnsi="Times New Roman"/>
          <w:sz w:val="24"/>
        </w:rPr>
        <w:t xml:space="preserve"> in the particulate matter requirements</w:t>
      </w:r>
      <w:r w:rsidR="001A61A1">
        <w:rPr>
          <w:rFonts w:ascii="Times New Roman" w:hAnsi="Times New Roman"/>
          <w:sz w:val="24"/>
        </w:rPr>
        <w:t xml:space="preserve"> that ultimately led to some changes in the compliance strategy</w:t>
      </w:r>
      <w:r w:rsidR="0096513C">
        <w:rPr>
          <w:rFonts w:ascii="Times New Roman" w:hAnsi="Times New Roman"/>
          <w:sz w:val="24"/>
        </w:rPr>
        <w:t xml:space="preserve"> for Georgia Power</w:t>
      </w:r>
      <w:r w:rsidRPr="00555788">
        <w:rPr>
          <w:rFonts w:ascii="Times New Roman" w:hAnsi="Times New Roman"/>
          <w:sz w:val="24"/>
        </w:rPr>
        <w:t>.</w:t>
      </w:r>
      <w:r w:rsidR="00F02FFC">
        <w:rPr>
          <w:rFonts w:ascii="Times New Roman" w:hAnsi="Times New Roman"/>
          <w:sz w:val="24"/>
        </w:rPr>
        <w:t xml:space="preserve">  In the final rule, </w:t>
      </w:r>
      <w:r w:rsidR="00F02FFC" w:rsidRPr="00F02FFC">
        <w:rPr>
          <w:rFonts w:ascii="Times New Roman" w:hAnsi="Times New Roman"/>
          <w:sz w:val="24"/>
        </w:rPr>
        <w:t xml:space="preserve">EPA </w:t>
      </w:r>
      <w:r w:rsidR="000D4863">
        <w:rPr>
          <w:rFonts w:ascii="Times New Roman" w:hAnsi="Times New Roman"/>
          <w:sz w:val="24"/>
        </w:rPr>
        <w:t xml:space="preserve">changed the </w:t>
      </w:r>
      <w:r w:rsidR="00F02FFC" w:rsidRPr="00F02FFC">
        <w:rPr>
          <w:rFonts w:ascii="Times New Roman" w:hAnsi="Times New Roman"/>
          <w:sz w:val="24"/>
        </w:rPr>
        <w:t>form of the particulate matter limit</w:t>
      </w:r>
      <w:r w:rsidR="000D4863">
        <w:rPr>
          <w:rFonts w:ascii="Times New Roman" w:hAnsi="Times New Roman"/>
          <w:sz w:val="24"/>
        </w:rPr>
        <w:t xml:space="preserve"> from the more uncertain total particulate matter to the more commonly and reliably measured filterable particulate matter</w:t>
      </w:r>
      <w:r w:rsidR="00F02FFC" w:rsidRPr="00F02FFC">
        <w:rPr>
          <w:rFonts w:ascii="Times New Roman" w:hAnsi="Times New Roman"/>
          <w:sz w:val="24"/>
        </w:rPr>
        <w:t xml:space="preserve"> </w:t>
      </w:r>
      <w:r w:rsidR="00F02FFC">
        <w:rPr>
          <w:rFonts w:ascii="Times New Roman" w:hAnsi="Times New Roman"/>
          <w:sz w:val="24"/>
        </w:rPr>
        <w:t xml:space="preserve">and </w:t>
      </w:r>
      <w:r w:rsidR="002C527D">
        <w:rPr>
          <w:rFonts w:ascii="Times New Roman" w:hAnsi="Times New Roman"/>
          <w:sz w:val="24"/>
        </w:rPr>
        <w:t>eliminated</w:t>
      </w:r>
      <w:r w:rsidR="00F02FFC">
        <w:rPr>
          <w:rFonts w:ascii="Times New Roman" w:hAnsi="Times New Roman"/>
          <w:sz w:val="24"/>
        </w:rPr>
        <w:t xml:space="preserve"> the </w:t>
      </w:r>
      <w:r w:rsidR="002C527D">
        <w:rPr>
          <w:rFonts w:ascii="Times New Roman" w:hAnsi="Times New Roman"/>
          <w:sz w:val="24"/>
        </w:rPr>
        <w:t>requirement to have</w:t>
      </w:r>
      <w:r w:rsidR="00F02FFC">
        <w:rPr>
          <w:rFonts w:ascii="Times New Roman" w:hAnsi="Times New Roman"/>
          <w:sz w:val="24"/>
        </w:rPr>
        <w:t xml:space="preserve"> unit-specific </w:t>
      </w:r>
      <w:r w:rsidR="00B41989">
        <w:rPr>
          <w:rFonts w:ascii="Times New Roman" w:hAnsi="Times New Roman"/>
          <w:sz w:val="24"/>
        </w:rPr>
        <w:t xml:space="preserve">operating </w:t>
      </w:r>
      <w:r w:rsidR="00F02FFC">
        <w:rPr>
          <w:rFonts w:ascii="Times New Roman" w:hAnsi="Times New Roman"/>
          <w:sz w:val="24"/>
        </w:rPr>
        <w:t xml:space="preserve">limits.  The limits for mercury and acid gases </w:t>
      </w:r>
      <w:r w:rsidR="000D4863">
        <w:rPr>
          <w:rFonts w:ascii="Times New Roman" w:hAnsi="Times New Roman"/>
          <w:sz w:val="24"/>
        </w:rPr>
        <w:t xml:space="preserve">remained very stringent and </w:t>
      </w:r>
      <w:r w:rsidR="00F02FFC">
        <w:rPr>
          <w:rFonts w:ascii="Times New Roman" w:hAnsi="Times New Roman"/>
          <w:sz w:val="24"/>
        </w:rPr>
        <w:t>were essentially unchanged from the proposed rule.</w:t>
      </w:r>
      <w:r w:rsidR="00885474">
        <w:rPr>
          <w:rFonts w:ascii="Times New Roman" w:hAnsi="Times New Roman"/>
          <w:sz w:val="24"/>
        </w:rPr>
        <w:t xml:space="preserve"> </w:t>
      </w:r>
      <w:r w:rsidRPr="00555788">
        <w:rPr>
          <w:rFonts w:ascii="Times New Roman" w:hAnsi="Times New Roman"/>
          <w:sz w:val="24"/>
        </w:rPr>
        <w:t xml:space="preserve"> </w:t>
      </w:r>
    </w:p>
    <w:p w:rsidR="001A61A1" w:rsidRDefault="001A61A1" w:rsidP="002A0CD0">
      <w:pPr>
        <w:spacing w:after="0" w:line="240" w:lineRule="auto"/>
        <w:rPr>
          <w:rFonts w:ascii="Times New Roman" w:hAnsi="Times New Roman"/>
          <w:sz w:val="24"/>
        </w:rPr>
      </w:pPr>
    </w:p>
    <w:p w:rsidR="00111378" w:rsidRDefault="00111378" w:rsidP="002A0CD0">
      <w:pPr>
        <w:spacing w:after="0" w:line="240" w:lineRule="auto"/>
        <w:rPr>
          <w:rFonts w:ascii="Times New Roman" w:hAnsi="Times New Roman"/>
          <w:sz w:val="24"/>
        </w:rPr>
      </w:pPr>
      <w:r>
        <w:rPr>
          <w:rFonts w:ascii="Times New Roman" w:hAnsi="Times New Roman"/>
          <w:sz w:val="24"/>
        </w:rPr>
        <w:t>For oil-fired units only,</w:t>
      </w:r>
      <w:r w:rsidR="005A6AF7">
        <w:rPr>
          <w:rFonts w:ascii="Times New Roman" w:hAnsi="Times New Roman"/>
          <w:sz w:val="24"/>
        </w:rPr>
        <w:t xml:space="preserve"> the final rule </w:t>
      </w:r>
      <w:r w:rsidR="00EC7D7D">
        <w:rPr>
          <w:rFonts w:ascii="Times New Roman" w:hAnsi="Times New Roman"/>
          <w:sz w:val="24"/>
        </w:rPr>
        <w:t xml:space="preserve">also </w:t>
      </w:r>
      <w:r w:rsidR="005A6AF7">
        <w:rPr>
          <w:rFonts w:ascii="Times New Roman" w:hAnsi="Times New Roman"/>
          <w:sz w:val="24"/>
        </w:rPr>
        <w:t>contained a new option for “limited use” boilers</w:t>
      </w:r>
      <w:r w:rsidR="00EC7D7D">
        <w:rPr>
          <w:rFonts w:ascii="Times New Roman" w:hAnsi="Times New Roman"/>
          <w:sz w:val="24"/>
        </w:rPr>
        <w:t xml:space="preserve"> that was not in the proposal</w:t>
      </w:r>
      <w:r w:rsidR="005A6AF7">
        <w:rPr>
          <w:rFonts w:ascii="Times New Roman" w:hAnsi="Times New Roman"/>
          <w:sz w:val="24"/>
        </w:rPr>
        <w:t xml:space="preserve">.  </w:t>
      </w:r>
      <w:r w:rsidR="00206EC6">
        <w:rPr>
          <w:rFonts w:ascii="Times New Roman" w:hAnsi="Times New Roman"/>
          <w:sz w:val="24"/>
        </w:rPr>
        <w:t>As a result, u</w:t>
      </w:r>
      <w:r w:rsidR="005A6AF7">
        <w:rPr>
          <w:rFonts w:ascii="Times New Roman" w:hAnsi="Times New Roman"/>
          <w:sz w:val="24"/>
        </w:rPr>
        <w:t>nits that take an 8 percent capacity factor limit are not subject to the numerical emission limits but must fulfill various work practice requirements, including a periodic boiler inspection and tune-up.  Many in industry had advocated for a limited use category</w:t>
      </w:r>
      <w:r w:rsidR="00F26117">
        <w:rPr>
          <w:rFonts w:ascii="Times New Roman" w:hAnsi="Times New Roman"/>
          <w:sz w:val="24"/>
        </w:rPr>
        <w:t xml:space="preserve"> for both oil and coal units</w:t>
      </w:r>
      <w:r w:rsidR="005A6AF7">
        <w:rPr>
          <w:rFonts w:ascii="Times New Roman" w:hAnsi="Times New Roman"/>
          <w:sz w:val="24"/>
        </w:rPr>
        <w:t xml:space="preserve">, </w:t>
      </w:r>
      <w:r w:rsidR="00F26117">
        <w:rPr>
          <w:rFonts w:ascii="Times New Roman" w:hAnsi="Times New Roman"/>
          <w:sz w:val="24"/>
        </w:rPr>
        <w:t>but</w:t>
      </w:r>
      <w:r w:rsidR="005A6AF7">
        <w:rPr>
          <w:rFonts w:ascii="Times New Roman" w:hAnsi="Times New Roman"/>
          <w:sz w:val="24"/>
        </w:rPr>
        <w:t xml:space="preserve"> none suggested a capacity factor limit nearly as low as finalized by EPA.  </w:t>
      </w:r>
      <w:r w:rsidR="00EC7D7D">
        <w:rPr>
          <w:rFonts w:ascii="Times New Roman" w:hAnsi="Times New Roman"/>
          <w:sz w:val="24"/>
        </w:rPr>
        <w:t xml:space="preserve">Southern Company, on behalf of Georgia Power and other operating companies, had suggested a limited use category for </w:t>
      </w:r>
      <w:r w:rsidR="00F26117">
        <w:rPr>
          <w:rFonts w:ascii="Times New Roman" w:hAnsi="Times New Roman"/>
          <w:sz w:val="24"/>
        </w:rPr>
        <w:t xml:space="preserve">oil and coal </w:t>
      </w:r>
      <w:r w:rsidR="00EC7D7D">
        <w:rPr>
          <w:rFonts w:ascii="Times New Roman" w:hAnsi="Times New Roman"/>
          <w:sz w:val="24"/>
        </w:rPr>
        <w:t>units with less than 30 percent capacity factor</w:t>
      </w:r>
      <w:r w:rsidR="00EF7824">
        <w:rPr>
          <w:rFonts w:ascii="Times New Roman" w:hAnsi="Times New Roman"/>
          <w:sz w:val="24"/>
        </w:rPr>
        <w:t xml:space="preserve"> to preserve the flexibility and value of peaking units</w:t>
      </w:r>
      <w:r w:rsidR="00EC7D7D">
        <w:rPr>
          <w:rFonts w:ascii="Times New Roman" w:hAnsi="Times New Roman"/>
          <w:sz w:val="24"/>
        </w:rPr>
        <w:t>.</w:t>
      </w:r>
    </w:p>
    <w:p w:rsidR="00111378" w:rsidRDefault="00111378" w:rsidP="002A0CD0">
      <w:pPr>
        <w:spacing w:after="0" w:line="240" w:lineRule="auto"/>
        <w:rPr>
          <w:rFonts w:ascii="Times New Roman" w:hAnsi="Times New Roman"/>
          <w:sz w:val="24"/>
        </w:rPr>
      </w:pPr>
    </w:p>
    <w:p w:rsidR="001A61A1" w:rsidRDefault="001A61A1" w:rsidP="001A61A1">
      <w:pPr>
        <w:spacing w:after="0" w:line="240" w:lineRule="auto"/>
        <w:rPr>
          <w:rFonts w:ascii="Times New Roman" w:hAnsi="Times New Roman"/>
          <w:sz w:val="24"/>
        </w:rPr>
      </w:pPr>
      <w:r w:rsidRPr="00555788">
        <w:rPr>
          <w:rFonts w:ascii="Times New Roman" w:hAnsi="Times New Roman"/>
          <w:sz w:val="24"/>
        </w:rPr>
        <w:t xml:space="preserve">On April 16, 2012, Southern Company </w:t>
      </w:r>
      <w:r>
        <w:rPr>
          <w:rFonts w:ascii="Times New Roman" w:hAnsi="Times New Roman"/>
          <w:sz w:val="24"/>
        </w:rPr>
        <w:t>as well as</w:t>
      </w:r>
      <w:r w:rsidRPr="00555788">
        <w:rPr>
          <w:rFonts w:ascii="Times New Roman" w:hAnsi="Times New Roman"/>
          <w:sz w:val="24"/>
        </w:rPr>
        <w:t xml:space="preserve"> UARG filed a petition for reconsideration of certain aspects of the final rule. UARG also filed a petition for judicial review with the D.C. Circuit Court. </w:t>
      </w:r>
      <w:r>
        <w:rPr>
          <w:rFonts w:ascii="Times New Roman" w:hAnsi="Times New Roman"/>
          <w:sz w:val="24"/>
        </w:rPr>
        <w:t>On June 28, the court severed the new source issues and ordered</w:t>
      </w:r>
      <w:r w:rsidR="005374D8">
        <w:rPr>
          <w:rFonts w:ascii="Times New Roman" w:hAnsi="Times New Roman"/>
          <w:sz w:val="24"/>
        </w:rPr>
        <w:t xml:space="preserve"> an expedited briefing schedule for those issues</w:t>
      </w:r>
      <w:r>
        <w:rPr>
          <w:rFonts w:ascii="Times New Roman" w:hAnsi="Times New Roman"/>
          <w:sz w:val="24"/>
        </w:rPr>
        <w:t xml:space="preserve">, but has not yet acted on the existing source issues.  On </w:t>
      </w:r>
      <w:r w:rsidR="00FF6184">
        <w:rPr>
          <w:rFonts w:ascii="Times New Roman" w:hAnsi="Times New Roman"/>
          <w:sz w:val="24"/>
        </w:rPr>
        <w:br/>
      </w:r>
      <w:r>
        <w:rPr>
          <w:rFonts w:ascii="Times New Roman" w:hAnsi="Times New Roman"/>
          <w:sz w:val="24"/>
        </w:rPr>
        <w:t>July 20, EPA announced reconsideration of the new source limits as well as a 3</w:t>
      </w:r>
      <w:r w:rsidR="00AA797A">
        <w:rPr>
          <w:rFonts w:ascii="Times New Roman" w:hAnsi="Times New Roman"/>
          <w:sz w:val="24"/>
        </w:rPr>
        <w:t>-</w:t>
      </w:r>
      <w:r>
        <w:rPr>
          <w:rFonts w:ascii="Times New Roman" w:hAnsi="Times New Roman"/>
          <w:sz w:val="24"/>
        </w:rPr>
        <w:t xml:space="preserve">month stay of the rule as it applies to new sources.  </w:t>
      </w:r>
      <w:r w:rsidR="005374D8">
        <w:rPr>
          <w:rFonts w:ascii="Times New Roman" w:hAnsi="Times New Roman"/>
          <w:sz w:val="24"/>
        </w:rPr>
        <w:t>On November 30,</w:t>
      </w:r>
      <w:r w:rsidR="00EC35B8">
        <w:rPr>
          <w:rFonts w:ascii="Times New Roman" w:hAnsi="Times New Roman"/>
          <w:sz w:val="24"/>
        </w:rPr>
        <w:t xml:space="preserve"> 2012,</w:t>
      </w:r>
      <w:r w:rsidR="005374D8">
        <w:rPr>
          <w:rFonts w:ascii="Times New Roman" w:hAnsi="Times New Roman"/>
          <w:sz w:val="24"/>
        </w:rPr>
        <w:t xml:space="preserve"> EPA published proposed revisions to the new source emission limits, as well as some clarifications to certain definitions and requirements for existing sources.  EPA did not propose any significant changes for existing sources in the reconsideration.</w:t>
      </w:r>
    </w:p>
    <w:p w:rsidR="001A61A1" w:rsidRDefault="001A61A1" w:rsidP="002A0CD0">
      <w:pPr>
        <w:spacing w:after="0" w:line="240" w:lineRule="auto"/>
        <w:rPr>
          <w:rFonts w:ascii="Times New Roman" w:hAnsi="Times New Roman"/>
          <w:sz w:val="24"/>
        </w:rPr>
      </w:pPr>
    </w:p>
    <w:p w:rsidR="0081596B" w:rsidRPr="00ED7E20" w:rsidRDefault="0081596B" w:rsidP="0081596B">
      <w:pPr>
        <w:autoSpaceDE w:val="0"/>
        <w:autoSpaceDN w:val="0"/>
        <w:adjustRightInd w:val="0"/>
        <w:spacing w:after="0" w:line="240" w:lineRule="auto"/>
        <w:jc w:val="both"/>
        <w:outlineLvl w:val="1"/>
        <w:rPr>
          <w:rFonts w:ascii="Times New Roman" w:hAnsi="Times New Roman"/>
          <w:b/>
          <w:bCs/>
          <w:color w:val="000080"/>
          <w:sz w:val="24"/>
          <w:szCs w:val="24"/>
        </w:rPr>
      </w:pPr>
      <w:bookmarkStart w:id="12" w:name="_Toc347314840"/>
      <w:r>
        <w:rPr>
          <w:rFonts w:ascii="Times New Roman" w:hAnsi="Times New Roman"/>
          <w:b/>
          <w:bCs/>
          <w:color w:val="000080"/>
          <w:sz w:val="24"/>
          <w:szCs w:val="24"/>
        </w:rPr>
        <w:t>2.7</w:t>
      </w:r>
      <w:r>
        <w:rPr>
          <w:rFonts w:ascii="Times New Roman" w:hAnsi="Times New Roman"/>
          <w:b/>
          <w:bCs/>
          <w:color w:val="000080"/>
          <w:sz w:val="24"/>
          <w:szCs w:val="24"/>
        </w:rPr>
        <w:tab/>
        <w:t>New Source Performance Standards for Criteria Pollutants</w:t>
      </w:r>
      <w:bookmarkEnd w:id="12"/>
    </w:p>
    <w:p w:rsidR="0081596B" w:rsidRDefault="0081596B" w:rsidP="0081596B">
      <w:pPr>
        <w:autoSpaceDE w:val="0"/>
        <w:autoSpaceDN w:val="0"/>
        <w:adjustRightInd w:val="0"/>
        <w:spacing w:after="0" w:line="240" w:lineRule="auto"/>
        <w:rPr>
          <w:rFonts w:ascii="Times New Roman" w:hAnsi="Times New Roman"/>
          <w:color w:val="000000"/>
          <w:sz w:val="24"/>
          <w:szCs w:val="24"/>
        </w:rPr>
      </w:pPr>
      <w:r>
        <w:rPr>
          <w:rFonts w:ascii="Times New Roman" w:hAnsi="Times New Roman"/>
          <w:color w:val="000000"/>
          <w:sz w:val="24"/>
          <w:szCs w:val="24"/>
        </w:rPr>
        <w:t>Recent EPA actions include revisions to two of the New Source Performance Standards (NSPS) affecting NOx and SO</w:t>
      </w:r>
      <w:r w:rsidRPr="00EC35B8">
        <w:rPr>
          <w:rFonts w:ascii="Times New Roman" w:hAnsi="Times New Roman"/>
          <w:color w:val="000000"/>
          <w:sz w:val="24"/>
          <w:szCs w:val="24"/>
          <w:vertAlign w:val="subscript"/>
        </w:rPr>
        <w:t>2</w:t>
      </w:r>
      <w:r>
        <w:rPr>
          <w:rFonts w:ascii="Times New Roman" w:hAnsi="Times New Roman"/>
          <w:color w:val="000000"/>
          <w:sz w:val="24"/>
          <w:szCs w:val="24"/>
        </w:rPr>
        <w:t xml:space="preserve"> </w:t>
      </w:r>
      <w:r w:rsidR="00206EC6">
        <w:rPr>
          <w:rFonts w:ascii="Times New Roman" w:hAnsi="Times New Roman"/>
          <w:color w:val="000000"/>
          <w:sz w:val="24"/>
          <w:szCs w:val="24"/>
        </w:rPr>
        <w:t>emissions</w:t>
      </w:r>
      <w:r>
        <w:rPr>
          <w:rFonts w:ascii="Times New Roman" w:hAnsi="Times New Roman"/>
          <w:color w:val="000000"/>
          <w:sz w:val="24"/>
          <w:szCs w:val="24"/>
        </w:rPr>
        <w:t xml:space="preserve"> from various types of power plants.  The impact of these rules is usually limited to new power plants, but can </w:t>
      </w:r>
      <w:r w:rsidR="00206EC6">
        <w:rPr>
          <w:rFonts w:ascii="Times New Roman" w:hAnsi="Times New Roman"/>
          <w:color w:val="000000"/>
          <w:sz w:val="24"/>
          <w:szCs w:val="24"/>
        </w:rPr>
        <w:t xml:space="preserve">also impact </w:t>
      </w:r>
      <w:r>
        <w:rPr>
          <w:rFonts w:ascii="Times New Roman" w:hAnsi="Times New Roman"/>
          <w:color w:val="000000"/>
          <w:sz w:val="24"/>
          <w:szCs w:val="24"/>
        </w:rPr>
        <w:t xml:space="preserve">existing plants </w:t>
      </w:r>
      <w:r w:rsidR="00206EC6">
        <w:rPr>
          <w:rFonts w:ascii="Times New Roman" w:hAnsi="Times New Roman"/>
          <w:color w:val="000000"/>
          <w:sz w:val="24"/>
          <w:szCs w:val="24"/>
        </w:rPr>
        <w:t>under certain circumstances</w:t>
      </w:r>
      <w:r>
        <w:rPr>
          <w:rFonts w:ascii="Times New Roman" w:hAnsi="Times New Roman"/>
          <w:color w:val="000000"/>
          <w:sz w:val="24"/>
          <w:szCs w:val="24"/>
        </w:rPr>
        <w:t>.</w:t>
      </w:r>
    </w:p>
    <w:p w:rsidR="0081596B" w:rsidRDefault="0081596B" w:rsidP="0081596B">
      <w:pPr>
        <w:autoSpaceDE w:val="0"/>
        <w:autoSpaceDN w:val="0"/>
        <w:adjustRightInd w:val="0"/>
        <w:spacing w:after="0" w:line="240" w:lineRule="auto"/>
        <w:rPr>
          <w:rFonts w:ascii="Times New Roman" w:hAnsi="Times New Roman"/>
          <w:color w:val="000000"/>
          <w:sz w:val="24"/>
          <w:szCs w:val="24"/>
        </w:rPr>
      </w:pPr>
    </w:p>
    <w:p w:rsidR="0081596B" w:rsidRDefault="00206EC6" w:rsidP="0081596B">
      <w:pPr>
        <w:autoSpaceDE w:val="0"/>
        <w:autoSpaceDN w:val="0"/>
        <w:adjustRightInd w:val="0"/>
        <w:spacing w:after="0" w:line="240" w:lineRule="auto"/>
        <w:rPr>
          <w:rFonts w:ascii="Times New Roman" w:hAnsi="Times New Roman"/>
          <w:color w:val="000000"/>
          <w:sz w:val="24"/>
          <w:szCs w:val="24"/>
        </w:rPr>
      </w:pPr>
      <w:r>
        <w:rPr>
          <w:rFonts w:ascii="Times New Roman" w:hAnsi="Times New Roman"/>
          <w:color w:val="000000"/>
          <w:sz w:val="24"/>
          <w:szCs w:val="24"/>
        </w:rPr>
        <w:t>First, i</w:t>
      </w:r>
      <w:r w:rsidR="0081596B">
        <w:rPr>
          <w:rFonts w:ascii="Times New Roman" w:hAnsi="Times New Roman"/>
          <w:color w:val="000000"/>
          <w:sz w:val="24"/>
          <w:szCs w:val="24"/>
        </w:rPr>
        <w:t>n conjunction with the MATS rulemaking, EPA released final revisions to the NSPS for Electric Utility Steam Generating Units in December 2011.  The revisions included more stringent limits for NOx and SO</w:t>
      </w:r>
      <w:r w:rsidR="0081596B" w:rsidRPr="00EC35B8">
        <w:rPr>
          <w:rFonts w:ascii="Times New Roman" w:hAnsi="Times New Roman"/>
          <w:color w:val="000000"/>
          <w:sz w:val="24"/>
          <w:szCs w:val="24"/>
          <w:vertAlign w:val="subscript"/>
        </w:rPr>
        <w:t>2</w:t>
      </w:r>
      <w:r w:rsidR="0081596B">
        <w:rPr>
          <w:rFonts w:ascii="Times New Roman" w:hAnsi="Times New Roman"/>
          <w:color w:val="000000"/>
          <w:sz w:val="24"/>
          <w:szCs w:val="24"/>
        </w:rPr>
        <w:t xml:space="preserve"> for new coal-fired power plants, as well as some minor revisions affecting compliance options for both existing and new plants subject to the rule.</w:t>
      </w:r>
    </w:p>
    <w:p w:rsidR="0081596B" w:rsidRDefault="0081596B" w:rsidP="0081596B">
      <w:pPr>
        <w:autoSpaceDE w:val="0"/>
        <w:autoSpaceDN w:val="0"/>
        <w:adjustRightInd w:val="0"/>
        <w:spacing w:after="0" w:line="240" w:lineRule="auto"/>
        <w:rPr>
          <w:rFonts w:ascii="Times New Roman" w:hAnsi="Times New Roman"/>
          <w:color w:val="000000"/>
          <w:sz w:val="24"/>
          <w:szCs w:val="24"/>
        </w:rPr>
      </w:pPr>
    </w:p>
    <w:p w:rsidR="0081596B" w:rsidRDefault="00206EC6" w:rsidP="0081596B">
      <w:pPr>
        <w:autoSpaceDE w:val="0"/>
        <w:autoSpaceDN w:val="0"/>
        <w:adjustRightInd w:val="0"/>
        <w:spacing w:after="0" w:line="240" w:lineRule="auto"/>
        <w:rPr>
          <w:rFonts w:ascii="Times New Roman" w:hAnsi="Times New Roman"/>
          <w:color w:val="000000"/>
          <w:sz w:val="24"/>
          <w:szCs w:val="24"/>
        </w:rPr>
      </w:pPr>
      <w:r>
        <w:rPr>
          <w:rFonts w:ascii="Times New Roman" w:hAnsi="Times New Roman"/>
          <w:color w:val="000000"/>
          <w:sz w:val="24"/>
          <w:szCs w:val="24"/>
        </w:rPr>
        <w:t xml:space="preserve">Second, </w:t>
      </w:r>
      <w:r w:rsidR="0081596B">
        <w:rPr>
          <w:rFonts w:ascii="Times New Roman" w:hAnsi="Times New Roman"/>
          <w:color w:val="000000"/>
          <w:sz w:val="24"/>
          <w:szCs w:val="24"/>
        </w:rPr>
        <w:t>EPA proposed revisions to the NSPS for Stationary Co</w:t>
      </w:r>
      <w:r w:rsidR="00AD00B8">
        <w:rPr>
          <w:rFonts w:ascii="Times New Roman" w:hAnsi="Times New Roman"/>
          <w:color w:val="000000"/>
          <w:sz w:val="24"/>
          <w:szCs w:val="24"/>
        </w:rPr>
        <w:t>mbustion Turbines in August</w:t>
      </w:r>
      <w:r w:rsidR="0081596B">
        <w:rPr>
          <w:rFonts w:ascii="Times New Roman" w:hAnsi="Times New Roman"/>
          <w:color w:val="000000"/>
          <w:sz w:val="24"/>
          <w:szCs w:val="24"/>
        </w:rPr>
        <w:t xml:space="preserve"> 2012.  While the proposed revisions make few changes to the numerical NOx and SO</w:t>
      </w:r>
      <w:r w:rsidR="0081596B" w:rsidRPr="00EC35B8">
        <w:rPr>
          <w:rFonts w:ascii="Times New Roman" w:hAnsi="Times New Roman"/>
          <w:color w:val="000000"/>
          <w:sz w:val="24"/>
          <w:szCs w:val="24"/>
          <w:vertAlign w:val="subscript"/>
        </w:rPr>
        <w:t>2</w:t>
      </w:r>
      <w:r w:rsidR="0081596B">
        <w:rPr>
          <w:rFonts w:ascii="Times New Roman" w:hAnsi="Times New Roman"/>
          <w:color w:val="000000"/>
          <w:sz w:val="24"/>
          <w:szCs w:val="24"/>
        </w:rPr>
        <w:t xml:space="preserve"> emission limits, EPA</w:t>
      </w:r>
      <w:r>
        <w:rPr>
          <w:rFonts w:ascii="Times New Roman" w:hAnsi="Times New Roman"/>
          <w:color w:val="000000"/>
          <w:sz w:val="24"/>
          <w:szCs w:val="24"/>
        </w:rPr>
        <w:t>’s proposal would</w:t>
      </w:r>
      <w:r w:rsidR="0081596B">
        <w:rPr>
          <w:rFonts w:ascii="Times New Roman" w:hAnsi="Times New Roman"/>
          <w:color w:val="000000"/>
          <w:sz w:val="24"/>
          <w:szCs w:val="24"/>
        </w:rPr>
        <w:t xml:space="preserve"> make some key changes to certain compliance demonstrations.  For example, while the rule typically only applies to new power plants, EPA proposes to drastically change the way that </w:t>
      </w:r>
      <w:r>
        <w:rPr>
          <w:rFonts w:ascii="Times New Roman" w:hAnsi="Times New Roman"/>
          <w:color w:val="000000"/>
          <w:sz w:val="24"/>
          <w:szCs w:val="24"/>
        </w:rPr>
        <w:t xml:space="preserve">projects at an </w:t>
      </w:r>
      <w:r w:rsidR="0081596B">
        <w:rPr>
          <w:rFonts w:ascii="Times New Roman" w:hAnsi="Times New Roman"/>
          <w:color w:val="000000"/>
          <w:sz w:val="24"/>
          <w:szCs w:val="24"/>
        </w:rPr>
        <w:t xml:space="preserve">existing unit </w:t>
      </w:r>
      <w:r>
        <w:rPr>
          <w:rFonts w:ascii="Times New Roman" w:hAnsi="Times New Roman"/>
          <w:color w:val="000000"/>
          <w:sz w:val="24"/>
          <w:szCs w:val="24"/>
        </w:rPr>
        <w:t>must be evaluated to determine whether the unit has been</w:t>
      </w:r>
      <w:r w:rsidR="0081596B">
        <w:rPr>
          <w:rFonts w:ascii="Times New Roman" w:hAnsi="Times New Roman"/>
          <w:color w:val="000000"/>
          <w:sz w:val="24"/>
          <w:szCs w:val="24"/>
        </w:rPr>
        <w:t xml:space="preserve"> “reconstructed</w:t>
      </w:r>
      <w:r>
        <w:rPr>
          <w:rFonts w:ascii="Times New Roman" w:hAnsi="Times New Roman"/>
          <w:color w:val="000000"/>
          <w:sz w:val="24"/>
          <w:szCs w:val="24"/>
        </w:rPr>
        <w:t>,</w:t>
      </w:r>
      <w:r w:rsidR="0081596B">
        <w:rPr>
          <w:rFonts w:ascii="Times New Roman" w:hAnsi="Times New Roman"/>
          <w:color w:val="000000"/>
          <w:sz w:val="24"/>
          <w:szCs w:val="24"/>
        </w:rPr>
        <w:t>” thus trigger</w:t>
      </w:r>
      <w:r>
        <w:rPr>
          <w:rFonts w:ascii="Times New Roman" w:hAnsi="Times New Roman"/>
          <w:color w:val="000000"/>
          <w:sz w:val="24"/>
          <w:szCs w:val="24"/>
        </w:rPr>
        <w:t>ing</w:t>
      </w:r>
      <w:r w:rsidR="0081596B">
        <w:rPr>
          <w:rFonts w:ascii="Times New Roman" w:hAnsi="Times New Roman"/>
          <w:color w:val="000000"/>
          <w:sz w:val="24"/>
          <w:szCs w:val="24"/>
        </w:rPr>
        <w:t xml:space="preserve"> applicability of the rule.  EPA’s proposed changes, if finalized, would greatly increase the risk that existing combined-cycle and combustion turbine power plants that are not currently subject to the NSPS for Stationary Combustion Turbines could trigger the reconstruction test and become subject to more stringent requirements.      </w:t>
      </w:r>
      <w:r w:rsidR="0081596B" w:rsidRPr="004D4E44">
        <w:rPr>
          <w:rFonts w:ascii="Times New Roman" w:hAnsi="Times New Roman"/>
          <w:color w:val="000000"/>
          <w:sz w:val="24"/>
          <w:szCs w:val="24"/>
        </w:rPr>
        <w:t xml:space="preserve">  </w:t>
      </w:r>
    </w:p>
    <w:p w:rsidR="0081596B" w:rsidRDefault="0081596B" w:rsidP="0081596B">
      <w:pPr>
        <w:autoSpaceDE w:val="0"/>
        <w:autoSpaceDN w:val="0"/>
        <w:adjustRightInd w:val="0"/>
        <w:spacing w:after="0" w:line="240" w:lineRule="auto"/>
        <w:jc w:val="both"/>
        <w:outlineLvl w:val="1"/>
        <w:rPr>
          <w:rFonts w:ascii="Times New Roman" w:hAnsi="Times New Roman"/>
          <w:b/>
          <w:bCs/>
          <w:color w:val="000080"/>
          <w:sz w:val="24"/>
          <w:szCs w:val="24"/>
        </w:rPr>
      </w:pPr>
    </w:p>
    <w:p w:rsidR="00562DEB" w:rsidRDefault="0081596B">
      <w:pPr>
        <w:autoSpaceDE w:val="0"/>
        <w:autoSpaceDN w:val="0"/>
        <w:adjustRightInd w:val="0"/>
        <w:spacing w:after="0" w:line="240" w:lineRule="auto"/>
        <w:jc w:val="both"/>
        <w:outlineLvl w:val="1"/>
        <w:rPr>
          <w:rFonts w:ascii="Times New Roman" w:hAnsi="Times New Roman"/>
          <w:b/>
          <w:bCs/>
          <w:color w:val="000080"/>
          <w:sz w:val="24"/>
          <w:szCs w:val="24"/>
        </w:rPr>
      </w:pPr>
      <w:bookmarkStart w:id="13" w:name="_Toc347314841"/>
      <w:r>
        <w:rPr>
          <w:rFonts w:ascii="Times New Roman" w:hAnsi="Times New Roman"/>
          <w:b/>
          <w:bCs/>
          <w:color w:val="000080"/>
          <w:sz w:val="24"/>
          <w:szCs w:val="24"/>
        </w:rPr>
        <w:t>2.8</w:t>
      </w:r>
      <w:r>
        <w:rPr>
          <w:rFonts w:ascii="Times New Roman" w:hAnsi="Times New Roman"/>
          <w:b/>
          <w:bCs/>
          <w:color w:val="000080"/>
          <w:sz w:val="24"/>
          <w:szCs w:val="24"/>
        </w:rPr>
        <w:tab/>
      </w:r>
      <w:r w:rsidR="00FC67F9" w:rsidRPr="00ED7E20">
        <w:rPr>
          <w:rFonts w:ascii="Times New Roman" w:hAnsi="Times New Roman"/>
          <w:b/>
          <w:bCs/>
          <w:color w:val="000080"/>
          <w:sz w:val="24"/>
          <w:szCs w:val="24"/>
        </w:rPr>
        <w:t>Industrial Boiler (IB) MACT</w:t>
      </w:r>
      <w:bookmarkEnd w:id="13"/>
    </w:p>
    <w:p w:rsidR="00FC67F9" w:rsidRPr="00ED7E20" w:rsidRDefault="00FC67F9" w:rsidP="002A0CD0">
      <w:pPr>
        <w:spacing w:after="0" w:line="240" w:lineRule="auto"/>
        <w:rPr>
          <w:rFonts w:ascii="Times New Roman" w:hAnsi="Times New Roman"/>
          <w:sz w:val="24"/>
          <w:szCs w:val="24"/>
        </w:rPr>
      </w:pPr>
      <w:r w:rsidRPr="00ED7E20">
        <w:rPr>
          <w:rFonts w:ascii="Times New Roman" w:hAnsi="Times New Roman"/>
          <w:sz w:val="24"/>
          <w:szCs w:val="24"/>
        </w:rPr>
        <w:t>In February 2004, EPA finalized the Industrial Boiler (IB) MACT rule to impose limits on hazardous air pollutants from industrial boilers, including biomass</w:t>
      </w:r>
      <w:r w:rsidR="00092BD0">
        <w:rPr>
          <w:rFonts w:ascii="Times New Roman" w:hAnsi="Times New Roman"/>
          <w:sz w:val="24"/>
          <w:szCs w:val="24"/>
        </w:rPr>
        <w:t xml:space="preserve">-fired </w:t>
      </w:r>
      <w:r w:rsidRPr="00ED7E20">
        <w:rPr>
          <w:rFonts w:ascii="Times New Roman" w:hAnsi="Times New Roman"/>
          <w:sz w:val="24"/>
          <w:szCs w:val="24"/>
        </w:rPr>
        <w:t xml:space="preserve">boilers </w:t>
      </w:r>
      <w:r w:rsidR="00092BD0">
        <w:rPr>
          <w:rFonts w:ascii="Times New Roman" w:hAnsi="Times New Roman"/>
          <w:sz w:val="24"/>
          <w:szCs w:val="24"/>
        </w:rPr>
        <w:t xml:space="preserve">used for electricity generation </w:t>
      </w:r>
      <w:r w:rsidRPr="00ED7E20">
        <w:rPr>
          <w:rFonts w:ascii="Times New Roman" w:hAnsi="Times New Roman"/>
          <w:sz w:val="24"/>
          <w:szCs w:val="24"/>
        </w:rPr>
        <w:t xml:space="preserve">and start-up boilers.  Compliance with the final rule was scheduled to begin in September 2007; however, in response to challenges to the final rule, the D.C. Circuit vacated the rule in its entirety in July 2007.  </w:t>
      </w:r>
    </w:p>
    <w:p w:rsidR="00FC67F9" w:rsidRPr="00ED7E20" w:rsidRDefault="00FC67F9" w:rsidP="002A0CD0">
      <w:pPr>
        <w:spacing w:after="0" w:line="240" w:lineRule="auto"/>
        <w:rPr>
          <w:rFonts w:ascii="Times New Roman" w:hAnsi="Times New Roman"/>
          <w:sz w:val="24"/>
          <w:szCs w:val="24"/>
        </w:rPr>
      </w:pPr>
    </w:p>
    <w:p w:rsidR="00931475" w:rsidRPr="00ED7E20" w:rsidRDefault="00FC67F9" w:rsidP="002A0CD0">
      <w:pPr>
        <w:spacing w:after="0" w:line="240" w:lineRule="auto"/>
        <w:rPr>
          <w:rFonts w:ascii="Times New Roman" w:hAnsi="Times New Roman"/>
          <w:sz w:val="24"/>
          <w:szCs w:val="24"/>
        </w:rPr>
      </w:pPr>
      <w:r w:rsidRPr="00ED7E20">
        <w:rPr>
          <w:rFonts w:ascii="Times New Roman" w:hAnsi="Times New Roman"/>
          <w:sz w:val="24"/>
          <w:szCs w:val="24"/>
        </w:rPr>
        <w:t xml:space="preserve">In response to the court’s ruling, EPA began development of a new IB MACT.  On April 29, 2010, EPA issued a proposed IB MACT rule and finalized the rule on February 21, 2011.  The rule establishes different emissions limits for different subcategories of boilers, including natural gas-fired boilers, oil-fired boilers, biomass stoker boilers, and biomass fluidized bed boilers among others.  The limits in the new IB MACT are much more stringent than the IB MACT that was vacated in 2007.  </w:t>
      </w:r>
      <w:r w:rsidR="0019765B">
        <w:rPr>
          <w:rFonts w:ascii="Times New Roman" w:hAnsi="Times New Roman"/>
          <w:sz w:val="24"/>
          <w:szCs w:val="24"/>
        </w:rPr>
        <w:t>Soon after issuance of the final rule, EPA announced plans to reconsider the final rule.  The proposed reconsideration rule was published in the Federal Register on December 23, 2011</w:t>
      </w:r>
      <w:r w:rsidR="003469EF">
        <w:rPr>
          <w:rFonts w:ascii="Times New Roman" w:hAnsi="Times New Roman"/>
          <w:sz w:val="24"/>
          <w:szCs w:val="24"/>
        </w:rPr>
        <w:t>, with many significant changes to the emission limits in the rule</w:t>
      </w:r>
      <w:r w:rsidRPr="00ED7E20">
        <w:rPr>
          <w:rFonts w:ascii="Times New Roman" w:hAnsi="Times New Roman"/>
          <w:sz w:val="24"/>
          <w:szCs w:val="24"/>
        </w:rPr>
        <w:t>.</w:t>
      </w:r>
      <w:r w:rsidRPr="00ED7E20">
        <w:rPr>
          <w:rFonts w:ascii="Times New Roman" w:hAnsi="Times New Roman"/>
          <w:color w:val="FF0000"/>
          <w:sz w:val="24"/>
          <w:szCs w:val="24"/>
        </w:rPr>
        <w:t xml:space="preserve">  </w:t>
      </w:r>
      <w:r w:rsidRPr="00ED7E20">
        <w:rPr>
          <w:rFonts w:ascii="Times New Roman" w:hAnsi="Times New Roman"/>
          <w:sz w:val="24"/>
          <w:szCs w:val="24"/>
        </w:rPr>
        <w:t xml:space="preserve">EPA </w:t>
      </w:r>
      <w:r w:rsidR="0096513C">
        <w:rPr>
          <w:rFonts w:ascii="Times New Roman" w:hAnsi="Times New Roman"/>
          <w:sz w:val="24"/>
          <w:szCs w:val="24"/>
        </w:rPr>
        <w:t>released the final reconsideration rule on December 21, 2012, which included some further changes from the proposed emission limits and requirements</w:t>
      </w:r>
      <w:r w:rsidR="00B15CCE">
        <w:rPr>
          <w:rFonts w:ascii="Times New Roman" w:hAnsi="Times New Roman"/>
          <w:sz w:val="24"/>
          <w:szCs w:val="24"/>
        </w:rPr>
        <w:t xml:space="preserve">.  </w:t>
      </w:r>
      <w:r w:rsidR="00F26117">
        <w:rPr>
          <w:rFonts w:ascii="Times New Roman" w:hAnsi="Times New Roman"/>
          <w:sz w:val="24"/>
          <w:szCs w:val="24"/>
        </w:rPr>
        <w:t xml:space="preserve">As with previous revisions, some of the limits became less stringent but others became more stringent.  </w:t>
      </w:r>
      <w:r w:rsidR="002308B3">
        <w:rPr>
          <w:rFonts w:ascii="Times New Roman" w:hAnsi="Times New Roman"/>
          <w:sz w:val="24"/>
          <w:szCs w:val="24"/>
        </w:rPr>
        <w:t xml:space="preserve">In general, however, most limits affecting existing sources were </w:t>
      </w:r>
      <w:r w:rsidR="00206EC6">
        <w:rPr>
          <w:rFonts w:ascii="Times New Roman" w:hAnsi="Times New Roman"/>
          <w:sz w:val="24"/>
          <w:szCs w:val="24"/>
        </w:rPr>
        <w:t xml:space="preserve">improved </w:t>
      </w:r>
      <w:r w:rsidR="002308B3">
        <w:rPr>
          <w:rFonts w:ascii="Times New Roman" w:hAnsi="Times New Roman"/>
          <w:sz w:val="24"/>
          <w:szCs w:val="24"/>
        </w:rPr>
        <w:t>or stayed the same.  EPA also finalized changes to other compliance requirements, however, that must be analyzed for affected units on a case-by-case basis to determine the impacts.</w:t>
      </w:r>
    </w:p>
    <w:p w:rsidR="00FC67F9" w:rsidRPr="00ED7E20" w:rsidRDefault="00FC67F9" w:rsidP="002A0CD0">
      <w:pPr>
        <w:spacing w:after="0" w:line="240" w:lineRule="auto"/>
        <w:rPr>
          <w:rFonts w:ascii="Times New Roman" w:hAnsi="Times New Roman"/>
          <w:sz w:val="24"/>
          <w:szCs w:val="24"/>
        </w:rPr>
      </w:pPr>
    </w:p>
    <w:p w:rsidR="00FC67F9" w:rsidRPr="00ED7E20" w:rsidRDefault="00FC67F9" w:rsidP="002A0CD0">
      <w:pPr>
        <w:autoSpaceDE w:val="0"/>
        <w:autoSpaceDN w:val="0"/>
        <w:adjustRightInd w:val="0"/>
        <w:spacing w:after="0" w:line="240" w:lineRule="auto"/>
        <w:jc w:val="both"/>
        <w:outlineLvl w:val="1"/>
        <w:rPr>
          <w:rFonts w:ascii="Times New Roman" w:hAnsi="Times New Roman"/>
          <w:b/>
          <w:bCs/>
          <w:color w:val="000080"/>
          <w:sz w:val="24"/>
          <w:szCs w:val="24"/>
        </w:rPr>
      </w:pPr>
      <w:bookmarkStart w:id="14" w:name="_Toc347314842"/>
      <w:r>
        <w:rPr>
          <w:rFonts w:ascii="Times New Roman" w:hAnsi="Times New Roman"/>
          <w:b/>
          <w:bCs/>
          <w:color w:val="000080"/>
          <w:sz w:val="24"/>
          <w:szCs w:val="24"/>
        </w:rPr>
        <w:t>2.</w:t>
      </w:r>
      <w:r w:rsidR="0081596B">
        <w:rPr>
          <w:rFonts w:ascii="Times New Roman" w:hAnsi="Times New Roman"/>
          <w:b/>
          <w:bCs/>
          <w:color w:val="000080"/>
          <w:sz w:val="24"/>
          <w:szCs w:val="24"/>
        </w:rPr>
        <w:t>9</w:t>
      </w:r>
      <w:r>
        <w:rPr>
          <w:rFonts w:ascii="Times New Roman" w:hAnsi="Times New Roman"/>
          <w:b/>
          <w:bCs/>
          <w:color w:val="000080"/>
          <w:sz w:val="24"/>
          <w:szCs w:val="24"/>
        </w:rPr>
        <w:tab/>
      </w:r>
      <w:r w:rsidRPr="00ED7E20">
        <w:rPr>
          <w:rFonts w:ascii="Times New Roman" w:hAnsi="Times New Roman"/>
          <w:b/>
          <w:bCs/>
          <w:color w:val="000080"/>
          <w:sz w:val="24"/>
          <w:szCs w:val="24"/>
        </w:rPr>
        <w:t>Clean Air Visibility Rule (CAVR)</w:t>
      </w:r>
      <w:bookmarkEnd w:id="14"/>
    </w:p>
    <w:p w:rsidR="00FC67F9" w:rsidRPr="00ED7E20" w:rsidRDefault="00FC67F9" w:rsidP="002A0CD0">
      <w:pPr>
        <w:spacing w:after="0" w:line="240" w:lineRule="auto"/>
        <w:rPr>
          <w:rFonts w:ascii="Times New Roman" w:hAnsi="Times New Roman"/>
          <w:sz w:val="24"/>
          <w:szCs w:val="24"/>
        </w:rPr>
      </w:pPr>
    </w:p>
    <w:p w:rsidR="00481699" w:rsidRDefault="00FC67F9" w:rsidP="002A0CD0">
      <w:pPr>
        <w:autoSpaceDE w:val="0"/>
        <w:autoSpaceDN w:val="0"/>
        <w:adjustRightInd w:val="0"/>
        <w:spacing w:after="0" w:line="240" w:lineRule="auto"/>
        <w:rPr>
          <w:rFonts w:ascii="Times New Roman" w:hAnsi="Times New Roman"/>
          <w:color w:val="000000"/>
          <w:sz w:val="24"/>
          <w:szCs w:val="24"/>
        </w:rPr>
      </w:pPr>
      <w:r w:rsidRPr="00ED7E20">
        <w:rPr>
          <w:rFonts w:ascii="Times New Roman" w:hAnsi="Times New Roman"/>
          <w:color w:val="000000"/>
          <w:sz w:val="24"/>
          <w:szCs w:val="24"/>
        </w:rPr>
        <w:t>CAVR (formerly called the Regional Haze Rule) was finalized in July 2005.  The goal of this rule is to restore natural visibility conditions in specified “Class 1” areas (primarily national parks and wilderness areas) by 2064.  The rule involves: (1) the application of Best Available Retrofit Technology (BART) to certain sources built between 1962 and 1977, and (</w:t>
      </w:r>
      <w:r w:rsidRPr="00ED7E20">
        <w:rPr>
          <w:rFonts w:ascii="Times New Roman" w:hAnsi="Times New Roman"/>
          <w:sz w:val="24"/>
          <w:szCs w:val="24"/>
        </w:rPr>
        <w:t>2) the application of any additional emissions reductions which may be deemed necessary for each designated area to achieve reasonable progress toward the natural conditions goal by 2018.  Thereafter, for each 10-year planning period, additional emissions reductions will be required to</w:t>
      </w:r>
      <w:r w:rsidRPr="00ED7E20">
        <w:rPr>
          <w:rFonts w:ascii="Times New Roman" w:hAnsi="Times New Roman"/>
          <w:color w:val="000000"/>
          <w:sz w:val="24"/>
          <w:szCs w:val="24"/>
        </w:rPr>
        <w:t xml:space="preserve"> continue to demonstrate reasonable progress</w:t>
      </w:r>
      <w:r w:rsidRPr="00ED7E20">
        <w:rPr>
          <w:rFonts w:ascii="Times New Roman" w:hAnsi="Times New Roman"/>
          <w:color w:val="0000FF"/>
          <w:sz w:val="24"/>
          <w:szCs w:val="24"/>
        </w:rPr>
        <w:t xml:space="preserve"> </w:t>
      </w:r>
      <w:r w:rsidRPr="00ED7E20">
        <w:rPr>
          <w:rFonts w:ascii="Times New Roman" w:hAnsi="Times New Roman"/>
          <w:color w:val="000000"/>
          <w:sz w:val="24"/>
          <w:szCs w:val="24"/>
        </w:rPr>
        <w:t>in each area during that period.  For power plants, CAVR allowed states to determine that CAIR satisfied BART requirements for SO</w:t>
      </w:r>
      <w:r w:rsidRPr="00ED7E20">
        <w:rPr>
          <w:rFonts w:ascii="Times New Roman" w:hAnsi="Times New Roman"/>
          <w:sz w:val="24"/>
          <w:szCs w:val="24"/>
          <w:vertAlign w:val="subscript"/>
        </w:rPr>
        <w:t>2</w:t>
      </w:r>
      <w:r w:rsidRPr="00ED7E20">
        <w:rPr>
          <w:rFonts w:ascii="Times New Roman" w:hAnsi="Times New Roman"/>
          <w:color w:val="000000"/>
          <w:sz w:val="24"/>
          <w:szCs w:val="24"/>
        </w:rPr>
        <w:t xml:space="preserve"> and NO</w:t>
      </w:r>
      <w:r w:rsidRPr="00022C38">
        <w:rPr>
          <w:rFonts w:ascii="Times New Roman" w:hAnsi="Times New Roman"/>
          <w:color w:val="000000"/>
          <w:sz w:val="24"/>
          <w:szCs w:val="24"/>
        </w:rPr>
        <w:t>x</w:t>
      </w:r>
      <w:r w:rsidRPr="00ED7E20">
        <w:rPr>
          <w:rFonts w:ascii="Times New Roman" w:hAnsi="Times New Roman"/>
          <w:color w:val="000000"/>
          <w:sz w:val="24"/>
          <w:szCs w:val="24"/>
        </w:rPr>
        <w:t xml:space="preserve">.  </w:t>
      </w:r>
    </w:p>
    <w:p w:rsidR="00481699" w:rsidRDefault="00481699" w:rsidP="002A0CD0">
      <w:pPr>
        <w:autoSpaceDE w:val="0"/>
        <w:autoSpaceDN w:val="0"/>
        <w:adjustRightInd w:val="0"/>
        <w:spacing w:after="0" w:line="240" w:lineRule="auto"/>
        <w:rPr>
          <w:rFonts w:ascii="Times New Roman" w:hAnsi="Times New Roman"/>
          <w:sz w:val="24"/>
          <w:szCs w:val="24"/>
        </w:rPr>
      </w:pPr>
    </w:p>
    <w:p w:rsidR="00FC67F9" w:rsidRPr="00ED7E20" w:rsidRDefault="00FC67F9" w:rsidP="002A0CD0">
      <w:pPr>
        <w:autoSpaceDE w:val="0"/>
        <w:autoSpaceDN w:val="0"/>
        <w:adjustRightInd w:val="0"/>
        <w:spacing w:after="0" w:line="240" w:lineRule="auto"/>
        <w:rPr>
          <w:rFonts w:ascii="Times New Roman" w:hAnsi="Times New Roman"/>
          <w:sz w:val="24"/>
          <w:szCs w:val="24"/>
        </w:rPr>
      </w:pPr>
      <w:r w:rsidRPr="00ED7E20">
        <w:rPr>
          <w:rFonts w:ascii="Times New Roman" w:hAnsi="Times New Roman"/>
          <w:sz w:val="24"/>
          <w:szCs w:val="24"/>
        </w:rPr>
        <w:t xml:space="preserve">Extensive studies were performed for each </w:t>
      </w:r>
      <w:r w:rsidR="00C30EC4">
        <w:rPr>
          <w:rFonts w:ascii="Times New Roman" w:hAnsi="Times New Roman"/>
          <w:sz w:val="24"/>
          <w:szCs w:val="24"/>
        </w:rPr>
        <w:t>Georgia Power</w:t>
      </w:r>
      <w:r w:rsidRPr="00ED7E20">
        <w:rPr>
          <w:rFonts w:ascii="Times New Roman" w:hAnsi="Times New Roman"/>
          <w:sz w:val="24"/>
          <w:szCs w:val="24"/>
        </w:rPr>
        <w:t xml:space="preserve"> affected unit to demonstrate that additional PM controls are not necessary under BART.  In 2010, the Georgia EPD submitted to EPA a regional haze SIP which includes the conclusion that CAIR was sufficient to address </w:t>
      </w:r>
      <w:proofErr w:type="gramStart"/>
      <w:r w:rsidRPr="00ED7E20">
        <w:rPr>
          <w:rFonts w:ascii="Times New Roman" w:hAnsi="Times New Roman"/>
          <w:sz w:val="24"/>
          <w:szCs w:val="24"/>
        </w:rPr>
        <w:t>both SO</w:t>
      </w:r>
      <w:r w:rsidRPr="00ED7E20">
        <w:rPr>
          <w:rFonts w:ascii="Times New Roman" w:hAnsi="Times New Roman"/>
          <w:sz w:val="24"/>
          <w:szCs w:val="24"/>
          <w:vertAlign w:val="subscript"/>
        </w:rPr>
        <w:t>2</w:t>
      </w:r>
      <w:proofErr w:type="gramEnd"/>
      <w:r w:rsidRPr="00ED7E20">
        <w:rPr>
          <w:rFonts w:ascii="Times New Roman" w:hAnsi="Times New Roman"/>
          <w:sz w:val="24"/>
          <w:szCs w:val="24"/>
        </w:rPr>
        <w:t xml:space="preserve"> and NO</w:t>
      </w:r>
      <w:r w:rsidRPr="00022C38">
        <w:rPr>
          <w:rFonts w:ascii="Times New Roman" w:hAnsi="Times New Roman"/>
          <w:sz w:val="24"/>
          <w:szCs w:val="24"/>
        </w:rPr>
        <w:t>x</w:t>
      </w:r>
      <w:r w:rsidRPr="00ED7E20">
        <w:rPr>
          <w:rFonts w:ascii="Times New Roman" w:hAnsi="Times New Roman"/>
          <w:sz w:val="24"/>
          <w:szCs w:val="24"/>
        </w:rPr>
        <w:t xml:space="preserve"> BART as well as Reasonable Progress for G</w:t>
      </w:r>
      <w:r w:rsidR="00C30EC4">
        <w:rPr>
          <w:rFonts w:ascii="Times New Roman" w:hAnsi="Times New Roman"/>
          <w:sz w:val="24"/>
          <w:szCs w:val="24"/>
        </w:rPr>
        <w:t>eorgia Power</w:t>
      </w:r>
      <w:r w:rsidRPr="00ED7E20">
        <w:rPr>
          <w:rFonts w:ascii="Times New Roman" w:hAnsi="Times New Roman"/>
          <w:sz w:val="24"/>
          <w:szCs w:val="24"/>
        </w:rPr>
        <w:t xml:space="preserve"> units, and that no additional PM controls are warranted under BART. </w:t>
      </w:r>
      <w:r w:rsidR="003C69F8">
        <w:rPr>
          <w:rFonts w:ascii="Times New Roman" w:hAnsi="Times New Roman"/>
          <w:sz w:val="24"/>
          <w:szCs w:val="24"/>
        </w:rPr>
        <w:t>In mid 2012</w:t>
      </w:r>
      <w:r w:rsidR="003469EF">
        <w:rPr>
          <w:rFonts w:ascii="Times New Roman" w:hAnsi="Times New Roman"/>
          <w:sz w:val="24"/>
          <w:szCs w:val="24"/>
        </w:rPr>
        <w:t>,</w:t>
      </w:r>
      <w:r w:rsidR="003C69F8">
        <w:rPr>
          <w:rFonts w:ascii="Times New Roman" w:hAnsi="Times New Roman"/>
          <w:sz w:val="24"/>
          <w:szCs w:val="24"/>
        </w:rPr>
        <w:t xml:space="preserve"> EPA took several actions relative to the G</w:t>
      </w:r>
      <w:r w:rsidR="003469EF">
        <w:rPr>
          <w:rFonts w:ascii="Times New Roman" w:hAnsi="Times New Roman"/>
          <w:sz w:val="24"/>
          <w:szCs w:val="24"/>
        </w:rPr>
        <w:t>eorgia</w:t>
      </w:r>
      <w:r w:rsidR="003C69F8">
        <w:rPr>
          <w:rFonts w:ascii="Times New Roman" w:hAnsi="Times New Roman"/>
          <w:sz w:val="24"/>
          <w:szCs w:val="24"/>
        </w:rPr>
        <w:t xml:space="preserve"> Haze SIP</w:t>
      </w:r>
      <w:r w:rsidR="003469EF">
        <w:rPr>
          <w:rFonts w:ascii="Times New Roman" w:hAnsi="Times New Roman"/>
          <w:sz w:val="24"/>
          <w:szCs w:val="24"/>
        </w:rPr>
        <w:t xml:space="preserve">.  While EPA approved of many aspects of the Georgia SIP, it disapproved </w:t>
      </w:r>
      <w:r w:rsidR="00C30EC4">
        <w:rPr>
          <w:rFonts w:ascii="Times New Roman" w:hAnsi="Times New Roman"/>
          <w:sz w:val="24"/>
          <w:szCs w:val="24"/>
        </w:rPr>
        <w:t>of the section that concluded CAIR was sufficient to meet SO</w:t>
      </w:r>
      <w:r w:rsidR="00EA4B45" w:rsidRPr="00EA4B45">
        <w:rPr>
          <w:rFonts w:ascii="Times New Roman" w:hAnsi="Times New Roman"/>
          <w:sz w:val="24"/>
          <w:szCs w:val="24"/>
          <w:vertAlign w:val="subscript"/>
        </w:rPr>
        <w:t>2</w:t>
      </w:r>
      <w:r w:rsidR="00C30EC4">
        <w:rPr>
          <w:rFonts w:ascii="Times New Roman" w:hAnsi="Times New Roman"/>
          <w:sz w:val="24"/>
          <w:szCs w:val="24"/>
        </w:rPr>
        <w:t xml:space="preserve"> and NOx BART.  EPA </w:t>
      </w:r>
      <w:r w:rsidR="003469EF">
        <w:rPr>
          <w:rFonts w:ascii="Times New Roman" w:hAnsi="Times New Roman"/>
          <w:sz w:val="24"/>
          <w:szCs w:val="24"/>
        </w:rPr>
        <w:t xml:space="preserve">issued a federal implementation plan </w:t>
      </w:r>
      <w:r w:rsidR="00C30EC4">
        <w:rPr>
          <w:rFonts w:ascii="Times New Roman" w:hAnsi="Times New Roman"/>
          <w:sz w:val="24"/>
          <w:szCs w:val="24"/>
        </w:rPr>
        <w:t>essentially replacing that portion of the SIP with CSAPR.</w:t>
      </w:r>
      <w:r w:rsidR="003C69F8">
        <w:rPr>
          <w:rFonts w:ascii="Times New Roman" w:hAnsi="Times New Roman"/>
          <w:sz w:val="24"/>
          <w:szCs w:val="24"/>
        </w:rPr>
        <w:t xml:space="preserve"> </w:t>
      </w:r>
      <w:r w:rsidR="00C30EC4">
        <w:rPr>
          <w:rFonts w:ascii="Times New Roman" w:hAnsi="Times New Roman"/>
          <w:sz w:val="24"/>
          <w:szCs w:val="24"/>
        </w:rPr>
        <w:t xml:space="preserve"> </w:t>
      </w:r>
      <w:r w:rsidR="003C69F8">
        <w:rPr>
          <w:rFonts w:ascii="Times New Roman" w:hAnsi="Times New Roman"/>
          <w:sz w:val="24"/>
          <w:szCs w:val="24"/>
        </w:rPr>
        <w:t xml:space="preserve">However, </w:t>
      </w:r>
      <w:r w:rsidR="00C30EC4">
        <w:rPr>
          <w:rFonts w:ascii="Times New Roman" w:hAnsi="Times New Roman"/>
          <w:sz w:val="24"/>
          <w:szCs w:val="24"/>
        </w:rPr>
        <w:t xml:space="preserve">subsequently </w:t>
      </w:r>
      <w:r w:rsidR="003C69F8">
        <w:rPr>
          <w:rFonts w:ascii="Times New Roman" w:hAnsi="Times New Roman"/>
          <w:sz w:val="24"/>
          <w:szCs w:val="24"/>
        </w:rPr>
        <w:t xml:space="preserve">the DC Circuit </w:t>
      </w:r>
      <w:r w:rsidR="00C30EC4">
        <w:rPr>
          <w:rFonts w:ascii="Times New Roman" w:hAnsi="Times New Roman"/>
          <w:sz w:val="24"/>
          <w:szCs w:val="24"/>
        </w:rPr>
        <w:t xml:space="preserve">Court </w:t>
      </w:r>
      <w:r w:rsidR="003C69F8">
        <w:rPr>
          <w:rFonts w:ascii="Times New Roman" w:hAnsi="Times New Roman"/>
          <w:sz w:val="24"/>
          <w:szCs w:val="24"/>
        </w:rPr>
        <w:t xml:space="preserve">vacated CSAPR, </w:t>
      </w:r>
      <w:r w:rsidR="00C635EA">
        <w:rPr>
          <w:rFonts w:ascii="Times New Roman" w:hAnsi="Times New Roman"/>
          <w:sz w:val="24"/>
          <w:szCs w:val="24"/>
        </w:rPr>
        <w:t>creating some uncertainty on SO</w:t>
      </w:r>
      <w:r w:rsidR="00143F84" w:rsidRPr="00143F84">
        <w:rPr>
          <w:rFonts w:ascii="Times New Roman" w:hAnsi="Times New Roman"/>
          <w:sz w:val="24"/>
          <w:szCs w:val="24"/>
          <w:vertAlign w:val="subscript"/>
        </w:rPr>
        <w:t>2</w:t>
      </w:r>
      <w:r w:rsidR="00C635EA">
        <w:rPr>
          <w:rFonts w:ascii="Times New Roman" w:hAnsi="Times New Roman"/>
          <w:sz w:val="24"/>
          <w:szCs w:val="24"/>
        </w:rPr>
        <w:t xml:space="preserve"> and NOx BART requirements for the 21 affected Georgia Power units.  </w:t>
      </w:r>
      <w:r w:rsidR="003C69F8">
        <w:rPr>
          <w:rFonts w:ascii="Times New Roman" w:hAnsi="Times New Roman"/>
          <w:sz w:val="24"/>
          <w:szCs w:val="24"/>
        </w:rPr>
        <w:t xml:space="preserve"> </w:t>
      </w:r>
      <w:r w:rsidR="00C30EC4">
        <w:rPr>
          <w:rFonts w:ascii="Times New Roman" w:hAnsi="Times New Roman"/>
          <w:sz w:val="24"/>
          <w:szCs w:val="24"/>
        </w:rPr>
        <w:t xml:space="preserve">  </w:t>
      </w:r>
      <w:r w:rsidR="003C69F8">
        <w:rPr>
          <w:rFonts w:ascii="Times New Roman" w:hAnsi="Times New Roman"/>
          <w:sz w:val="24"/>
          <w:szCs w:val="24"/>
        </w:rPr>
        <w:t xml:space="preserve"> </w:t>
      </w:r>
      <w:r w:rsidRPr="00ED7E20">
        <w:rPr>
          <w:rFonts w:ascii="Times New Roman" w:hAnsi="Times New Roman"/>
          <w:sz w:val="24"/>
          <w:szCs w:val="24"/>
        </w:rPr>
        <w:t xml:space="preserve"> </w:t>
      </w:r>
    </w:p>
    <w:p w:rsidR="00FC67F9" w:rsidRDefault="00FC67F9" w:rsidP="002A0CD0">
      <w:pPr>
        <w:autoSpaceDE w:val="0"/>
        <w:autoSpaceDN w:val="0"/>
        <w:adjustRightInd w:val="0"/>
        <w:spacing w:after="0" w:line="240" w:lineRule="auto"/>
        <w:rPr>
          <w:rFonts w:ascii="Times New Roman" w:hAnsi="Times New Roman"/>
          <w:color w:val="000000"/>
          <w:sz w:val="24"/>
          <w:szCs w:val="24"/>
        </w:rPr>
      </w:pPr>
    </w:p>
    <w:p w:rsidR="00F30E62" w:rsidRPr="00F30E62" w:rsidRDefault="00F30E62" w:rsidP="00F30E62">
      <w:pPr>
        <w:autoSpaceDE w:val="0"/>
        <w:autoSpaceDN w:val="0"/>
        <w:adjustRightInd w:val="0"/>
        <w:spacing w:after="0" w:line="240" w:lineRule="auto"/>
        <w:rPr>
          <w:rFonts w:ascii="Times New Roman" w:hAnsi="Times New Roman"/>
          <w:color w:val="000000"/>
          <w:sz w:val="24"/>
          <w:szCs w:val="24"/>
        </w:rPr>
      </w:pPr>
      <w:r w:rsidRPr="00F30E62">
        <w:rPr>
          <w:rFonts w:ascii="Times New Roman" w:hAnsi="Times New Roman"/>
          <w:color w:val="000000"/>
          <w:sz w:val="24"/>
          <w:szCs w:val="24"/>
        </w:rPr>
        <w:t>In September and October</w:t>
      </w:r>
      <w:r>
        <w:rPr>
          <w:rFonts w:ascii="Times New Roman" w:hAnsi="Times New Roman"/>
          <w:color w:val="000000"/>
          <w:sz w:val="24"/>
          <w:szCs w:val="24"/>
        </w:rPr>
        <w:t xml:space="preserve"> of 2012</w:t>
      </w:r>
      <w:r w:rsidRPr="00F30E62">
        <w:rPr>
          <w:rFonts w:ascii="Times New Roman" w:hAnsi="Times New Roman"/>
          <w:color w:val="000000"/>
          <w:sz w:val="24"/>
          <w:szCs w:val="24"/>
        </w:rPr>
        <w:t xml:space="preserve">, the National Parks Conservation Association (NPCA) and Sierra Club filed 10 petitions for review in seven circuits (including the DC Circuit) related to EPA actions around CSAPR and Regional Haze (CSAPR=BART) requirements. Most of the petitions were filed based on grounds arising from the CSAPR vacatur decision. NPCA and Sierra Club believe that all of the cases should be consolidated and heard in the DC Circuit, but have filed the petitions as a protective measure. There are existing petitions pending at the DC Circuit, including a UARG challenge to certain aspects of the EPA CSAPR=BART rule. </w:t>
      </w:r>
    </w:p>
    <w:p w:rsidR="004D4E44" w:rsidRDefault="004D4E44" w:rsidP="00F30E62">
      <w:pPr>
        <w:autoSpaceDE w:val="0"/>
        <w:autoSpaceDN w:val="0"/>
        <w:adjustRightInd w:val="0"/>
        <w:spacing w:after="0" w:line="240" w:lineRule="auto"/>
        <w:rPr>
          <w:rFonts w:ascii="Times New Roman" w:hAnsi="Times New Roman"/>
          <w:color w:val="000000"/>
          <w:sz w:val="24"/>
          <w:szCs w:val="24"/>
        </w:rPr>
      </w:pPr>
    </w:p>
    <w:p w:rsidR="00F30E62" w:rsidRDefault="00F30E62" w:rsidP="004D4E44">
      <w:pPr>
        <w:autoSpaceDE w:val="0"/>
        <w:autoSpaceDN w:val="0"/>
        <w:adjustRightInd w:val="0"/>
        <w:spacing w:after="0" w:line="240" w:lineRule="auto"/>
        <w:rPr>
          <w:rFonts w:ascii="Times New Roman" w:hAnsi="Times New Roman"/>
          <w:color w:val="000000"/>
          <w:sz w:val="24"/>
          <w:szCs w:val="24"/>
        </w:rPr>
      </w:pPr>
      <w:r w:rsidRPr="00F30E62">
        <w:rPr>
          <w:rFonts w:ascii="Times New Roman" w:hAnsi="Times New Roman"/>
          <w:color w:val="000000"/>
          <w:sz w:val="24"/>
          <w:szCs w:val="24"/>
        </w:rPr>
        <w:t xml:space="preserve">Among the 10 petitions is one filed in the 11th Circuit challenging the EPA rule that allows CSAPR to fulfill some regional haze requirements for the </w:t>
      </w:r>
      <w:r w:rsidR="00EC35B8">
        <w:rPr>
          <w:rFonts w:ascii="Times New Roman" w:hAnsi="Times New Roman"/>
          <w:color w:val="000000"/>
          <w:sz w:val="24"/>
          <w:szCs w:val="24"/>
        </w:rPr>
        <w:t>S</w:t>
      </w:r>
      <w:r w:rsidRPr="00F30E62">
        <w:rPr>
          <w:rFonts w:ascii="Times New Roman" w:hAnsi="Times New Roman"/>
          <w:color w:val="000000"/>
          <w:sz w:val="24"/>
          <w:szCs w:val="24"/>
        </w:rPr>
        <w:t xml:space="preserve">tate of </w:t>
      </w:r>
      <w:proofErr w:type="gramStart"/>
      <w:r w:rsidRPr="00F30E62">
        <w:rPr>
          <w:rFonts w:ascii="Times New Roman" w:hAnsi="Times New Roman"/>
          <w:color w:val="000000"/>
          <w:sz w:val="24"/>
          <w:szCs w:val="24"/>
        </w:rPr>
        <w:t>Georgia.</w:t>
      </w:r>
      <w:proofErr w:type="gramEnd"/>
      <w:r w:rsidRPr="00F30E62">
        <w:rPr>
          <w:rFonts w:ascii="Times New Roman" w:hAnsi="Times New Roman"/>
          <w:color w:val="000000"/>
          <w:sz w:val="24"/>
          <w:szCs w:val="24"/>
        </w:rPr>
        <w:t xml:space="preserve"> The Georgia petition is the lone case in the 11th Circuit. </w:t>
      </w:r>
      <w:r w:rsidR="004D4E44" w:rsidRPr="004D4E44">
        <w:rPr>
          <w:rFonts w:ascii="Times New Roman" w:hAnsi="Times New Roman"/>
          <w:color w:val="000000"/>
          <w:sz w:val="24"/>
          <w:szCs w:val="24"/>
        </w:rPr>
        <w:t xml:space="preserve">While there is a good chance that </w:t>
      </w:r>
      <w:r w:rsidR="00206EC6">
        <w:rPr>
          <w:rFonts w:ascii="Times New Roman" w:hAnsi="Times New Roman"/>
          <w:color w:val="000000"/>
          <w:sz w:val="24"/>
          <w:szCs w:val="24"/>
        </w:rPr>
        <w:t xml:space="preserve">all of </w:t>
      </w:r>
      <w:r w:rsidR="004D4E44" w:rsidRPr="004D4E44">
        <w:rPr>
          <w:rFonts w:ascii="Times New Roman" w:hAnsi="Times New Roman"/>
          <w:color w:val="000000"/>
          <w:sz w:val="24"/>
          <w:szCs w:val="24"/>
        </w:rPr>
        <w:t>the cases</w:t>
      </w:r>
      <w:r w:rsidR="00206EC6">
        <w:rPr>
          <w:rFonts w:ascii="Times New Roman" w:hAnsi="Times New Roman"/>
          <w:color w:val="000000"/>
          <w:sz w:val="24"/>
          <w:szCs w:val="24"/>
        </w:rPr>
        <w:t>, including the Georgia petition,</w:t>
      </w:r>
      <w:r w:rsidR="004D4E44" w:rsidRPr="004D4E44">
        <w:rPr>
          <w:rFonts w:ascii="Times New Roman" w:hAnsi="Times New Roman"/>
          <w:color w:val="000000"/>
          <w:sz w:val="24"/>
          <w:szCs w:val="24"/>
        </w:rPr>
        <w:t xml:space="preserve"> will be consolidated and heard in the D.C. Circuit Court of Appeals, Georgia Power has requested to intervene in the </w:t>
      </w:r>
      <w:r w:rsidR="00206EC6">
        <w:rPr>
          <w:rFonts w:ascii="Times New Roman" w:hAnsi="Times New Roman"/>
          <w:color w:val="000000"/>
          <w:sz w:val="24"/>
          <w:szCs w:val="24"/>
        </w:rPr>
        <w:t>Georgia case</w:t>
      </w:r>
      <w:r w:rsidR="004D4E44" w:rsidRPr="004D4E44">
        <w:rPr>
          <w:rFonts w:ascii="Times New Roman" w:hAnsi="Times New Roman"/>
          <w:color w:val="000000"/>
          <w:sz w:val="24"/>
          <w:szCs w:val="24"/>
        </w:rPr>
        <w:t xml:space="preserve"> to protect its interests in the </w:t>
      </w:r>
      <w:r w:rsidR="00206EC6">
        <w:rPr>
          <w:rFonts w:ascii="Times New Roman" w:hAnsi="Times New Roman"/>
          <w:color w:val="000000"/>
          <w:sz w:val="24"/>
          <w:szCs w:val="24"/>
        </w:rPr>
        <w:t>event the 11</w:t>
      </w:r>
      <w:r w:rsidR="00206EC6" w:rsidRPr="00720F9E">
        <w:rPr>
          <w:rFonts w:ascii="Times New Roman" w:hAnsi="Times New Roman"/>
          <w:color w:val="000000"/>
          <w:sz w:val="24"/>
          <w:szCs w:val="24"/>
          <w:vertAlign w:val="superscript"/>
        </w:rPr>
        <w:t>th</w:t>
      </w:r>
      <w:r w:rsidR="00206EC6">
        <w:rPr>
          <w:rFonts w:ascii="Times New Roman" w:hAnsi="Times New Roman"/>
          <w:color w:val="000000"/>
          <w:sz w:val="24"/>
          <w:szCs w:val="24"/>
        </w:rPr>
        <w:t xml:space="preserve"> Circuit case is not consolidated with the others in the DC Circuit</w:t>
      </w:r>
      <w:r w:rsidR="004D4E44" w:rsidRPr="004D4E44">
        <w:rPr>
          <w:rFonts w:ascii="Times New Roman" w:hAnsi="Times New Roman"/>
          <w:color w:val="000000"/>
          <w:sz w:val="24"/>
          <w:szCs w:val="24"/>
        </w:rPr>
        <w:t xml:space="preserve">.  </w:t>
      </w:r>
    </w:p>
    <w:p w:rsidR="004D4E44" w:rsidRPr="00ED7E20" w:rsidRDefault="004D4E44" w:rsidP="004D4E44">
      <w:pPr>
        <w:autoSpaceDE w:val="0"/>
        <w:autoSpaceDN w:val="0"/>
        <w:adjustRightInd w:val="0"/>
        <w:spacing w:after="0" w:line="240" w:lineRule="auto"/>
        <w:rPr>
          <w:rFonts w:ascii="Times New Roman" w:hAnsi="Times New Roman"/>
          <w:color w:val="000000"/>
          <w:sz w:val="24"/>
          <w:szCs w:val="24"/>
        </w:rPr>
      </w:pPr>
    </w:p>
    <w:p w:rsidR="00FC67F9" w:rsidRPr="00ED7E20" w:rsidRDefault="00FC67F9" w:rsidP="002A0CD0">
      <w:pPr>
        <w:autoSpaceDE w:val="0"/>
        <w:autoSpaceDN w:val="0"/>
        <w:adjustRightInd w:val="0"/>
        <w:spacing w:after="0" w:line="240" w:lineRule="auto"/>
        <w:jc w:val="both"/>
        <w:outlineLvl w:val="1"/>
        <w:rPr>
          <w:rFonts w:ascii="Times New Roman" w:hAnsi="Times New Roman"/>
          <w:b/>
          <w:bCs/>
          <w:color w:val="000080"/>
          <w:sz w:val="24"/>
          <w:szCs w:val="24"/>
        </w:rPr>
      </w:pPr>
      <w:bookmarkStart w:id="15" w:name="_Toc347314843"/>
      <w:r>
        <w:rPr>
          <w:rFonts w:ascii="Times New Roman" w:hAnsi="Times New Roman"/>
          <w:b/>
          <w:bCs/>
          <w:color w:val="000080"/>
          <w:sz w:val="24"/>
          <w:szCs w:val="24"/>
        </w:rPr>
        <w:t>2.</w:t>
      </w:r>
      <w:r w:rsidR="0081596B">
        <w:rPr>
          <w:rFonts w:ascii="Times New Roman" w:hAnsi="Times New Roman"/>
          <w:b/>
          <w:bCs/>
          <w:color w:val="000080"/>
          <w:sz w:val="24"/>
          <w:szCs w:val="24"/>
        </w:rPr>
        <w:t>10</w:t>
      </w:r>
      <w:r>
        <w:rPr>
          <w:rFonts w:ascii="Times New Roman" w:hAnsi="Times New Roman"/>
          <w:b/>
          <w:bCs/>
          <w:color w:val="000080"/>
          <w:sz w:val="24"/>
          <w:szCs w:val="24"/>
        </w:rPr>
        <w:tab/>
      </w:r>
      <w:r w:rsidRPr="00ED7E20">
        <w:rPr>
          <w:rFonts w:ascii="Times New Roman" w:hAnsi="Times New Roman"/>
          <w:b/>
          <w:bCs/>
          <w:color w:val="000080"/>
          <w:sz w:val="24"/>
          <w:szCs w:val="24"/>
        </w:rPr>
        <w:t>Georgia Multipollu</w:t>
      </w:r>
      <w:r>
        <w:rPr>
          <w:rFonts w:ascii="Times New Roman" w:hAnsi="Times New Roman"/>
          <w:b/>
          <w:bCs/>
          <w:color w:val="000080"/>
          <w:sz w:val="24"/>
          <w:szCs w:val="24"/>
        </w:rPr>
        <w:t xml:space="preserve">tant Rule and Georgia </w:t>
      </w:r>
      <w:r w:rsidR="000E5661">
        <w:rPr>
          <w:rFonts w:ascii="Times New Roman" w:hAnsi="Times New Roman"/>
          <w:b/>
          <w:bCs/>
          <w:color w:val="000080"/>
          <w:sz w:val="24"/>
          <w:szCs w:val="24"/>
        </w:rPr>
        <w:t>SO</w:t>
      </w:r>
      <w:r w:rsidR="000E5661" w:rsidRPr="001F422D">
        <w:rPr>
          <w:rFonts w:ascii="Times New Roman" w:hAnsi="Times New Roman"/>
          <w:b/>
          <w:bCs/>
          <w:color w:val="000080"/>
          <w:sz w:val="24"/>
          <w:szCs w:val="24"/>
          <w:vertAlign w:val="subscript"/>
        </w:rPr>
        <w:t>2</w:t>
      </w:r>
      <w:r w:rsidR="000E5661">
        <w:rPr>
          <w:rFonts w:ascii="Times New Roman" w:hAnsi="Times New Roman"/>
          <w:b/>
          <w:bCs/>
          <w:color w:val="000080"/>
          <w:sz w:val="24"/>
          <w:szCs w:val="24"/>
        </w:rPr>
        <w:t xml:space="preserve"> Emissions </w:t>
      </w:r>
      <w:r>
        <w:rPr>
          <w:rFonts w:ascii="Times New Roman" w:hAnsi="Times New Roman"/>
          <w:b/>
          <w:bCs/>
          <w:color w:val="000080"/>
          <w:sz w:val="24"/>
          <w:szCs w:val="24"/>
        </w:rPr>
        <w:t>Rule</w:t>
      </w:r>
      <w:bookmarkEnd w:id="15"/>
    </w:p>
    <w:p w:rsidR="000E5661" w:rsidRDefault="000E5661" w:rsidP="002A0CD0">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In response to both federal rules as well as state-specific objectives, the State of Georgia has implemented a set of state rules governing emissions</w:t>
      </w:r>
      <w:r w:rsidR="00707144">
        <w:rPr>
          <w:rFonts w:ascii="Times New Roman" w:hAnsi="Times New Roman"/>
          <w:sz w:val="24"/>
          <w:szCs w:val="24"/>
        </w:rPr>
        <w:t xml:space="preserve"> from</w:t>
      </w:r>
      <w:r>
        <w:rPr>
          <w:rFonts w:ascii="Times New Roman" w:hAnsi="Times New Roman"/>
          <w:sz w:val="24"/>
          <w:szCs w:val="24"/>
        </w:rPr>
        <w:t xml:space="preserve"> coal-fired power plants.  The Georgia Multipollutant Rule was finalized in June 2007, while the Georgia SO</w:t>
      </w:r>
      <w:r w:rsidRPr="001F422D">
        <w:rPr>
          <w:rFonts w:ascii="Times New Roman" w:hAnsi="Times New Roman"/>
          <w:sz w:val="24"/>
          <w:szCs w:val="24"/>
          <w:vertAlign w:val="subscript"/>
        </w:rPr>
        <w:t>2</w:t>
      </w:r>
      <w:r>
        <w:rPr>
          <w:rFonts w:ascii="Times New Roman" w:hAnsi="Times New Roman"/>
          <w:sz w:val="24"/>
          <w:szCs w:val="24"/>
        </w:rPr>
        <w:t xml:space="preserve"> Emis</w:t>
      </w:r>
      <w:r w:rsidR="00A34BB1">
        <w:rPr>
          <w:rFonts w:ascii="Times New Roman" w:hAnsi="Times New Roman"/>
          <w:sz w:val="24"/>
          <w:szCs w:val="24"/>
        </w:rPr>
        <w:t>sions Rule was finalized in January</w:t>
      </w:r>
      <w:r>
        <w:rPr>
          <w:rFonts w:ascii="Times New Roman" w:hAnsi="Times New Roman"/>
          <w:sz w:val="24"/>
          <w:szCs w:val="24"/>
        </w:rPr>
        <w:t xml:space="preserve"> 2009.  Both rules require </w:t>
      </w:r>
      <w:r w:rsidR="005C27D3">
        <w:rPr>
          <w:rFonts w:ascii="Times New Roman" w:hAnsi="Times New Roman"/>
          <w:sz w:val="24"/>
          <w:szCs w:val="24"/>
        </w:rPr>
        <w:t xml:space="preserve">the installation and operation of certain </w:t>
      </w:r>
      <w:r>
        <w:rPr>
          <w:rFonts w:ascii="Times New Roman" w:hAnsi="Times New Roman"/>
          <w:sz w:val="24"/>
          <w:szCs w:val="24"/>
        </w:rPr>
        <w:t xml:space="preserve">emission controls on all of the larger coal-fired </w:t>
      </w:r>
      <w:r w:rsidR="002308B3">
        <w:rPr>
          <w:rFonts w:ascii="Times New Roman" w:hAnsi="Times New Roman"/>
          <w:sz w:val="24"/>
          <w:szCs w:val="24"/>
        </w:rPr>
        <w:t xml:space="preserve">electric generating </w:t>
      </w:r>
      <w:r>
        <w:rPr>
          <w:rFonts w:ascii="Times New Roman" w:hAnsi="Times New Roman"/>
          <w:sz w:val="24"/>
          <w:szCs w:val="24"/>
        </w:rPr>
        <w:t xml:space="preserve">units in the state by specific dates.    </w:t>
      </w:r>
    </w:p>
    <w:p w:rsidR="000E5661" w:rsidRDefault="000E5661" w:rsidP="002A0CD0">
      <w:pPr>
        <w:autoSpaceDE w:val="0"/>
        <w:autoSpaceDN w:val="0"/>
        <w:adjustRightInd w:val="0"/>
        <w:spacing w:after="0" w:line="240" w:lineRule="auto"/>
        <w:rPr>
          <w:rFonts w:ascii="Times New Roman" w:hAnsi="Times New Roman"/>
          <w:sz w:val="24"/>
          <w:szCs w:val="24"/>
        </w:rPr>
      </w:pPr>
    </w:p>
    <w:p w:rsidR="00E45DE0" w:rsidRDefault="00FC67F9" w:rsidP="002A0CD0">
      <w:pPr>
        <w:autoSpaceDE w:val="0"/>
        <w:autoSpaceDN w:val="0"/>
        <w:adjustRightInd w:val="0"/>
        <w:spacing w:after="0" w:line="240" w:lineRule="auto"/>
        <w:rPr>
          <w:rFonts w:ascii="Times New Roman" w:hAnsi="Times New Roman"/>
          <w:sz w:val="24"/>
          <w:szCs w:val="24"/>
        </w:rPr>
      </w:pPr>
      <w:r w:rsidRPr="00ED7E20">
        <w:rPr>
          <w:rFonts w:ascii="Times New Roman" w:hAnsi="Times New Roman"/>
          <w:sz w:val="24"/>
          <w:szCs w:val="24"/>
        </w:rPr>
        <w:t xml:space="preserve">The </w:t>
      </w:r>
      <w:r w:rsidR="000E5661">
        <w:rPr>
          <w:rFonts w:ascii="Times New Roman" w:hAnsi="Times New Roman"/>
          <w:sz w:val="24"/>
          <w:szCs w:val="24"/>
        </w:rPr>
        <w:t>Georgia Multipollutant R</w:t>
      </w:r>
      <w:r w:rsidRPr="00ED7E20">
        <w:rPr>
          <w:rFonts w:ascii="Times New Roman" w:hAnsi="Times New Roman"/>
          <w:sz w:val="24"/>
          <w:szCs w:val="24"/>
        </w:rPr>
        <w:t xml:space="preserve">ule </w:t>
      </w:r>
      <w:r w:rsidR="00707144">
        <w:rPr>
          <w:rFonts w:ascii="Times New Roman" w:hAnsi="Times New Roman"/>
          <w:sz w:val="24"/>
          <w:szCs w:val="24"/>
        </w:rPr>
        <w:t>wa</w:t>
      </w:r>
      <w:r w:rsidRPr="00ED7E20">
        <w:rPr>
          <w:rFonts w:ascii="Times New Roman" w:hAnsi="Times New Roman"/>
          <w:sz w:val="24"/>
          <w:szCs w:val="24"/>
        </w:rPr>
        <w:t>s designed to reduce emissions of mercury, sulfur dioxide, and nitrogen oxide</w:t>
      </w:r>
      <w:r w:rsidR="00143F84">
        <w:rPr>
          <w:rFonts w:ascii="Times New Roman" w:hAnsi="Times New Roman"/>
          <w:sz w:val="24"/>
          <w:szCs w:val="24"/>
        </w:rPr>
        <w:t>s</w:t>
      </w:r>
      <w:r w:rsidRPr="00ED7E20">
        <w:rPr>
          <w:rFonts w:ascii="Times New Roman" w:hAnsi="Times New Roman"/>
          <w:sz w:val="24"/>
          <w:szCs w:val="24"/>
        </w:rPr>
        <w:t xml:space="preserve"> state-wide by requiring installation of specified control technologies at each affected unit by specific dates</w:t>
      </w:r>
      <w:r w:rsidR="00707144">
        <w:rPr>
          <w:rFonts w:ascii="Times New Roman" w:hAnsi="Times New Roman"/>
          <w:sz w:val="24"/>
          <w:szCs w:val="24"/>
        </w:rPr>
        <w:t xml:space="preserve"> originally</w:t>
      </w:r>
      <w:r w:rsidRPr="00ED7E20">
        <w:rPr>
          <w:rFonts w:ascii="Times New Roman" w:hAnsi="Times New Roman"/>
          <w:sz w:val="24"/>
          <w:szCs w:val="24"/>
        </w:rPr>
        <w:t xml:space="preserve"> set between December 31, 2008, and </w:t>
      </w:r>
      <w:r w:rsidR="00707144">
        <w:rPr>
          <w:rFonts w:ascii="Times New Roman" w:hAnsi="Times New Roman"/>
          <w:sz w:val="24"/>
          <w:szCs w:val="24"/>
        </w:rPr>
        <w:t>June 1</w:t>
      </w:r>
      <w:r w:rsidRPr="00ED7E20">
        <w:rPr>
          <w:rFonts w:ascii="Times New Roman" w:hAnsi="Times New Roman"/>
          <w:sz w:val="24"/>
          <w:szCs w:val="24"/>
        </w:rPr>
        <w:t>, 2015.  This rule require</w:t>
      </w:r>
      <w:r w:rsidR="00707144">
        <w:rPr>
          <w:rFonts w:ascii="Times New Roman" w:hAnsi="Times New Roman"/>
          <w:sz w:val="24"/>
          <w:szCs w:val="24"/>
        </w:rPr>
        <w:t>d</w:t>
      </w:r>
      <w:r w:rsidRPr="00ED7E20">
        <w:rPr>
          <w:rFonts w:ascii="Times New Roman" w:hAnsi="Times New Roman"/>
          <w:sz w:val="24"/>
          <w:szCs w:val="24"/>
        </w:rPr>
        <w:t xml:space="preserve"> the installation of SCRs for NO</w:t>
      </w:r>
      <w:r w:rsidRPr="00ED7E20">
        <w:rPr>
          <w:rFonts w:ascii="Times New Roman" w:hAnsi="Times New Roman"/>
          <w:sz w:val="24"/>
          <w:szCs w:val="24"/>
          <w:vertAlign w:val="subscript"/>
        </w:rPr>
        <w:t>X</w:t>
      </w:r>
      <w:r w:rsidRPr="00ED7E20">
        <w:rPr>
          <w:rFonts w:ascii="Times New Roman" w:hAnsi="Times New Roman"/>
          <w:sz w:val="24"/>
          <w:szCs w:val="24"/>
        </w:rPr>
        <w:t xml:space="preserve"> reduction and scrubbers for SO</w:t>
      </w:r>
      <w:r w:rsidRPr="00ED7E20">
        <w:rPr>
          <w:rFonts w:ascii="Times New Roman" w:hAnsi="Times New Roman"/>
          <w:sz w:val="24"/>
          <w:szCs w:val="24"/>
          <w:vertAlign w:val="subscript"/>
        </w:rPr>
        <w:t>2</w:t>
      </w:r>
      <w:r w:rsidRPr="00ED7E20">
        <w:rPr>
          <w:rFonts w:ascii="Times New Roman" w:hAnsi="Times New Roman"/>
          <w:sz w:val="24"/>
          <w:szCs w:val="24"/>
        </w:rPr>
        <w:t xml:space="preserve"> reduction on the majori</w:t>
      </w:r>
      <w:r w:rsidR="00720831">
        <w:rPr>
          <w:rFonts w:ascii="Times New Roman" w:hAnsi="Times New Roman"/>
          <w:sz w:val="24"/>
          <w:szCs w:val="24"/>
        </w:rPr>
        <w:t xml:space="preserve">ty of </w:t>
      </w:r>
      <w:r w:rsidR="00C30EC4">
        <w:rPr>
          <w:rFonts w:ascii="Times New Roman" w:hAnsi="Times New Roman"/>
          <w:sz w:val="24"/>
          <w:szCs w:val="24"/>
        </w:rPr>
        <w:t>Georgia Power’</w:t>
      </w:r>
      <w:r w:rsidR="00720831">
        <w:rPr>
          <w:rFonts w:ascii="Times New Roman" w:hAnsi="Times New Roman"/>
          <w:sz w:val="24"/>
          <w:szCs w:val="24"/>
        </w:rPr>
        <w:t xml:space="preserve">s coal-fired units.  </w:t>
      </w:r>
      <w:r w:rsidRPr="00ED7E20">
        <w:rPr>
          <w:rFonts w:ascii="Times New Roman" w:hAnsi="Times New Roman"/>
          <w:sz w:val="24"/>
          <w:szCs w:val="24"/>
        </w:rPr>
        <w:t>The rule also require</w:t>
      </w:r>
      <w:r w:rsidR="00707144">
        <w:rPr>
          <w:rFonts w:ascii="Times New Roman" w:hAnsi="Times New Roman"/>
          <w:sz w:val="24"/>
          <w:szCs w:val="24"/>
        </w:rPr>
        <w:t>d</w:t>
      </w:r>
      <w:r w:rsidRPr="00ED7E20">
        <w:rPr>
          <w:rFonts w:ascii="Times New Roman" w:hAnsi="Times New Roman"/>
          <w:sz w:val="24"/>
          <w:szCs w:val="24"/>
        </w:rPr>
        <w:t xml:space="preserve"> installation and operation of baghouses with sorbent injection at Plant Scherer for mercury control.</w:t>
      </w:r>
      <w:r w:rsidR="0005400F">
        <w:rPr>
          <w:rFonts w:ascii="Times New Roman" w:hAnsi="Times New Roman"/>
          <w:sz w:val="24"/>
          <w:szCs w:val="24"/>
        </w:rPr>
        <w:t xml:space="preserve">  </w:t>
      </w:r>
      <w:r w:rsidRPr="00ED7E20">
        <w:rPr>
          <w:rFonts w:ascii="Times New Roman" w:hAnsi="Times New Roman"/>
          <w:sz w:val="24"/>
          <w:szCs w:val="24"/>
        </w:rPr>
        <w:t xml:space="preserve">If the emission control equipment is not installed and operating by the required date, the generating unit may not be allowed to continue operating.  </w:t>
      </w:r>
    </w:p>
    <w:p w:rsidR="008D24BD" w:rsidRPr="00ED7E20" w:rsidRDefault="008D24BD" w:rsidP="002A0CD0">
      <w:pPr>
        <w:autoSpaceDE w:val="0"/>
        <w:autoSpaceDN w:val="0"/>
        <w:adjustRightInd w:val="0"/>
        <w:spacing w:after="0" w:line="240" w:lineRule="auto"/>
        <w:rPr>
          <w:rFonts w:ascii="Times New Roman" w:hAnsi="Times New Roman"/>
          <w:sz w:val="24"/>
          <w:szCs w:val="24"/>
        </w:rPr>
      </w:pPr>
    </w:p>
    <w:p w:rsidR="00FC67F9" w:rsidRPr="00ED7E20" w:rsidRDefault="0005400F" w:rsidP="002A0CD0">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The </w:t>
      </w:r>
      <w:r w:rsidRPr="00ED7E20">
        <w:rPr>
          <w:rFonts w:ascii="Times New Roman" w:hAnsi="Times New Roman"/>
          <w:sz w:val="24"/>
          <w:szCs w:val="24"/>
        </w:rPr>
        <w:t xml:space="preserve">Georgia </w:t>
      </w:r>
      <w:r>
        <w:rPr>
          <w:rFonts w:ascii="Times New Roman" w:hAnsi="Times New Roman"/>
          <w:sz w:val="24"/>
          <w:szCs w:val="24"/>
        </w:rPr>
        <w:t>SO</w:t>
      </w:r>
      <w:r w:rsidRPr="001F422D">
        <w:rPr>
          <w:rFonts w:ascii="Times New Roman" w:hAnsi="Times New Roman"/>
          <w:sz w:val="24"/>
          <w:szCs w:val="24"/>
          <w:vertAlign w:val="subscript"/>
        </w:rPr>
        <w:t>2</w:t>
      </w:r>
      <w:r>
        <w:rPr>
          <w:rFonts w:ascii="Times New Roman" w:hAnsi="Times New Roman"/>
          <w:sz w:val="24"/>
          <w:szCs w:val="24"/>
        </w:rPr>
        <w:t xml:space="preserve"> Emissions </w:t>
      </w:r>
      <w:r w:rsidRPr="00ED7E20">
        <w:rPr>
          <w:rFonts w:ascii="Times New Roman" w:hAnsi="Times New Roman"/>
          <w:sz w:val="24"/>
          <w:szCs w:val="24"/>
        </w:rPr>
        <w:t>Rule</w:t>
      </w:r>
      <w:r w:rsidR="00707144">
        <w:rPr>
          <w:rFonts w:ascii="Times New Roman" w:hAnsi="Times New Roman"/>
          <w:sz w:val="24"/>
          <w:szCs w:val="24"/>
        </w:rPr>
        <w:t xml:space="preserve"> was designed to be</w:t>
      </w:r>
      <w:r w:rsidR="00FC67F9" w:rsidRPr="00ED7E20">
        <w:rPr>
          <w:rFonts w:ascii="Times New Roman" w:hAnsi="Times New Roman"/>
          <w:sz w:val="24"/>
          <w:szCs w:val="24"/>
        </w:rPr>
        <w:t xml:space="preserve"> a companion rule to the Georgia Multipollutant rule</w:t>
      </w:r>
      <w:r>
        <w:rPr>
          <w:rFonts w:ascii="Times New Roman" w:hAnsi="Times New Roman"/>
          <w:sz w:val="24"/>
          <w:szCs w:val="24"/>
        </w:rPr>
        <w:t>.</w:t>
      </w:r>
      <w:r w:rsidR="00FC67F9" w:rsidRPr="00ED7E20">
        <w:rPr>
          <w:rFonts w:ascii="Times New Roman" w:hAnsi="Times New Roman"/>
          <w:sz w:val="24"/>
          <w:szCs w:val="24"/>
        </w:rPr>
        <w:t xml:space="preserve">  The rule require</w:t>
      </w:r>
      <w:r w:rsidR="00707144">
        <w:rPr>
          <w:rFonts w:ascii="Times New Roman" w:hAnsi="Times New Roman"/>
          <w:sz w:val="24"/>
          <w:szCs w:val="24"/>
        </w:rPr>
        <w:t>d</w:t>
      </w:r>
      <w:r w:rsidR="00FC67F9" w:rsidRPr="00ED7E20">
        <w:rPr>
          <w:rFonts w:ascii="Times New Roman" w:hAnsi="Times New Roman"/>
          <w:sz w:val="24"/>
          <w:szCs w:val="24"/>
        </w:rPr>
        <w:t xml:space="preserve"> reduction of SO</w:t>
      </w:r>
      <w:r w:rsidR="00FC67F9" w:rsidRPr="00ED7E20">
        <w:rPr>
          <w:rFonts w:ascii="Times New Roman" w:hAnsi="Times New Roman"/>
          <w:sz w:val="24"/>
          <w:szCs w:val="24"/>
          <w:vertAlign w:val="subscript"/>
        </w:rPr>
        <w:t>2</w:t>
      </w:r>
      <w:r w:rsidR="00FC67F9" w:rsidRPr="00ED7E20">
        <w:rPr>
          <w:rFonts w:ascii="Times New Roman" w:hAnsi="Times New Roman"/>
          <w:sz w:val="24"/>
          <w:szCs w:val="24"/>
        </w:rPr>
        <w:t xml:space="preserve"> emissions by 95% from all units required to install scrubbers under the Georgia Multipollutant Rule, except Yates Unit 1 where a 90% reduction is required.  The rule </w:t>
      </w:r>
      <w:r w:rsidR="00AA2A9D">
        <w:rPr>
          <w:rFonts w:ascii="Times New Roman" w:hAnsi="Times New Roman"/>
          <w:sz w:val="24"/>
          <w:szCs w:val="24"/>
        </w:rPr>
        <w:t>required compliance beginning</w:t>
      </w:r>
      <w:r w:rsidR="00FC67F9" w:rsidRPr="00ED7E20">
        <w:rPr>
          <w:rFonts w:ascii="Times New Roman" w:hAnsi="Times New Roman"/>
          <w:sz w:val="24"/>
          <w:szCs w:val="24"/>
        </w:rPr>
        <w:t xml:space="preserve"> in January 2010 for units with scrubbers in operation, and requires reductions from the remaining units at dates that align with or are close to the Multipollutant Rule compliance dates.   </w:t>
      </w:r>
    </w:p>
    <w:p w:rsidR="00FC67F9" w:rsidRPr="00ED7E20" w:rsidRDefault="00FC67F9" w:rsidP="002A0CD0">
      <w:pPr>
        <w:autoSpaceDE w:val="0"/>
        <w:autoSpaceDN w:val="0"/>
        <w:adjustRightInd w:val="0"/>
        <w:spacing w:after="0" w:line="240" w:lineRule="auto"/>
        <w:rPr>
          <w:rFonts w:ascii="Times New Roman" w:hAnsi="Times New Roman"/>
          <w:sz w:val="16"/>
          <w:szCs w:val="16"/>
        </w:rPr>
      </w:pPr>
    </w:p>
    <w:p w:rsidR="003F0C90" w:rsidRDefault="00FC67F9" w:rsidP="002A0CD0">
      <w:pPr>
        <w:autoSpaceDE w:val="0"/>
        <w:autoSpaceDN w:val="0"/>
        <w:adjustRightInd w:val="0"/>
        <w:spacing w:after="0" w:line="240" w:lineRule="auto"/>
        <w:rPr>
          <w:rFonts w:ascii="Times New Roman" w:hAnsi="Times New Roman"/>
          <w:sz w:val="24"/>
          <w:szCs w:val="24"/>
        </w:rPr>
      </w:pPr>
      <w:r w:rsidRPr="00ED7E20">
        <w:rPr>
          <w:rFonts w:ascii="Times New Roman" w:hAnsi="Times New Roman"/>
          <w:sz w:val="24"/>
          <w:szCs w:val="24"/>
        </w:rPr>
        <w:t>In June 2011, revisions to both the Georgia Multi</w:t>
      </w:r>
      <w:r w:rsidR="00E45DE0">
        <w:rPr>
          <w:rFonts w:ascii="Times New Roman" w:hAnsi="Times New Roman"/>
          <w:sz w:val="24"/>
          <w:szCs w:val="24"/>
        </w:rPr>
        <w:t>p</w:t>
      </w:r>
      <w:r w:rsidRPr="00ED7E20">
        <w:rPr>
          <w:rFonts w:ascii="Times New Roman" w:hAnsi="Times New Roman"/>
          <w:sz w:val="24"/>
          <w:szCs w:val="24"/>
        </w:rPr>
        <w:t xml:space="preserve">ollutant Rule and Georgia </w:t>
      </w:r>
      <w:r w:rsidR="00707144">
        <w:rPr>
          <w:rFonts w:ascii="Times New Roman" w:hAnsi="Times New Roman"/>
          <w:sz w:val="24"/>
          <w:szCs w:val="24"/>
        </w:rPr>
        <w:t>SO</w:t>
      </w:r>
      <w:r w:rsidR="00707144" w:rsidRPr="001F422D">
        <w:rPr>
          <w:rFonts w:ascii="Times New Roman" w:hAnsi="Times New Roman"/>
          <w:sz w:val="24"/>
          <w:szCs w:val="24"/>
          <w:vertAlign w:val="subscript"/>
        </w:rPr>
        <w:t>2</w:t>
      </w:r>
      <w:r w:rsidR="00707144">
        <w:rPr>
          <w:rFonts w:ascii="Times New Roman" w:hAnsi="Times New Roman"/>
          <w:sz w:val="24"/>
          <w:szCs w:val="24"/>
        </w:rPr>
        <w:t xml:space="preserve"> Emissions </w:t>
      </w:r>
      <w:r w:rsidRPr="00ED7E20">
        <w:rPr>
          <w:rFonts w:ascii="Times New Roman" w:hAnsi="Times New Roman"/>
          <w:sz w:val="24"/>
          <w:szCs w:val="24"/>
        </w:rPr>
        <w:t xml:space="preserve">Rule were approved by the Georgia Department of Natural Resources.  </w:t>
      </w:r>
      <w:r w:rsidR="005C27D3">
        <w:rPr>
          <w:rFonts w:ascii="Times New Roman" w:hAnsi="Times New Roman"/>
          <w:sz w:val="24"/>
          <w:szCs w:val="24"/>
        </w:rPr>
        <w:t>These revisions moved up the scrubber and SCR compliance dates for Branch Units 1 and 2 and Scherer Unit 3</w:t>
      </w:r>
      <w:r w:rsidR="00F02DC2">
        <w:rPr>
          <w:rFonts w:ascii="Times New Roman" w:hAnsi="Times New Roman"/>
          <w:sz w:val="24"/>
          <w:szCs w:val="24"/>
        </w:rPr>
        <w:t xml:space="preserve">. </w:t>
      </w:r>
      <w:r w:rsidR="00552DDF">
        <w:rPr>
          <w:rFonts w:ascii="Times New Roman" w:hAnsi="Times New Roman"/>
          <w:sz w:val="24"/>
          <w:szCs w:val="24"/>
        </w:rPr>
        <w:t xml:space="preserve"> </w:t>
      </w:r>
      <w:r w:rsidR="00263EB6" w:rsidRPr="00263EB6">
        <w:rPr>
          <w:rFonts w:ascii="Times New Roman" w:hAnsi="Times New Roman"/>
          <w:sz w:val="24"/>
          <w:szCs w:val="24"/>
        </w:rPr>
        <w:t>The revised rule</w:t>
      </w:r>
      <w:r w:rsidR="00F02DC2">
        <w:rPr>
          <w:rFonts w:ascii="Times New Roman" w:hAnsi="Times New Roman"/>
          <w:sz w:val="24"/>
          <w:szCs w:val="24"/>
        </w:rPr>
        <w:t>s also</w:t>
      </w:r>
      <w:r w:rsidR="00263EB6" w:rsidRPr="00263EB6">
        <w:rPr>
          <w:rFonts w:ascii="Times New Roman" w:hAnsi="Times New Roman"/>
          <w:sz w:val="24"/>
          <w:szCs w:val="24"/>
        </w:rPr>
        <w:t xml:space="preserve"> allowed for additional time to install the prescribed controls on Plant Branch Units 3 &amp; 4</w:t>
      </w:r>
      <w:r w:rsidR="00F02DC2">
        <w:rPr>
          <w:rFonts w:ascii="Times New Roman" w:hAnsi="Times New Roman"/>
          <w:sz w:val="24"/>
          <w:szCs w:val="24"/>
        </w:rPr>
        <w:t xml:space="preserve"> in an attempt to streamline the compliance deadlines in the state rules with</w:t>
      </w:r>
      <w:r w:rsidR="00263EB6" w:rsidRPr="00263EB6">
        <w:rPr>
          <w:rFonts w:ascii="Times New Roman" w:hAnsi="Times New Roman"/>
          <w:sz w:val="24"/>
          <w:szCs w:val="24"/>
        </w:rPr>
        <w:t xml:space="preserve"> the new MATS rule</w:t>
      </w:r>
      <w:r w:rsidR="001570BB">
        <w:rPr>
          <w:rFonts w:ascii="Times New Roman" w:hAnsi="Times New Roman"/>
          <w:sz w:val="24"/>
          <w:szCs w:val="24"/>
        </w:rPr>
        <w:t>, which was not yet final at the time</w:t>
      </w:r>
      <w:r w:rsidRPr="00ED7E20">
        <w:rPr>
          <w:rFonts w:ascii="Times New Roman" w:hAnsi="Times New Roman"/>
          <w:sz w:val="24"/>
          <w:szCs w:val="24"/>
        </w:rPr>
        <w:t>.</w:t>
      </w:r>
      <w:r w:rsidR="005C27D3" w:rsidRPr="005C27D3">
        <w:rPr>
          <w:rFonts w:ascii="Times New Roman" w:hAnsi="Times New Roman"/>
          <w:sz w:val="24"/>
          <w:szCs w:val="24"/>
        </w:rPr>
        <w:t xml:space="preserve"> </w:t>
      </w:r>
      <w:r w:rsidR="005C27D3">
        <w:rPr>
          <w:rFonts w:ascii="Times New Roman" w:hAnsi="Times New Roman"/>
          <w:sz w:val="24"/>
          <w:szCs w:val="24"/>
        </w:rPr>
        <w:t>This change would allow Plant Branch Units 3 and 4 to consider the MATS requirements in the design and construction process, as well as in the decision regarding whether to proceed with controls, at these units.</w:t>
      </w:r>
    </w:p>
    <w:p w:rsidR="00707144" w:rsidRDefault="00707144" w:rsidP="002A0CD0">
      <w:pPr>
        <w:autoSpaceDE w:val="0"/>
        <w:autoSpaceDN w:val="0"/>
        <w:adjustRightInd w:val="0"/>
        <w:spacing w:after="0" w:line="240" w:lineRule="auto"/>
        <w:rPr>
          <w:rFonts w:ascii="Times New Roman" w:hAnsi="Times New Roman"/>
          <w:sz w:val="24"/>
          <w:szCs w:val="24"/>
        </w:rPr>
      </w:pPr>
    </w:p>
    <w:p w:rsidR="00C411E2" w:rsidRDefault="009203A8" w:rsidP="002A0CD0">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On January 22, 2013</w:t>
      </w:r>
      <w:r w:rsidR="00707144">
        <w:rPr>
          <w:rFonts w:ascii="Times New Roman" w:hAnsi="Times New Roman"/>
          <w:sz w:val="24"/>
          <w:szCs w:val="24"/>
        </w:rPr>
        <w:t>, the Georgia</w:t>
      </w:r>
      <w:r>
        <w:rPr>
          <w:rFonts w:ascii="Times New Roman" w:hAnsi="Times New Roman"/>
          <w:sz w:val="24"/>
          <w:szCs w:val="24"/>
        </w:rPr>
        <w:t xml:space="preserve"> EPD</w:t>
      </w:r>
      <w:r w:rsidR="00707144">
        <w:rPr>
          <w:rFonts w:ascii="Times New Roman" w:hAnsi="Times New Roman"/>
          <w:sz w:val="24"/>
          <w:szCs w:val="24"/>
        </w:rPr>
        <w:t xml:space="preserve"> </w:t>
      </w:r>
      <w:r w:rsidR="00552DDF">
        <w:rPr>
          <w:rFonts w:ascii="Times New Roman" w:hAnsi="Times New Roman"/>
          <w:sz w:val="24"/>
          <w:szCs w:val="24"/>
        </w:rPr>
        <w:t>announced</w:t>
      </w:r>
      <w:r w:rsidR="00707144">
        <w:rPr>
          <w:rFonts w:ascii="Times New Roman" w:hAnsi="Times New Roman"/>
          <w:sz w:val="24"/>
          <w:szCs w:val="24"/>
        </w:rPr>
        <w:t xml:space="preserve"> further </w:t>
      </w:r>
      <w:r w:rsidR="00552DDF">
        <w:rPr>
          <w:rFonts w:ascii="Times New Roman" w:hAnsi="Times New Roman"/>
          <w:sz w:val="24"/>
          <w:szCs w:val="24"/>
        </w:rPr>
        <w:t xml:space="preserve">proposed </w:t>
      </w:r>
      <w:r w:rsidR="00707144">
        <w:rPr>
          <w:rFonts w:ascii="Times New Roman" w:hAnsi="Times New Roman"/>
          <w:sz w:val="24"/>
          <w:szCs w:val="24"/>
        </w:rPr>
        <w:t>revisions to both the Georgia Multipollutant Rule and the Georgia SO</w:t>
      </w:r>
      <w:r w:rsidR="00707144" w:rsidRPr="001F422D">
        <w:rPr>
          <w:rFonts w:ascii="Times New Roman" w:hAnsi="Times New Roman"/>
          <w:sz w:val="24"/>
          <w:szCs w:val="24"/>
          <w:vertAlign w:val="subscript"/>
        </w:rPr>
        <w:t>2</w:t>
      </w:r>
      <w:r w:rsidR="00707144">
        <w:rPr>
          <w:rFonts w:ascii="Times New Roman" w:hAnsi="Times New Roman"/>
          <w:sz w:val="24"/>
          <w:szCs w:val="24"/>
        </w:rPr>
        <w:t xml:space="preserve"> Emissions Rule.  These proposed revisions recognize the issuance of the final MATS rule and revises </w:t>
      </w:r>
      <w:r w:rsidR="00B21F77">
        <w:rPr>
          <w:rFonts w:ascii="Times New Roman" w:hAnsi="Times New Roman"/>
          <w:sz w:val="24"/>
          <w:szCs w:val="24"/>
        </w:rPr>
        <w:t xml:space="preserve">some of </w:t>
      </w:r>
      <w:r w:rsidR="00707144">
        <w:rPr>
          <w:rFonts w:ascii="Times New Roman" w:hAnsi="Times New Roman"/>
          <w:sz w:val="24"/>
          <w:szCs w:val="24"/>
        </w:rPr>
        <w:t xml:space="preserve">the compliance dates in the state rules to align with </w:t>
      </w:r>
      <w:r w:rsidR="003A0C41">
        <w:rPr>
          <w:rFonts w:ascii="Times New Roman" w:hAnsi="Times New Roman"/>
          <w:sz w:val="24"/>
          <w:szCs w:val="24"/>
        </w:rPr>
        <w:t xml:space="preserve">the </w:t>
      </w:r>
      <w:r w:rsidR="00707144">
        <w:rPr>
          <w:rFonts w:ascii="Times New Roman" w:hAnsi="Times New Roman"/>
          <w:sz w:val="24"/>
          <w:szCs w:val="24"/>
        </w:rPr>
        <w:t>MATS</w:t>
      </w:r>
      <w:r w:rsidR="003A0C41">
        <w:rPr>
          <w:rFonts w:ascii="Times New Roman" w:hAnsi="Times New Roman"/>
          <w:sz w:val="24"/>
          <w:szCs w:val="24"/>
        </w:rPr>
        <w:t xml:space="preserve"> rule compliance dates</w:t>
      </w:r>
      <w:r w:rsidR="00707144">
        <w:rPr>
          <w:rFonts w:ascii="Times New Roman" w:hAnsi="Times New Roman"/>
          <w:sz w:val="24"/>
          <w:szCs w:val="24"/>
        </w:rPr>
        <w:t xml:space="preserve">.  </w:t>
      </w:r>
      <w:r w:rsidR="00B21F77">
        <w:rPr>
          <w:rFonts w:ascii="Times New Roman" w:hAnsi="Times New Roman"/>
          <w:sz w:val="24"/>
          <w:szCs w:val="24"/>
        </w:rPr>
        <w:t xml:space="preserve">For Plant Branch, the compliance date for Unit 1 is </w:t>
      </w:r>
      <w:r w:rsidR="002308B3">
        <w:rPr>
          <w:rFonts w:ascii="Times New Roman" w:hAnsi="Times New Roman"/>
          <w:sz w:val="24"/>
          <w:szCs w:val="24"/>
        </w:rPr>
        <w:t xml:space="preserve">proposed to be </w:t>
      </w:r>
      <w:r w:rsidR="003A0C41">
        <w:rPr>
          <w:rFonts w:ascii="Times New Roman" w:hAnsi="Times New Roman"/>
          <w:sz w:val="24"/>
          <w:szCs w:val="24"/>
        </w:rPr>
        <w:t>moved</w:t>
      </w:r>
      <w:r w:rsidR="00B21F77">
        <w:rPr>
          <w:rFonts w:ascii="Times New Roman" w:hAnsi="Times New Roman"/>
          <w:sz w:val="24"/>
          <w:szCs w:val="24"/>
        </w:rPr>
        <w:t xml:space="preserve"> from October 1, 2013 to April 16, 2015, while the compliance dates for Units 3 and 4 are accelerated from October 1, 2015 and December 31, 2015, respectively, to April 16, 2015.   </w:t>
      </w:r>
      <w:r w:rsidR="003A0C41">
        <w:rPr>
          <w:rFonts w:ascii="Times New Roman" w:hAnsi="Times New Roman"/>
          <w:sz w:val="24"/>
          <w:szCs w:val="24"/>
        </w:rPr>
        <w:t xml:space="preserve">Revisions </w:t>
      </w:r>
      <w:r w:rsidR="00F02DC2">
        <w:rPr>
          <w:rFonts w:ascii="Times New Roman" w:hAnsi="Times New Roman"/>
          <w:sz w:val="24"/>
          <w:szCs w:val="24"/>
        </w:rPr>
        <w:t>have also been proposed</w:t>
      </w:r>
      <w:r w:rsidR="003A0C41">
        <w:rPr>
          <w:rFonts w:ascii="Times New Roman" w:hAnsi="Times New Roman"/>
          <w:sz w:val="24"/>
          <w:szCs w:val="24"/>
        </w:rPr>
        <w:t xml:space="preserve"> to require </w:t>
      </w:r>
      <w:r w:rsidR="00707144">
        <w:rPr>
          <w:rFonts w:ascii="Times New Roman" w:hAnsi="Times New Roman"/>
          <w:sz w:val="24"/>
          <w:szCs w:val="24"/>
        </w:rPr>
        <w:t>Units 1 through 5 at Plant Yates to convert to natural gas, while Units 6 and 7 may either install SCRs and scrubbers or convert to natural gas</w:t>
      </w:r>
      <w:r w:rsidR="00B21F77">
        <w:rPr>
          <w:rFonts w:ascii="Times New Roman" w:hAnsi="Times New Roman"/>
          <w:sz w:val="24"/>
          <w:szCs w:val="24"/>
        </w:rPr>
        <w:t>, all by April 16, 2015</w:t>
      </w:r>
      <w:r w:rsidR="00707144">
        <w:rPr>
          <w:rFonts w:ascii="Times New Roman" w:hAnsi="Times New Roman"/>
          <w:sz w:val="24"/>
          <w:szCs w:val="24"/>
        </w:rPr>
        <w:t>.</w:t>
      </w:r>
      <w:r w:rsidR="00C411E2">
        <w:rPr>
          <w:rFonts w:ascii="Times New Roman" w:hAnsi="Times New Roman"/>
          <w:sz w:val="24"/>
          <w:szCs w:val="24"/>
        </w:rPr>
        <w:t xml:space="preserve">  The Multipollutant Rule requirements, </w:t>
      </w:r>
      <w:r w:rsidR="00F02DC2">
        <w:rPr>
          <w:rFonts w:ascii="Times New Roman" w:hAnsi="Times New Roman"/>
          <w:sz w:val="24"/>
          <w:szCs w:val="24"/>
        </w:rPr>
        <w:t xml:space="preserve">reflecting </w:t>
      </w:r>
      <w:r w:rsidR="00C411E2">
        <w:rPr>
          <w:rFonts w:ascii="Times New Roman" w:hAnsi="Times New Roman"/>
          <w:sz w:val="24"/>
          <w:szCs w:val="24"/>
        </w:rPr>
        <w:t xml:space="preserve">the proposed revisions, are shown in </w:t>
      </w:r>
      <w:r w:rsidR="0081596B">
        <w:rPr>
          <w:rFonts w:ascii="Times New Roman" w:hAnsi="Times New Roman"/>
          <w:sz w:val="24"/>
          <w:szCs w:val="24"/>
        </w:rPr>
        <w:t>Table 2.10</w:t>
      </w:r>
      <w:r w:rsidR="00C411E2">
        <w:rPr>
          <w:rFonts w:ascii="Times New Roman" w:hAnsi="Times New Roman"/>
          <w:sz w:val="24"/>
          <w:szCs w:val="24"/>
        </w:rPr>
        <w:t xml:space="preserve">-1.  </w:t>
      </w:r>
    </w:p>
    <w:p w:rsidR="003F0C90" w:rsidRDefault="00707144" w:rsidP="002A0CD0">
      <w:pPr>
        <w:autoSpaceDE w:val="0"/>
        <w:autoSpaceDN w:val="0"/>
        <w:adjustRightInd w:val="0"/>
        <w:spacing w:after="0" w:line="240" w:lineRule="auto"/>
        <w:rPr>
          <w:rFonts w:ascii="Times New Roman" w:hAnsi="Times New Roman"/>
          <w:sz w:val="24"/>
          <w:szCs w:val="24"/>
        </w:rPr>
      </w:pPr>
      <w:r w:rsidRPr="00ED7E20">
        <w:rPr>
          <w:rFonts w:ascii="Times New Roman" w:hAnsi="Times New Roman"/>
          <w:sz w:val="24"/>
          <w:szCs w:val="24"/>
        </w:rPr>
        <w:t xml:space="preserve">  </w:t>
      </w:r>
    </w:p>
    <w:p w:rsidR="003F0C90" w:rsidRPr="006550D3" w:rsidRDefault="003F0C90" w:rsidP="003F0C90">
      <w:pPr>
        <w:pStyle w:val="Caption"/>
        <w:jc w:val="center"/>
        <w:rPr>
          <w:sz w:val="24"/>
          <w:szCs w:val="24"/>
        </w:rPr>
      </w:pPr>
      <w:r>
        <w:t>Table 2.</w:t>
      </w:r>
      <w:r w:rsidR="0081596B">
        <w:t>10</w:t>
      </w:r>
      <w:r>
        <w:t>-1 Georgia Multipollutant Rule Requirements</w:t>
      </w:r>
    </w:p>
    <w:tbl>
      <w:tblPr>
        <w:tblW w:w="8385" w:type="dxa"/>
        <w:jc w:val="center"/>
        <w:tblInd w:w="93" w:type="dxa"/>
        <w:tblLook w:val="04A0"/>
      </w:tblPr>
      <w:tblGrid>
        <w:gridCol w:w="1726"/>
        <w:gridCol w:w="3457"/>
        <w:gridCol w:w="3202"/>
      </w:tblGrid>
      <w:tr w:rsidR="00FC67F9" w:rsidRPr="00ED7E20" w:rsidTr="003A0C41">
        <w:trPr>
          <w:trHeight w:val="274"/>
          <w:jc w:val="center"/>
        </w:trPr>
        <w:tc>
          <w:tcPr>
            <w:tcW w:w="17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jc w:val="center"/>
              <w:rPr>
                <w:b/>
                <w:bCs/>
                <w:color w:val="000000"/>
              </w:rPr>
            </w:pPr>
            <w:r w:rsidRPr="00ED7E20">
              <w:rPr>
                <w:b/>
                <w:bCs/>
                <w:color w:val="000000"/>
              </w:rPr>
              <w:t>Unit</w:t>
            </w:r>
          </w:p>
        </w:tc>
        <w:tc>
          <w:tcPr>
            <w:tcW w:w="3457" w:type="dxa"/>
            <w:tcBorders>
              <w:top w:val="single" w:sz="4" w:space="0" w:color="auto"/>
              <w:left w:val="nil"/>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jc w:val="center"/>
              <w:rPr>
                <w:b/>
                <w:bCs/>
                <w:color w:val="000000"/>
              </w:rPr>
            </w:pPr>
            <w:r w:rsidRPr="00ED7E20">
              <w:rPr>
                <w:b/>
                <w:bCs/>
                <w:color w:val="000000"/>
              </w:rPr>
              <w:t>Control Equipment</w:t>
            </w:r>
          </w:p>
        </w:tc>
        <w:tc>
          <w:tcPr>
            <w:tcW w:w="3202" w:type="dxa"/>
            <w:tcBorders>
              <w:top w:val="single" w:sz="4" w:space="0" w:color="auto"/>
              <w:left w:val="nil"/>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jc w:val="center"/>
              <w:rPr>
                <w:b/>
                <w:bCs/>
                <w:color w:val="000000"/>
              </w:rPr>
            </w:pPr>
            <w:r w:rsidRPr="00ED7E20">
              <w:rPr>
                <w:b/>
                <w:bCs/>
                <w:color w:val="000000"/>
              </w:rPr>
              <w:t>Installation &amp; Operation Deadline</w:t>
            </w:r>
          </w:p>
        </w:tc>
      </w:tr>
      <w:tr w:rsidR="00FC67F9" w:rsidRPr="00ED7E20" w:rsidTr="003A0C41">
        <w:trPr>
          <w:trHeight w:val="274"/>
          <w:jc w:val="center"/>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rPr>
                <w:color w:val="000000"/>
                <w:sz w:val="20"/>
                <w:szCs w:val="20"/>
              </w:rPr>
            </w:pPr>
            <w:r w:rsidRPr="00ED7E20">
              <w:rPr>
                <w:color w:val="000000"/>
                <w:sz w:val="20"/>
                <w:szCs w:val="20"/>
              </w:rPr>
              <w:t>Bowen 3</w:t>
            </w:r>
          </w:p>
        </w:tc>
        <w:tc>
          <w:tcPr>
            <w:tcW w:w="3457" w:type="dxa"/>
            <w:tcBorders>
              <w:top w:val="nil"/>
              <w:left w:val="nil"/>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rPr>
                <w:color w:val="000000"/>
                <w:sz w:val="20"/>
                <w:szCs w:val="20"/>
              </w:rPr>
            </w:pPr>
            <w:r w:rsidRPr="00ED7E20">
              <w:rPr>
                <w:color w:val="000000"/>
                <w:sz w:val="20"/>
                <w:szCs w:val="20"/>
              </w:rPr>
              <w:t>SCR and FGD</w:t>
            </w:r>
          </w:p>
        </w:tc>
        <w:tc>
          <w:tcPr>
            <w:tcW w:w="3202" w:type="dxa"/>
            <w:tcBorders>
              <w:top w:val="nil"/>
              <w:left w:val="nil"/>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jc w:val="right"/>
              <w:rPr>
                <w:color w:val="000000"/>
                <w:sz w:val="20"/>
                <w:szCs w:val="20"/>
              </w:rPr>
            </w:pPr>
            <w:r w:rsidRPr="00ED7E20">
              <w:rPr>
                <w:color w:val="000000"/>
                <w:sz w:val="20"/>
                <w:szCs w:val="20"/>
              </w:rPr>
              <w:t>December 31, 2008</w:t>
            </w:r>
          </w:p>
        </w:tc>
      </w:tr>
      <w:tr w:rsidR="00FC67F9" w:rsidRPr="00ED7E20" w:rsidTr="003A0C41">
        <w:trPr>
          <w:trHeight w:val="274"/>
          <w:jc w:val="center"/>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rPr>
                <w:color w:val="000000"/>
                <w:sz w:val="20"/>
                <w:szCs w:val="20"/>
              </w:rPr>
            </w:pPr>
            <w:r w:rsidRPr="00ED7E20">
              <w:rPr>
                <w:color w:val="000000"/>
                <w:sz w:val="20"/>
                <w:szCs w:val="20"/>
              </w:rPr>
              <w:t>Bowen 4</w:t>
            </w:r>
          </w:p>
        </w:tc>
        <w:tc>
          <w:tcPr>
            <w:tcW w:w="3457" w:type="dxa"/>
            <w:tcBorders>
              <w:top w:val="nil"/>
              <w:left w:val="nil"/>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rPr>
                <w:color w:val="000000"/>
                <w:sz w:val="20"/>
                <w:szCs w:val="20"/>
              </w:rPr>
            </w:pPr>
            <w:r w:rsidRPr="00ED7E20">
              <w:rPr>
                <w:color w:val="000000"/>
                <w:sz w:val="20"/>
                <w:szCs w:val="20"/>
              </w:rPr>
              <w:t>SCR and FGD</w:t>
            </w:r>
          </w:p>
        </w:tc>
        <w:tc>
          <w:tcPr>
            <w:tcW w:w="3202" w:type="dxa"/>
            <w:tcBorders>
              <w:top w:val="nil"/>
              <w:left w:val="nil"/>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jc w:val="right"/>
              <w:rPr>
                <w:color w:val="000000"/>
                <w:sz w:val="20"/>
                <w:szCs w:val="20"/>
              </w:rPr>
            </w:pPr>
            <w:r w:rsidRPr="00ED7E20">
              <w:rPr>
                <w:color w:val="000000"/>
                <w:sz w:val="20"/>
                <w:szCs w:val="20"/>
              </w:rPr>
              <w:t>December 31, 2008</w:t>
            </w:r>
          </w:p>
        </w:tc>
      </w:tr>
      <w:tr w:rsidR="00FC67F9" w:rsidRPr="00ED7E20" w:rsidTr="003A0C41">
        <w:trPr>
          <w:trHeight w:val="274"/>
          <w:jc w:val="center"/>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rPr>
                <w:color w:val="000000"/>
                <w:sz w:val="20"/>
                <w:szCs w:val="20"/>
              </w:rPr>
            </w:pPr>
            <w:r w:rsidRPr="00ED7E20">
              <w:rPr>
                <w:color w:val="000000"/>
                <w:sz w:val="20"/>
                <w:szCs w:val="20"/>
              </w:rPr>
              <w:t>Hammond 1</w:t>
            </w:r>
          </w:p>
        </w:tc>
        <w:tc>
          <w:tcPr>
            <w:tcW w:w="3457" w:type="dxa"/>
            <w:tcBorders>
              <w:top w:val="nil"/>
              <w:left w:val="nil"/>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rPr>
                <w:color w:val="000000"/>
                <w:sz w:val="20"/>
                <w:szCs w:val="20"/>
              </w:rPr>
            </w:pPr>
            <w:r w:rsidRPr="00ED7E20">
              <w:rPr>
                <w:color w:val="000000"/>
                <w:sz w:val="20"/>
                <w:szCs w:val="20"/>
              </w:rPr>
              <w:t>FGD</w:t>
            </w:r>
          </w:p>
        </w:tc>
        <w:tc>
          <w:tcPr>
            <w:tcW w:w="3202" w:type="dxa"/>
            <w:tcBorders>
              <w:top w:val="nil"/>
              <w:left w:val="nil"/>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jc w:val="right"/>
              <w:rPr>
                <w:color w:val="000000"/>
                <w:sz w:val="20"/>
                <w:szCs w:val="20"/>
              </w:rPr>
            </w:pPr>
            <w:r w:rsidRPr="00ED7E20">
              <w:rPr>
                <w:color w:val="000000"/>
                <w:sz w:val="20"/>
                <w:szCs w:val="20"/>
              </w:rPr>
              <w:t>December 31, 2008</w:t>
            </w:r>
          </w:p>
        </w:tc>
      </w:tr>
      <w:tr w:rsidR="00FC67F9" w:rsidRPr="00ED7E20" w:rsidTr="003A0C41">
        <w:trPr>
          <w:trHeight w:val="274"/>
          <w:jc w:val="center"/>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rPr>
                <w:color w:val="000000"/>
                <w:sz w:val="20"/>
                <w:szCs w:val="20"/>
              </w:rPr>
            </w:pPr>
            <w:r w:rsidRPr="00ED7E20">
              <w:rPr>
                <w:color w:val="000000"/>
                <w:sz w:val="20"/>
                <w:szCs w:val="20"/>
              </w:rPr>
              <w:t>Hammond 2</w:t>
            </w:r>
          </w:p>
        </w:tc>
        <w:tc>
          <w:tcPr>
            <w:tcW w:w="3457" w:type="dxa"/>
            <w:tcBorders>
              <w:top w:val="nil"/>
              <w:left w:val="nil"/>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rPr>
                <w:color w:val="000000"/>
                <w:sz w:val="20"/>
                <w:szCs w:val="20"/>
              </w:rPr>
            </w:pPr>
            <w:r w:rsidRPr="00ED7E20">
              <w:rPr>
                <w:color w:val="000000"/>
                <w:sz w:val="20"/>
                <w:szCs w:val="20"/>
              </w:rPr>
              <w:t>FGD</w:t>
            </w:r>
          </w:p>
        </w:tc>
        <w:tc>
          <w:tcPr>
            <w:tcW w:w="3202" w:type="dxa"/>
            <w:tcBorders>
              <w:top w:val="nil"/>
              <w:left w:val="nil"/>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jc w:val="right"/>
              <w:rPr>
                <w:color w:val="000000"/>
                <w:sz w:val="20"/>
                <w:szCs w:val="20"/>
              </w:rPr>
            </w:pPr>
            <w:r w:rsidRPr="00ED7E20">
              <w:rPr>
                <w:color w:val="000000"/>
                <w:sz w:val="20"/>
                <w:szCs w:val="20"/>
              </w:rPr>
              <w:t>December 31, 2008</w:t>
            </w:r>
          </w:p>
        </w:tc>
      </w:tr>
      <w:tr w:rsidR="00FC67F9" w:rsidRPr="00ED7E20" w:rsidTr="003A0C41">
        <w:trPr>
          <w:trHeight w:val="274"/>
          <w:jc w:val="center"/>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rPr>
                <w:color w:val="000000"/>
                <w:sz w:val="20"/>
                <w:szCs w:val="20"/>
              </w:rPr>
            </w:pPr>
            <w:r w:rsidRPr="00ED7E20">
              <w:rPr>
                <w:color w:val="000000"/>
                <w:sz w:val="20"/>
                <w:szCs w:val="20"/>
              </w:rPr>
              <w:t>Hammond 3</w:t>
            </w:r>
          </w:p>
        </w:tc>
        <w:tc>
          <w:tcPr>
            <w:tcW w:w="3457" w:type="dxa"/>
            <w:tcBorders>
              <w:top w:val="nil"/>
              <w:left w:val="nil"/>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rPr>
                <w:color w:val="000000"/>
                <w:sz w:val="20"/>
                <w:szCs w:val="20"/>
              </w:rPr>
            </w:pPr>
            <w:r w:rsidRPr="00ED7E20">
              <w:rPr>
                <w:color w:val="000000"/>
                <w:sz w:val="20"/>
                <w:szCs w:val="20"/>
              </w:rPr>
              <w:t>FGD</w:t>
            </w:r>
          </w:p>
        </w:tc>
        <w:tc>
          <w:tcPr>
            <w:tcW w:w="3202" w:type="dxa"/>
            <w:tcBorders>
              <w:top w:val="nil"/>
              <w:left w:val="nil"/>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jc w:val="right"/>
              <w:rPr>
                <w:color w:val="000000"/>
                <w:sz w:val="20"/>
                <w:szCs w:val="20"/>
              </w:rPr>
            </w:pPr>
            <w:r w:rsidRPr="00ED7E20">
              <w:rPr>
                <w:color w:val="000000"/>
                <w:sz w:val="20"/>
                <w:szCs w:val="20"/>
              </w:rPr>
              <w:t>December 31, 2008</w:t>
            </w:r>
          </w:p>
        </w:tc>
      </w:tr>
      <w:tr w:rsidR="00FC67F9" w:rsidRPr="00ED7E20" w:rsidTr="003A0C41">
        <w:trPr>
          <w:trHeight w:val="274"/>
          <w:jc w:val="center"/>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rPr>
                <w:color w:val="000000"/>
                <w:sz w:val="20"/>
                <w:szCs w:val="20"/>
              </w:rPr>
            </w:pPr>
            <w:r w:rsidRPr="00ED7E20">
              <w:rPr>
                <w:color w:val="000000"/>
                <w:sz w:val="20"/>
                <w:szCs w:val="20"/>
              </w:rPr>
              <w:t>Hammond 4</w:t>
            </w:r>
          </w:p>
        </w:tc>
        <w:tc>
          <w:tcPr>
            <w:tcW w:w="3457" w:type="dxa"/>
            <w:tcBorders>
              <w:top w:val="nil"/>
              <w:left w:val="nil"/>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rPr>
                <w:color w:val="000000"/>
                <w:sz w:val="20"/>
                <w:szCs w:val="20"/>
              </w:rPr>
            </w:pPr>
            <w:r w:rsidRPr="00ED7E20">
              <w:rPr>
                <w:color w:val="000000"/>
                <w:sz w:val="20"/>
                <w:szCs w:val="20"/>
              </w:rPr>
              <w:t>SCR and FGD</w:t>
            </w:r>
          </w:p>
        </w:tc>
        <w:tc>
          <w:tcPr>
            <w:tcW w:w="3202" w:type="dxa"/>
            <w:tcBorders>
              <w:top w:val="nil"/>
              <w:left w:val="nil"/>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jc w:val="right"/>
              <w:rPr>
                <w:color w:val="000000"/>
                <w:sz w:val="20"/>
                <w:szCs w:val="20"/>
              </w:rPr>
            </w:pPr>
            <w:r w:rsidRPr="00ED7E20">
              <w:rPr>
                <w:color w:val="000000"/>
                <w:sz w:val="20"/>
                <w:szCs w:val="20"/>
              </w:rPr>
              <w:t>December 31, 2008</w:t>
            </w:r>
          </w:p>
        </w:tc>
      </w:tr>
      <w:tr w:rsidR="00FC67F9" w:rsidRPr="00ED7E20" w:rsidTr="003A0C41">
        <w:trPr>
          <w:trHeight w:val="274"/>
          <w:jc w:val="center"/>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rPr>
                <w:color w:val="000000"/>
                <w:sz w:val="20"/>
                <w:szCs w:val="20"/>
              </w:rPr>
            </w:pPr>
            <w:r w:rsidRPr="00ED7E20">
              <w:rPr>
                <w:color w:val="000000"/>
                <w:sz w:val="20"/>
                <w:szCs w:val="20"/>
              </w:rPr>
              <w:t>Wansley 1</w:t>
            </w:r>
          </w:p>
        </w:tc>
        <w:tc>
          <w:tcPr>
            <w:tcW w:w="3457" w:type="dxa"/>
            <w:tcBorders>
              <w:top w:val="nil"/>
              <w:left w:val="nil"/>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rPr>
                <w:color w:val="000000"/>
                <w:sz w:val="20"/>
                <w:szCs w:val="20"/>
              </w:rPr>
            </w:pPr>
            <w:r w:rsidRPr="00ED7E20">
              <w:rPr>
                <w:color w:val="000000"/>
                <w:sz w:val="20"/>
                <w:szCs w:val="20"/>
              </w:rPr>
              <w:t>SCR and FGD</w:t>
            </w:r>
          </w:p>
        </w:tc>
        <w:tc>
          <w:tcPr>
            <w:tcW w:w="3202" w:type="dxa"/>
            <w:tcBorders>
              <w:top w:val="nil"/>
              <w:left w:val="nil"/>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jc w:val="right"/>
              <w:rPr>
                <w:color w:val="000000"/>
                <w:sz w:val="20"/>
                <w:szCs w:val="20"/>
              </w:rPr>
            </w:pPr>
            <w:r w:rsidRPr="00ED7E20">
              <w:rPr>
                <w:color w:val="000000"/>
                <w:sz w:val="20"/>
                <w:szCs w:val="20"/>
              </w:rPr>
              <w:t>December 31, 2008</w:t>
            </w:r>
          </w:p>
        </w:tc>
      </w:tr>
      <w:tr w:rsidR="00552DDF" w:rsidRPr="00ED7E20" w:rsidTr="003A0C41">
        <w:trPr>
          <w:trHeight w:val="274"/>
          <w:jc w:val="center"/>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rsidR="00552DDF" w:rsidRPr="00ED7E20" w:rsidRDefault="00552DDF" w:rsidP="002A0CD0">
            <w:pPr>
              <w:spacing w:after="0" w:line="240" w:lineRule="auto"/>
              <w:rPr>
                <w:color w:val="000000"/>
                <w:sz w:val="20"/>
                <w:szCs w:val="20"/>
              </w:rPr>
            </w:pPr>
            <w:r>
              <w:rPr>
                <w:color w:val="000000"/>
                <w:sz w:val="20"/>
                <w:szCs w:val="20"/>
              </w:rPr>
              <w:t>Yates 1</w:t>
            </w:r>
          </w:p>
        </w:tc>
        <w:tc>
          <w:tcPr>
            <w:tcW w:w="3457" w:type="dxa"/>
            <w:tcBorders>
              <w:top w:val="nil"/>
              <w:left w:val="nil"/>
              <w:bottom w:val="single" w:sz="4" w:space="0" w:color="auto"/>
              <w:right w:val="single" w:sz="4" w:space="0" w:color="auto"/>
            </w:tcBorders>
            <w:shd w:val="clear" w:color="auto" w:fill="auto"/>
            <w:noWrap/>
            <w:vAlign w:val="bottom"/>
            <w:hideMark/>
          </w:tcPr>
          <w:p w:rsidR="00552DDF" w:rsidRPr="00ED7E20" w:rsidRDefault="00552DDF" w:rsidP="002A0CD0">
            <w:pPr>
              <w:spacing w:after="0" w:line="240" w:lineRule="auto"/>
              <w:rPr>
                <w:color w:val="000000"/>
                <w:sz w:val="20"/>
                <w:szCs w:val="20"/>
              </w:rPr>
            </w:pPr>
            <w:r>
              <w:rPr>
                <w:color w:val="000000"/>
                <w:sz w:val="20"/>
                <w:szCs w:val="20"/>
              </w:rPr>
              <w:t>FGD</w:t>
            </w:r>
          </w:p>
        </w:tc>
        <w:tc>
          <w:tcPr>
            <w:tcW w:w="3202" w:type="dxa"/>
            <w:tcBorders>
              <w:top w:val="nil"/>
              <w:left w:val="nil"/>
              <w:bottom w:val="single" w:sz="4" w:space="0" w:color="auto"/>
              <w:right w:val="single" w:sz="4" w:space="0" w:color="auto"/>
            </w:tcBorders>
            <w:shd w:val="clear" w:color="auto" w:fill="auto"/>
            <w:noWrap/>
            <w:vAlign w:val="bottom"/>
            <w:hideMark/>
          </w:tcPr>
          <w:p w:rsidR="00552DDF" w:rsidRPr="00ED7E20" w:rsidRDefault="00552DDF" w:rsidP="002A0CD0">
            <w:pPr>
              <w:spacing w:after="0" w:line="240" w:lineRule="auto"/>
              <w:jc w:val="right"/>
              <w:rPr>
                <w:color w:val="000000"/>
                <w:sz w:val="20"/>
                <w:szCs w:val="20"/>
              </w:rPr>
            </w:pPr>
            <w:r>
              <w:rPr>
                <w:color w:val="000000"/>
                <w:sz w:val="20"/>
                <w:szCs w:val="20"/>
              </w:rPr>
              <w:t>December 31, 2008</w:t>
            </w:r>
          </w:p>
        </w:tc>
      </w:tr>
      <w:tr w:rsidR="00FC67F9" w:rsidRPr="00ED7E20" w:rsidTr="003A0C41">
        <w:trPr>
          <w:trHeight w:val="274"/>
          <w:jc w:val="center"/>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rPr>
                <w:color w:val="000000"/>
                <w:sz w:val="20"/>
                <w:szCs w:val="20"/>
              </w:rPr>
            </w:pPr>
            <w:r w:rsidRPr="00ED7E20">
              <w:rPr>
                <w:color w:val="000000"/>
                <w:sz w:val="20"/>
                <w:szCs w:val="20"/>
              </w:rPr>
              <w:t>Bowen 2</w:t>
            </w:r>
          </w:p>
        </w:tc>
        <w:tc>
          <w:tcPr>
            <w:tcW w:w="3457" w:type="dxa"/>
            <w:tcBorders>
              <w:top w:val="nil"/>
              <w:left w:val="nil"/>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rPr>
                <w:color w:val="000000"/>
                <w:sz w:val="20"/>
                <w:szCs w:val="20"/>
              </w:rPr>
            </w:pPr>
            <w:r w:rsidRPr="00ED7E20">
              <w:rPr>
                <w:color w:val="000000"/>
                <w:sz w:val="20"/>
                <w:szCs w:val="20"/>
              </w:rPr>
              <w:t>SCR and FGD</w:t>
            </w:r>
          </w:p>
        </w:tc>
        <w:tc>
          <w:tcPr>
            <w:tcW w:w="3202" w:type="dxa"/>
            <w:tcBorders>
              <w:top w:val="nil"/>
              <w:left w:val="nil"/>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jc w:val="right"/>
              <w:rPr>
                <w:color w:val="000000"/>
                <w:sz w:val="20"/>
                <w:szCs w:val="20"/>
              </w:rPr>
            </w:pPr>
            <w:r w:rsidRPr="00ED7E20">
              <w:rPr>
                <w:color w:val="000000"/>
                <w:sz w:val="20"/>
                <w:szCs w:val="20"/>
              </w:rPr>
              <w:t>June 1, 2009</w:t>
            </w:r>
          </w:p>
        </w:tc>
      </w:tr>
      <w:tr w:rsidR="00FC67F9" w:rsidRPr="00ED7E20" w:rsidTr="003A0C41">
        <w:trPr>
          <w:trHeight w:val="274"/>
          <w:jc w:val="center"/>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rPr>
                <w:color w:val="000000"/>
                <w:sz w:val="20"/>
                <w:szCs w:val="20"/>
              </w:rPr>
            </w:pPr>
            <w:r w:rsidRPr="00ED7E20">
              <w:rPr>
                <w:color w:val="000000"/>
                <w:sz w:val="20"/>
                <w:szCs w:val="20"/>
              </w:rPr>
              <w:t>Scherer 2</w:t>
            </w:r>
          </w:p>
        </w:tc>
        <w:tc>
          <w:tcPr>
            <w:tcW w:w="3457" w:type="dxa"/>
            <w:tcBorders>
              <w:top w:val="nil"/>
              <w:left w:val="nil"/>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rPr>
                <w:color w:val="000000"/>
                <w:sz w:val="20"/>
                <w:szCs w:val="20"/>
              </w:rPr>
            </w:pPr>
            <w:r w:rsidRPr="00ED7E20">
              <w:rPr>
                <w:color w:val="000000"/>
                <w:sz w:val="20"/>
                <w:szCs w:val="20"/>
              </w:rPr>
              <w:t>Sorbent injection in baghouse</w:t>
            </w:r>
          </w:p>
        </w:tc>
        <w:tc>
          <w:tcPr>
            <w:tcW w:w="3202" w:type="dxa"/>
            <w:tcBorders>
              <w:top w:val="nil"/>
              <w:left w:val="nil"/>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jc w:val="right"/>
              <w:rPr>
                <w:color w:val="000000"/>
                <w:sz w:val="20"/>
                <w:szCs w:val="20"/>
              </w:rPr>
            </w:pPr>
            <w:r w:rsidRPr="00ED7E20">
              <w:rPr>
                <w:color w:val="000000"/>
                <w:sz w:val="20"/>
                <w:szCs w:val="20"/>
              </w:rPr>
              <w:t>June 1, 2009</w:t>
            </w:r>
          </w:p>
        </w:tc>
      </w:tr>
      <w:tr w:rsidR="00FC67F9" w:rsidRPr="00ED7E20" w:rsidTr="003A0C41">
        <w:trPr>
          <w:trHeight w:val="274"/>
          <w:jc w:val="center"/>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rPr>
                <w:color w:val="000000"/>
                <w:sz w:val="20"/>
                <w:szCs w:val="20"/>
              </w:rPr>
            </w:pPr>
            <w:r w:rsidRPr="00ED7E20">
              <w:rPr>
                <w:color w:val="000000"/>
                <w:sz w:val="20"/>
                <w:szCs w:val="20"/>
              </w:rPr>
              <w:t>Scherer 3</w:t>
            </w:r>
          </w:p>
        </w:tc>
        <w:tc>
          <w:tcPr>
            <w:tcW w:w="3457" w:type="dxa"/>
            <w:tcBorders>
              <w:top w:val="nil"/>
              <w:left w:val="nil"/>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rPr>
                <w:color w:val="000000"/>
                <w:sz w:val="20"/>
                <w:szCs w:val="20"/>
              </w:rPr>
            </w:pPr>
            <w:r w:rsidRPr="00ED7E20">
              <w:rPr>
                <w:color w:val="000000"/>
                <w:sz w:val="20"/>
                <w:szCs w:val="20"/>
              </w:rPr>
              <w:t>Sorbent injection in baghouse</w:t>
            </w:r>
          </w:p>
        </w:tc>
        <w:tc>
          <w:tcPr>
            <w:tcW w:w="3202" w:type="dxa"/>
            <w:tcBorders>
              <w:top w:val="nil"/>
              <w:left w:val="nil"/>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jc w:val="right"/>
              <w:rPr>
                <w:color w:val="000000"/>
                <w:sz w:val="20"/>
                <w:szCs w:val="20"/>
              </w:rPr>
            </w:pPr>
            <w:r w:rsidRPr="00ED7E20">
              <w:rPr>
                <w:color w:val="000000"/>
                <w:sz w:val="20"/>
                <w:szCs w:val="20"/>
              </w:rPr>
              <w:t>June 1, 2009</w:t>
            </w:r>
          </w:p>
        </w:tc>
      </w:tr>
      <w:tr w:rsidR="00FC67F9" w:rsidRPr="00ED7E20" w:rsidTr="003A0C41">
        <w:trPr>
          <w:trHeight w:val="274"/>
          <w:jc w:val="center"/>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rPr>
                <w:color w:val="000000"/>
                <w:sz w:val="20"/>
                <w:szCs w:val="20"/>
              </w:rPr>
            </w:pPr>
            <w:r w:rsidRPr="00ED7E20">
              <w:rPr>
                <w:color w:val="000000"/>
                <w:sz w:val="20"/>
                <w:szCs w:val="20"/>
              </w:rPr>
              <w:t>Scherer 1</w:t>
            </w:r>
          </w:p>
        </w:tc>
        <w:tc>
          <w:tcPr>
            <w:tcW w:w="3457" w:type="dxa"/>
            <w:tcBorders>
              <w:top w:val="nil"/>
              <w:left w:val="nil"/>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rPr>
                <w:color w:val="000000"/>
                <w:sz w:val="20"/>
                <w:szCs w:val="20"/>
              </w:rPr>
            </w:pPr>
            <w:r w:rsidRPr="00ED7E20">
              <w:rPr>
                <w:color w:val="000000"/>
                <w:sz w:val="20"/>
                <w:szCs w:val="20"/>
              </w:rPr>
              <w:t>Sorbent injection in baghouse</w:t>
            </w:r>
          </w:p>
        </w:tc>
        <w:tc>
          <w:tcPr>
            <w:tcW w:w="3202" w:type="dxa"/>
            <w:tcBorders>
              <w:top w:val="nil"/>
              <w:left w:val="nil"/>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jc w:val="right"/>
              <w:rPr>
                <w:color w:val="000000"/>
                <w:sz w:val="20"/>
                <w:szCs w:val="20"/>
              </w:rPr>
            </w:pPr>
            <w:r w:rsidRPr="00ED7E20">
              <w:rPr>
                <w:color w:val="000000"/>
                <w:sz w:val="20"/>
                <w:szCs w:val="20"/>
              </w:rPr>
              <w:t>December 31, 2009</w:t>
            </w:r>
          </w:p>
        </w:tc>
      </w:tr>
      <w:tr w:rsidR="00FC67F9" w:rsidRPr="00ED7E20" w:rsidTr="003A0C41">
        <w:trPr>
          <w:trHeight w:val="274"/>
          <w:jc w:val="center"/>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rPr>
                <w:color w:val="000000"/>
                <w:sz w:val="20"/>
                <w:szCs w:val="20"/>
              </w:rPr>
            </w:pPr>
            <w:r w:rsidRPr="00ED7E20">
              <w:rPr>
                <w:color w:val="000000"/>
                <w:sz w:val="20"/>
                <w:szCs w:val="20"/>
              </w:rPr>
              <w:t>Wansley 2</w:t>
            </w:r>
          </w:p>
        </w:tc>
        <w:tc>
          <w:tcPr>
            <w:tcW w:w="3457" w:type="dxa"/>
            <w:tcBorders>
              <w:top w:val="nil"/>
              <w:left w:val="nil"/>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rPr>
                <w:color w:val="000000"/>
                <w:sz w:val="20"/>
                <w:szCs w:val="20"/>
              </w:rPr>
            </w:pPr>
            <w:r w:rsidRPr="00ED7E20">
              <w:rPr>
                <w:color w:val="000000"/>
                <w:sz w:val="20"/>
                <w:szCs w:val="20"/>
              </w:rPr>
              <w:t>SCR and FGD</w:t>
            </w:r>
          </w:p>
        </w:tc>
        <w:tc>
          <w:tcPr>
            <w:tcW w:w="3202" w:type="dxa"/>
            <w:tcBorders>
              <w:top w:val="nil"/>
              <w:left w:val="nil"/>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jc w:val="right"/>
              <w:rPr>
                <w:color w:val="000000"/>
                <w:sz w:val="20"/>
                <w:szCs w:val="20"/>
              </w:rPr>
            </w:pPr>
            <w:r w:rsidRPr="00ED7E20">
              <w:rPr>
                <w:color w:val="000000"/>
                <w:sz w:val="20"/>
                <w:szCs w:val="20"/>
              </w:rPr>
              <w:t>December 31, 2009</w:t>
            </w:r>
          </w:p>
        </w:tc>
      </w:tr>
      <w:tr w:rsidR="00FC67F9" w:rsidRPr="00ED7E20" w:rsidTr="003A0C41">
        <w:trPr>
          <w:trHeight w:val="274"/>
          <w:jc w:val="center"/>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rPr>
                <w:color w:val="000000"/>
                <w:sz w:val="20"/>
                <w:szCs w:val="20"/>
              </w:rPr>
            </w:pPr>
            <w:r w:rsidRPr="00ED7E20">
              <w:rPr>
                <w:color w:val="000000"/>
                <w:sz w:val="20"/>
                <w:szCs w:val="20"/>
              </w:rPr>
              <w:t>Scherer 4</w:t>
            </w:r>
          </w:p>
        </w:tc>
        <w:tc>
          <w:tcPr>
            <w:tcW w:w="3457" w:type="dxa"/>
            <w:tcBorders>
              <w:top w:val="nil"/>
              <w:left w:val="nil"/>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rPr>
                <w:color w:val="000000"/>
                <w:sz w:val="20"/>
                <w:szCs w:val="20"/>
              </w:rPr>
            </w:pPr>
            <w:r w:rsidRPr="00ED7E20">
              <w:rPr>
                <w:color w:val="000000"/>
                <w:sz w:val="20"/>
                <w:szCs w:val="20"/>
              </w:rPr>
              <w:t>Sorbent injection in baghouse</w:t>
            </w:r>
          </w:p>
        </w:tc>
        <w:tc>
          <w:tcPr>
            <w:tcW w:w="3202" w:type="dxa"/>
            <w:tcBorders>
              <w:top w:val="nil"/>
              <w:left w:val="nil"/>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jc w:val="right"/>
              <w:rPr>
                <w:color w:val="000000"/>
                <w:sz w:val="20"/>
                <w:szCs w:val="20"/>
              </w:rPr>
            </w:pPr>
            <w:r w:rsidRPr="00ED7E20">
              <w:rPr>
                <w:color w:val="000000"/>
                <w:sz w:val="20"/>
                <w:szCs w:val="20"/>
              </w:rPr>
              <w:t>April 30, 2010</w:t>
            </w:r>
          </w:p>
        </w:tc>
      </w:tr>
      <w:tr w:rsidR="00FC67F9" w:rsidRPr="00ED7E20" w:rsidTr="003A0C41">
        <w:trPr>
          <w:trHeight w:val="274"/>
          <w:jc w:val="center"/>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rPr>
                <w:color w:val="000000"/>
                <w:sz w:val="20"/>
                <w:szCs w:val="20"/>
              </w:rPr>
            </w:pPr>
            <w:r w:rsidRPr="00ED7E20">
              <w:rPr>
                <w:color w:val="000000"/>
                <w:sz w:val="20"/>
                <w:szCs w:val="20"/>
              </w:rPr>
              <w:t>Bowen 1</w:t>
            </w:r>
          </w:p>
        </w:tc>
        <w:tc>
          <w:tcPr>
            <w:tcW w:w="3457" w:type="dxa"/>
            <w:tcBorders>
              <w:top w:val="nil"/>
              <w:left w:val="nil"/>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rPr>
                <w:color w:val="000000"/>
                <w:sz w:val="20"/>
                <w:szCs w:val="20"/>
              </w:rPr>
            </w:pPr>
            <w:r w:rsidRPr="00ED7E20">
              <w:rPr>
                <w:color w:val="000000"/>
                <w:sz w:val="20"/>
                <w:szCs w:val="20"/>
              </w:rPr>
              <w:t>SCR and FGD</w:t>
            </w:r>
          </w:p>
        </w:tc>
        <w:tc>
          <w:tcPr>
            <w:tcW w:w="3202" w:type="dxa"/>
            <w:tcBorders>
              <w:top w:val="nil"/>
              <w:left w:val="nil"/>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jc w:val="right"/>
              <w:rPr>
                <w:color w:val="000000"/>
                <w:sz w:val="20"/>
                <w:szCs w:val="20"/>
              </w:rPr>
            </w:pPr>
            <w:r w:rsidRPr="00ED7E20">
              <w:rPr>
                <w:color w:val="000000"/>
                <w:sz w:val="20"/>
                <w:szCs w:val="20"/>
              </w:rPr>
              <w:t>June 1, 2010</w:t>
            </w:r>
          </w:p>
        </w:tc>
      </w:tr>
      <w:tr w:rsidR="00FC67F9" w:rsidRPr="00ED7E20" w:rsidTr="003A0C41">
        <w:trPr>
          <w:trHeight w:val="274"/>
          <w:jc w:val="center"/>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rPr>
                <w:color w:val="000000"/>
                <w:sz w:val="20"/>
                <w:szCs w:val="20"/>
              </w:rPr>
            </w:pPr>
            <w:r w:rsidRPr="00ED7E20">
              <w:rPr>
                <w:color w:val="000000"/>
                <w:sz w:val="20"/>
                <w:szCs w:val="20"/>
              </w:rPr>
              <w:t>Scherer 3</w:t>
            </w:r>
          </w:p>
        </w:tc>
        <w:tc>
          <w:tcPr>
            <w:tcW w:w="3457" w:type="dxa"/>
            <w:tcBorders>
              <w:top w:val="nil"/>
              <w:left w:val="nil"/>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rPr>
                <w:color w:val="000000"/>
                <w:sz w:val="20"/>
                <w:szCs w:val="20"/>
              </w:rPr>
            </w:pPr>
            <w:r w:rsidRPr="00ED7E20">
              <w:rPr>
                <w:color w:val="000000"/>
                <w:sz w:val="20"/>
                <w:szCs w:val="20"/>
              </w:rPr>
              <w:t>SCR and FGD</w:t>
            </w:r>
          </w:p>
        </w:tc>
        <w:tc>
          <w:tcPr>
            <w:tcW w:w="3202" w:type="dxa"/>
            <w:tcBorders>
              <w:top w:val="nil"/>
              <w:left w:val="nil"/>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jc w:val="right"/>
              <w:rPr>
                <w:color w:val="000000"/>
                <w:sz w:val="20"/>
                <w:szCs w:val="20"/>
              </w:rPr>
            </w:pPr>
            <w:r w:rsidRPr="00ED7E20">
              <w:rPr>
                <w:color w:val="000000"/>
                <w:sz w:val="20"/>
                <w:szCs w:val="20"/>
              </w:rPr>
              <w:t>July 1, 2011</w:t>
            </w:r>
          </w:p>
        </w:tc>
      </w:tr>
      <w:tr w:rsidR="00FC67F9" w:rsidRPr="00ED7E20" w:rsidTr="003A0C41">
        <w:trPr>
          <w:trHeight w:val="274"/>
          <w:jc w:val="center"/>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rPr>
                <w:color w:val="000000"/>
                <w:sz w:val="20"/>
                <w:szCs w:val="20"/>
              </w:rPr>
            </w:pPr>
            <w:r w:rsidRPr="00ED7E20">
              <w:rPr>
                <w:color w:val="000000"/>
                <w:sz w:val="20"/>
                <w:szCs w:val="20"/>
              </w:rPr>
              <w:t>McDonough 2</w:t>
            </w:r>
          </w:p>
        </w:tc>
        <w:tc>
          <w:tcPr>
            <w:tcW w:w="3457" w:type="dxa"/>
            <w:tcBorders>
              <w:top w:val="nil"/>
              <w:left w:val="nil"/>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rPr>
                <w:color w:val="000000"/>
                <w:sz w:val="20"/>
                <w:szCs w:val="20"/>
              </w:rPr>
            </w:pPr>
            <w:r w:rsidRPr="00ED7E20">
              <w:rPr>
                <w:color w:val="000000"/>
                <w:sz w:val="20"/>
                <w:szCs w:val="20"/>
              </w:rPr>
              <w:t>SCR and FGD</w:t>
            </w:r>
          </w:p>
        </w:tc>
        <w:tc>
          <w:tcPr>
            <w:tcW w:w="3202" w:type="dxa"/>
            <w:tcBorders>
              <w:top w:val="nil"/>
              <w:left w:val="nil"/>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jc w:val="right"/>
              <w:rPr>
                <w:color w:val="000000"/>
                <w:sz w:val="20"/>
                <w:szCs w:val="20"/>
              </w:rPr>
            </w:pPr>
            <w:r w:rsidRPr="00ED7E20">
              <w:rPr>
                <w:color w:val="000000"/>
                <w:sz w:val="20"/>
                <w:szCs w:val="20"/>
              </w:rPr>
              <w:t>December 31, 2011</w:t>
            </w:r>
          </w:p>
        </w:tc>
      </w:tr>
      <w:tr w:rsidR="00FC67F9" w:rsidRPr="00ED7E20" w:rsidTr="003A0C41">
        <w:trPr>
          <w:trHeight w:val="274"/>
          <w:jc w:val="center"/>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rPr>
                <w:color w:val="000000"/>
                <w:sz w:val="20"/>
                <w:szCs w:val="20"/>
              </w:rPr>
            </w:pPr>
            <w:r w:rsidRPr="00ED7E20">
              <w:rPr>
                <w:color w:val="000000"/>
                <w:sz w:val="20"/>
                <w:szCs w:val="20"/>
              </w:rPr>
              <w:t>McDonough 1</w:t>
            </w:r>
          </w:p>
        </w:tc>
        <w:tc>
          <w:tcPr>
            <w:tcW w:w="3457" w:type="dxa"/>
            <w:tcBorders>
              <w:top w:val="nil"/>
              <w:left w:val="nil"/>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rPr>
                <w:color w:val="000000"/>
                <w:sz w:val="20"/>
                <w:szCs w:val="20"/>
              </w:rPr>
            </w:pPr>
            <w:r w:rsidRPr="00ED7E20">
              <w:rPr>
                <w:color w:val="000000"/>
                <w:sz w:val="20"/>
                <w:szCs w:val="20"/>
              </w:rPr>
              <w:t>SCR and FGD</w:t>
            </w:r>
          </w:p>
        </w:tc>
        <w:tc>
          <w:tcPr>
            <w:tcW w:w="3202" w:type="dxa"/>
            <w:tcBorders>
              <w:top w:val="nil"/>
              <w:left w:val="nil"/>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jc w:val="right"/>
              <w:rPr>
                <w:color w:val="000000"/>
                <w:sz w:val="20"/>
                <w:szCs w:val="20"/>
              </w:rPr>
            </w:pPr>
            <w:r w:rsidRPr="00ED7E20">
              <w:rPr>
                <w:color w:val="000000"/>
                <w:sz w:val="20"/>
                <w:szCs w:val="20"/>
              </w:rPr>
              <w:t>April 30, 2012</w:t>
            </w:r>
          </w:p>
        </w:tc>
      </w:tr>
      <w:tr w:rsidR="00FC67F9" w:rsidRPr="00ED7E20" w:rsidTr="003A0C41">
        <w:trPr>
          <w:trHeight w:val="274"/>
          <w:jc w:val="center"/>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rsidR="00FC67F9" w:rsidRPr="00ED7E20" w:rsidDel="00F21BFB" w:rsidRDefault="00FC67F9" w:rsidP="002A0CD0">
            <w:pPr>
              <w:spacing w:after="0" w:line="240" w:lineRule="auto"/>
              <w:rPr>
                <w:color w:val="000000"/>
                <w:sz w:val="20"/>
                <w:szCs w:val="20"/>
              </w:rPr>
            </w:pPr>
            <w:r w:rsidRPr="00ED7E20">
              <w:rPr>
                <w:color w:val="000000"/>
                <w:sz w:val="20"/>
                <w:szCs w:val="20"/>
              </w:rPr>
              <w:t>Branch 2</w:t>
            </w:r>
          </w:p>
        </w:tc>
        <w:tc>
          <w:tcPr>
            <w:tcW w:w="3457" w:type="dxa"/>
            <w:tcBorders>
              <w:top w:val="nil"/>
              <w:left w:val="nil"/>
              <w:bottom w:val="single" w:sz="4" w:space="0" w:color="auto"/>
              <w:right w:val="single" w:sz="4" w:space="0" w:color="auto"/>
            </w:tcBorders>
            <w:shd w:val="clear" w:color="auto" w:fill="auto"/>
            <w:noWrap/>
            <w:vAlign w:val="bottom"/>
            <w:hideMark/>
          </w:tcPr>
          <w:p w:rsidR="00FC67F9" w:rsidRPr="00ED7E20" w:rsidDel="00F21BFB" w:rsidRDefault="00FC67F9" w:rsidP="002A0CD0">
            <w:pPr>
              <w:spacing w:after="0" w:line="240" w:lineRule="auto"/>
              <w:rPr>
                <w:color w:val="000000"/>
                <w:sz w:val="20"/>
                <w:szCs w:val="20"/>
              </w:rPr>
            </w:pPr>
            <w:r w:rsidRPr="00ED7E20">
              <w:rPr>
                <w:color w:val="000000"/>
                <w:sz w:val="20"/>
                <w:szCs w:val="20"/>
              </w:rPr>
              <w:t>SCR and FGD</w:t>
            </w:r>
          </w:p>
        </w:tc>
        <w:tc>
          <w:tcPr>
            <w:tcW w:w="3202" w:type="dxa"/>
            <w:tcBorders>
              <w:top w:val="nil"/>
              <w:left w:val="nil"/>
              <w:bottom w:val="single" w:sz="4" w:space="0" w:color="auto"/>
              <w:right w:val="single" w:sz="4" w:space="0" w:color="auto"/>
            </w:tcBorders>
            <w:shd w:val="clear" w:color="auto" w:fill="auto"/>
            <w:noWrap/>
            <w:vAlign w:val="bottom"/>
            <w:hideMark/>
          </w:tcPr>
          <w:p w:rsidR="00FC67F9" w:rsidRPr="00ED7E20" w:rsidDel="00F21BFB" w:rsidRDefault="00FC67F9" w:rsidP="002A0CD0">
            <w:pPr>
              <w:spacing w:after="0" w:line="240" w:lineRule="auto"/>
              <w:jc w:val="right"/>
              <w:rPr>
                <w:color w:val="000000"/>
                <w:sz w:val="20"/>
                <w:szCs w:val="20"/>
              </w:rPr>
            </w:pPr>
            <w:r w:rsidRPr="00ED7E20">
              <w:rPr>
                <w:color w:val="000000"/>
                <w:sz w:val="20"/>
                <w:szCs w:val="20"/>
              </w:rPr>
              <w:t>October 1, 2013</w:t>
            </w:r>
          </w:p>
        </w:tc>
      </w:tr>
      <w:tr w:rsidR="00FC67F9" w:rsidRPr="00ED7E20" w:rsidTr="003A0C41">
        <w:trPr>
          <w:trHeight w:val="274"/>
          <w:jc w:val="center"/>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rPr>
                <w:color w:val="000000"/>
                <w:sz w:val="20"/>
                <w:szCs w:val="20"/>
              </w:rPr>
            </w:pPr>
            <w:r w:rsidRPr="00ED7E20">
              <w:rPr>
                <w:color w:val="000000"/>
                <w:sz w:val="20"/>
                <w:szCs w:val="20"/>
              </w:rPr>
              <w:t>Scherer 2</w:t>
            </w:r>
          </w:p>
        </w:tc>
        <w:tc>
          <w:tcPr>
            <w:tcW w:w="3457" w:type="dxa"/>
            <w:tcBorders>
              <w:top w:val="nil"/>
              <w:left w:val="nil"/>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rPr>
                <w:color w:val="000000"/>
                <w:sz w:val="20"/>
                <w:szCs w:val="20"/>
              </w:rPr>
            </w:pPr>
            <w:r w:rsidRPr="00ED7E20">
              <w:rPr>
                <w:color w:val="000000"/>
                <w:sz w:val="20"/>
                <w:szCs w:val="20"/>
              </w:rPr>
              <w:t>SCR and FGD</w:t>
            </w:r>
          </w:p>
        </w:tc>
        <w:tc>
          <w:tcPr>
            <w:tcW w:w="3202" w:type="dxa"/>
            <w:tcBorders>
              <w:top w:val="nil"/>
              <w:left w:val="nil"/>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jc w:val="right"/>
              <w:rPr>
                <w:color w:val="000000"/>
                <w:sz w:val="20"/>
                <w:szCs w:val="20"/>
              </w:rPr>
            </w:pPr>
            <w:r w:rsidRPr="00ED7E20">
              <w:rPr>
                <w:color w:val="000000"/>
                <w:sz w:val="20"/>
                <w:szCs w:val="20"/>
              </w:rPr>
              <w:t>December 31, 2013</w:t>
            </w:r>
          </w:p>
        </w:tc>
      </w:tr>
      <w:tr w:rsidR="00FC67F9" w:rsidRPr="00ED7E20" w:rsidTr="003A0C41">
        <w:trPr>
          <w:trHeight w:val="274"/>
          <w:jc w:val="center"/>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rPr>
                <w:color w:val="000000"/>
                <w:sz w:val="20"/>
                <w:szCs w:val="20"/>
              </w:rPr>
            </w:pPr>
            <w:r w:rsidRPr="00ED7E20">
              <w:rPr>
                <w:color w:val="000000"/>
                <w:sz w:val="20"/>
                <w:szCs w:val="20"/>
              </w:rPr>
              <w:t>Scherer 1</w:t>
            </w:r>
          </w:p>
        </w:tc>
        <w:tc>
          <w:tcPr>
            <w:tcW w:w="3457" w:type="dxa"/>
            <w:tcBorders>
              <w:top w:val="nil"/>
              <w:left w:val="nil"/>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rPr>
                <w:color w:val="000000"/>
                <w:sz w:val="20"/>
                <w:szCs w:val="20"/>
              </w:rPr>
            </w:pPr>
            <w:r w:rsidRPr="00ED7E20">
              <w:rPr>
                <w:color w:val="000000"/>
                <w:sz w:val="20"/>
                <w:szCs w:val="20"/>
              </w:rPr>
              <w:t>SCR and FGD</w:t>
            </w:r>
          </w:p>
        </w:tc>
        <w:tc>
          <w:tcPr>
            <w:tcW w:w="3202" w:type="dxa"/>
            <w:tcBorders>
              <w:top w:val="nil"/>
              <w:left w:val="nil"/>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jc w:val="right"/>
              <w:rPr>
                <w:color w:val="000000"/>
                <w:sz w:val="20"/>
                <w:szCs w:val="20"/>
              </w:rPr>
            </w:pPr>
            <w:r w:rsidRPr="00ED7E20">
              <w:rPr>
                <w:color w:val="000000"/>
                <w:sz w:val="20"/>
                <w:szCs w:val="20"/>
              </w:rPr>
              <w:t>December 31, 2014</w:t>
            </w:r>
          </w:p>
        </w:tc>
      </w:tr>
      <w:tr w:rsidR="00B21F77" w:rsidRPr="00ED7E20" w:rsidTr="003A0C41">
        <w:trPr>
          <w:trHeight w:val="274"/>
          <w:jc w:val="center"/>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rsidR="00B21F77" w:rsidRPr="00ED7E20" w:rsidRDefault="00B21F77" w:rsidP="002A0CD0">
            <w:pPr>
              <w:spacing w:after="0" w:line="240" w:lineRule="auto"/>
              <w:rPr>
                <w:color w:val="000000"/>
                <w:sz w:val="20"/>
                <w:szCs w:val="20"/>
              </w:rPr>
            </w:pPr>
            <w:r>
              <w:rPr>
                <w:color w:val="000000"/>
                <w:sz w:val="20"/>
                <w:szCs w:val="20"/>
              </w:rPr>
              <w:t>Yates 1*</w:t>
            </w:r>
          </w:p>
        </w:tc>
        <w:tc>
          <w:tcPr>
            <w:tcW w:w="3457" w:type="dxa"/>
            <w:tcBorders>
              <w:top w:val="nil"/>
              <w:left w:val="nil"/>
              <w:bottom w:val="single" w:sz="4" w:space="0" w:color="auto"/>
              <w:right w:val="single" w:sz="4" w:space="0" w:color="auto"/>
            </w:tcBorders>
            <w:shd w:val="clear" w:color="auto" w:fill="auto"/>
            <w:noWrap/>
            <w:vAlign w:val="bottom"/>
            <w:hideMark/>
          </w:tcPr>
          <w:p w:rsidR="00B21F77" w:rsidRPr="00ED7E20" w:rsidRDefault="00B21F77" w:rsidP="002A0CD0">
            <w:pPr>
              <w:spacing w:after="0" w:line="240" w:lineRule="auto"/>
              <w:rPr>
                <w:color w:val="000000"/>
                <w:sz w:val="20"/>
                <w:szCs w:val="20"/>
              </w:rPr>
            </w:pPr>
            <w:r>
              <w:rPr>
                <w:color w:val="000000"/>
                <w:sz w:val="20"/>
                <w:szCs w:val="20"/>
              </w:rPr>
              <w:t>Natural Gas Conversion</w:t>
            </w:r>
          </w:p>
        </w:tc>
        <w:tc>
          <w:tcPr>
            <w:tcW w:w="3202" w:type="dxa"/>
            <w:tcBorders>
              <w:top w:val="nil"/>
              <w:left w:val="nil"/>
              <w:bottom w:val="single" w:sz="4" w:space="0" w:color="auto"/>
              <w:right w:val="single" w:sz="4" w:space="0" w:color="auto"/>
            </w:tcBorders>
            <w:shd w:val="clear" w:color="auto" w:fill="auto"/>
            <w:noWrap/>
            <w:vAlign w:val="bottom"/>
            <w:hideMark/>
          </w:tcPr>
          <w:p w:rsidR="00B21F77" w:rsidRPr="00ED7E20" w:rsidRDefault="00B21F77" w:rsidP="002A0CD0">
            <w:pPr>
              <w:spacing w:after="0" w:line="240" w:lineRule="auto"/>
              <w:jc w:val="right"/>
              <w:rPr>
                <w:color w:val="000000"/>
                <w:sz w:val="20"/>
                <w:szCs w:val="20"/>
              </w:rPr>
            </w:pPr>
            <w:r>
              <w:rPr>
                <w:color w:val="000000"/>
                <w:sz w:val="20"/>
                <w:szCs w:val="20"/>
              </w:rPr>
              <w:t>April 16, 2015</w:t>
            </w:r>
          </w:p>
        </w:tc>
      </w:tr>
      <w:tr w:rsidR="00B21F77" w:rsidRPr="00ED7E20" w:rsidTr="003A0C41">
        <w:trPr>
          <w:trHeight w:val="274"/>
          <w:jc w:val="center"/>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rsidR="00B21F77" w:rsidRPr="00ED7E20" w:rsidRDefault="00B21F77" w:rsidP="002A0CD0">
            <w:pPr>
              <w:spacing w:after="0" w:line="240" w:lineRule="auto"/>
              <w:rPr>
                <w:color w:val="000000"/>
                <w:sz w:val="20"/>
                <w:szCs w:val="20"/>
              </w:rPr>
            </w:pPr>
            <w:r>
              <w:rPr>
                <w:color w:val="000000"/>
                <w:sz w:val="20"/>
                <w:szCs w:val="20"/>
              </w:rPr>
              <w:t>Yates 2-5*</w:t>
            </w:r>
          </w:p>
        </w:tc>
        <w:tc>
          <w:tcPr>
            <w:tcW w:w="3457" w:type="dxa"/>
            <w:tcBorders>
              <w:top w:val="nil"/>
              <w:left w:val="nil"/>
              <w:bottom w:val="single" w:sz="4" w:space="0" w:color="auto"/>
              <w:right w:val="single" w:sz="4" w:space="0" w:color="auto"/>
            </w:tcBorders>
            <w:shd w:val="clear" w:color="auto" w:fill="auto"/>
            <w:noWrap/>
            <w:vAlign w:val="bottom"/>
            <w:hideMark/>
          </w:tcPr>
          <w:p w:rsidR="00B21F77" w:rsidRPr="00ED7E20" w:rsidRDefault="00B21F77" w:rsidP="002A0CD0">
            <w:pPr>
              <w:spacing w:after="0" w:line="240" w:lineRule="auto"/>
              <w:rPr>
                <w:color w:val="000000"/>
                <w:sz w:val="20"/>
                <w:szCs w:val="20"/>
              </w:rPr>
            </w:pPr>
            <w:r>
              <w:rPr>
                <w:color w:val="000000"/>
                <w:sz w:val="20"/>
                <w:szCs w:val="20"/>
              </w:rPr>
              <w:t>Natural Gas Conversion</w:t>
            </w:r>
          </w:p>
        </w:tc>
        <w:tc>
          <w:tcPr>
            <w:tcW w:w="3202" w:type="dxa"/>
            <w:tcBorders>
              <w:top w:val="nil"/>
              <w:left w:val="nil"/>
              <w:bottom w:val="single" w:sz="4" w:space="0" w:color="auto"/>
              <w:right w:val="single" w:sz="4" w:space="0" w:color="auto"/>
            </w:tcBorders>
            <w:shd w:val="clear" w:color="auto" w:fill="auto"/>
            <w:noWrap/>
            <w:vAlign w:val="bottom"/>
            <w:hideMark/>
          </w:tcPr>
          <w:p w:rsidR="00B21F77" w:rsidRPr="00ED7E20" w:rsidRDefault="00B21F77" w:rsidP="002A0CD0">
            <w:pPr>
              <w:spacing w:after="0" w:line="240" w:lineRule="auto"/>
              <w:jc w:val="right"/>
              <w:rPr>
                <w:color w:val="000000"/>
                <w:sz w:val="20"/>
                <w:szCs w:val="20"/>
              </w:rPr>
            </w:pPr>
            <w:r>
              <w:rPr>
                <w:color w:val="000000"/>
                <w:sz w:val="20"/>
                <w:szCs w:val="20"/>
              </w:rPr>
              <w:t>April 16, 2015</w:t>
            </w:r>
          </w:p>
        </w:tc>
      </w:tr>
      <w:tr w:rsidR="00FC67F9" w:rsidRPr="00ED7E20" w:rsidTr="003A0C41">
        <w:trPr>
          <w:trHeight w:val="274"/>
          <w:jc w:val="center"/>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rPr>
                <w:color w:val="000000"/>
                <w:sz w:val="20"/>
                <w:szCs w:val="20"/>
              </w:rPr>
            </w:pPr>
            <w:r w:rsidRPr="00ED7E20">
              <w:rPr>
                <w:color w:val="000000"/>
                <w:sz w:val="20"/>
                <w:szCs w:val="20"/>
              </w:rPr>
              <w:t>Yates 6</w:t>
            </w:r>
            <w:r w:rsidR="00DA0127">
              <w:rPr>
                <w:color w:val="000000"/>
                <w:sz w:val="20"/>
                <w:szCs w:val="20"/>
              </w:rPr>
              <w:t>*</w:t>
            </w:r>
          </w:p>
        </w:tc>
        <w:tc>
          <w:tcPr>
            <w:tcW w:w="3457" w:type="dxa"/>
            <w:tcBorders>
              <w:top w:val="nil"/>
              <w:left w:val="nil"/>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rPr>
                <w:color w:val="000000"/>
                <w:sz w:val="20"/>
                <w:szCs w:val="20"/>
              </w:rPr>
            </w:pPr>
            <w:r w:rsidRPr="00ED7E20">
              <w:rPr>
                <w:color w:val="000000"/>
                <w:sz w:val="20"/>
                <w:szCs w:val="20"/>
              </w:rPr>
              <w:t>SCR and FGD</w:t>
            </w:r>
            <w:r w:rsidR="003A0C41">
              <w:rPr>
                <w:color w:val="000000"/>
                <w:sz w:val="20"/>
                <w:szCs w:val="20"/>
              </w:rPr>
              <w:t xml:space="preserve"> or Natural Gas Conversion</w:t>
            </w:r>
          </w:p>
        </w:tc>
        <w:tc>
          <w:tcPr>
            <w:tcW w:w="3202" w:type="dxa"/>
            <w:tcBorders>
              <w:top w:val="nil"/>
              <w:left w:val="nil"/>
              <w:bottom w:val="single" w:sz="4" w:space="0" w:color="auto"/>
              <w:right w:val="single" w:sz="4" w:space="0" w:color="auto"/>
            </w:tcBorders>
            <w:shd w:val="clear" w:color="auto" w:fill="auto"/>
            <w:noWrap/>
            <w:vAlign w:val="bottom"/>
            <w:hideMark/>
          </w:tcPr>
          <w:p w:rsidR="00FC67F9" w:rsidRPr="00ED7E20" w:rsidRDefault="00B21F77" w:rsidP="00B21F77">
            <w:pPr>
              <w:spacing w:after="0" w:line="240" w:lineRule="auto"/>
              <w:jc w:val="right"/>
              <w:rPr>
                <w:color w:val="000000"/>
                <w:sz w:val="20"/>
                <w:szCs w:val="20"/>
              </w:rPr>
            </w:pPr>
            <w:r>
              <w:rPr>
                <w:color w:val="000000"/>
                <w:sz w:val="20"/>
                <w:szCs w:val="20"/>
              </w:rPr>
              <w:t>April 16</w:t>
            </w:r>
            <w:r w:rsidR="00FC67F9" w:rsidRPr="00ED7E20">
              <w:rPr>
                <w:color w:val="000000"/>
                <w:sz w:val="20"/>
                <w:szCs w:val="20"/>
              </w:rPr>
              <w:t>, 2015</w:t>
            </w:r>
          </w:p>
        </w:tc>
      </w:tr>
      <w:tr w:rsidR="00FC67F9" w:rsidRPr="00ED7E20" w:rsidTr="003A0C41">
        <w:trPr>
          <w:trHeight w:val="274"/>
          <w:jc w:val="center"/>
        </w:trPr>
        <w:tc>
          <w:tcPr>
            <w:tcW w:w="17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rPr>
                <w:color w:val="000000"/>
                <w:sz w:val="20"/>
                <w:szCs w:val="20"/>
              </w:rPr>
            </w:pPr>
            <w:r w:rsidRPr="00ED7E20">
              <w:rPr>
                <w:color w:val="000000"/>
                <w:sz w:val="20"/>
                <w:szCs w:val="20"/>
              </w:rPr>
              <w:t>Yates 7</w:t>
            </w:r>
            <w:r w:rsidR="00DA0127">
              <w:rPr>
                <w:color w:val="000000"/>
                <w:sz w:val="20"/>
                <w:szCs w:val="20"/>
              </w:rPr>
              <w:t>*</w:t>
            </w:r>
          </w:p>
        </w:tc>
        <w:tc>
          <w:tcPr>
            <w:tcW w:w="3457" w:type="dxa"/>
            <w:tcBorders>
              <w:top w:val="single" w:sz="4" w:space="0" w:color="auto"/>
              <w:left w:val="nil"/>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rPr>
                <w:color w:val="000000"/>
                <w:sz w:val="20"/>
                <w:szCs w:val="20"/>
              </w:rPr>
            </w:pPr>
            <w:r w:rsidRPr="00ED7E20">
              <w:rPr>
                <w:color w:val="000000"/>
                <w:sz w:val="20"/>
                <w:szCs w:val="20"/>
              </w:rPr>
              <w:t>SCR and FGD</w:t>
            </w:r>
            <w:r w:rsidR="003A0C41">
              <w:rPr>
                <w:color w:val="000000"/>
                <w:sz w:val="20"/>
                <w:szCs w:val="20"/>
              </w:rPr>
              <w:t xml:space="preserve"> or Natural Gas Conversion</w:t>
            </w:r>
          </w:p>
        </w:tc>
        <w:tc>
          <w:tcPr>
            <w:tcW w:w="3202" w:type="dxa"/>
            <w:tcBorders>
              <w:top w:val="single" w:sz="4" w:space="0" w:color="auto"/>
              <w:left w:val="nil"/>
              <w:bottom w:val="single" w:sz="4" w:space="0" w:color="auto"/>
              <w:right w:val="single" w:sz="4" w:space="0" w:color="auto"/>
            </w:tcBorders>
            <w:shd w:val="clear" w:color="auto" w:fill="auto"/>
            <w:noWrap/>
            <w:vAlign w:val="bottom"/>
            <w:hideMark/>
          </w:tcPr>
          <w:p w:rsidR="00FC67F9" w:rsidRPr="00ED7E20" w:rsidRDefault="00B21F77" w:rsidP="00B21F77">
            <w:pPr>
              <w:spacing w:after="0" w:line="240" w:lineRule="auto"/>
              <w:jc w:val="right"/>
              <w:rPr>
                <w:color w:val="000000"/>
                <w:sz w:val="20"/>
                <w:szCs w:val="20"/>
              </w:rPr>
            </w:pPr>
            <w:r>
              <w:rPr>
                <w:color w:val="000000"/>
                <w:sz w:val="20"/>
                <w:szCs w:val="20"/>
              </w:rPr>
              <w:t>April 16</w:t>
            </w:r>
            <w:r w:rsidR="00FC67F9" w:rsidRPr="00ED7E20">
              <w:rPr>
                <w:color w:val="000000"/>
                <w:sz w:val="20"/>
                <w:szCs w:val="20"/>
              </w:rPr>
              <w:t>, 2015</w:t>
            </w:r>
          </w:p>
        </w:tc>
      </w:tr>
      <w:tr w:rsidR="00B21F77" w:rsidRPr="00ED7E20" w:rsidTr="003A0C41">
        <w:trPr>
          <w:trHeight w:val="274"/>
          <w:jc w:val="center"/>
        </w:trPr>
        <w:tc>
          <w:tcPr>
            <w:tcW w:w="17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21F77" w:rsidRPr="00ED7E20" w:rsidRDefault="00B21F77" w:rsidP="002A0CD0">
            <w:pPr>
              <w:spacing w:after="0" w:line="240" w:lineRule="auto"/>
              <w:rPr>
                <w:color w:val="000000"/>
                <w:sz w:val="20"/>
                <w:szCs w:val="20"/>
              </w:rPr>
            </w:pPr>
            <w:r>
              <w:rPr>
                <w:color w:val="000000"/>
                <w:sz w:val="20"/>
                <w:szCs w:val="20"/>
              </w:rPr>
              <w:t>Branch 1*</w:t>
            </w:r>
          </w:p>
        </w:tc>
        <w:tc>
          <w:tcPr>
            <w:tcW w:w="3457" w:type="dxa"/>
            <w:tcBorders>
              <w:top w:val="single" w:sz="4" w:space="0" w:color="auto"/>
              <w:left w:val="nil"/>
              <w:bottom w:val="single" w:sz="4" w:space="0" w:color="auto"/>
              <w:right w:val="single" w:sz="4" w:space="0" w:color="auto"/>
            </w:tcBorders>
            <w:shd w:val="clear" w:color="auto" w:fill="auto"/>
            <w:noWrap/>
            <w:vAlign w:val="bottom"/>
            <w:hideMark/>
          </w:tcPr>
          <w:p w:rsidR="00B21F77" w:rsidRPr="00ED7E20" w:rsidRDefault="00B21F77" w:rsidP="002A0CD0">
            <w:pPr>
              <w:spacing w:after="0" w:line="240" w:lineRule="auto"/>
              <w:rPr>
                <w:color w:val="000000"/>
                <w:sz w:val="20"/>
                <w:szCs w:val="20"/>
              </w:rPr>
            </w:pPr>
            <w:r>
              <w:rPr>
                <w:color w:val="000000"/>
                <w:sz w:val="20"/>
                <w:szCs w:val="20"/>
              </w:rPr>
              <w:t>SCR and FGD</w:t>
            </w:r>
          </w:p>
        </w:tc>
        <w:tc>
          <w:tcPr>
            <w:tcW w:w="3202" w:type="dxa"/>
            <w:tcBorders>
              <w:top w:val="single" w:sz="4" w:space="0" w:color="auto"/>
              <w:left w:val="nil"/>
              <w:bottom w:val="single" w:sz="4" w:space="0" w:color="auto"/>
              <w:right w:val="single" w:sz="4" w:space="0" w:color="auto"/>
            </w:tcBorders>
            <w:shd w:val="clear" w:color="auto" w:fill="auto"/>
            <w:noWrap/>
            <w:vAlign w:val="bottom"/>
            <w:hideMark/>
          </w:tcPr>
          <w:p w:rsidR="00B21F77" w:rsidRPr="00ED7E20" w:rsidRDefault="00B21F77" w:rsidP="002A0CD0">
            <w:pPr>
              <w:spacing w:after="0" w:line="240" w:lineRule="auto"/>
              <w:jc w:val="right"/>
              <w:rPr>
                <w:color w:val="000000"/>
                <w:sz w:val="20"/>
                <w:szCs w:val="20"/>
              </w:rPr>
            </w:pPr>
            <w:r>
              <w:rPr>
                <w:color w:val="000000"/>
                <w:sz w:val="20"/>
                <w:szCs w:val="20"/>
              </w:rPr>
              <w:t>April 16, 2015</w:t>
            </w:r>
          </w:p>
        </w:tc>
      </w:tr>
      <w:tr w:rsidR="00FC67F9" w:rsidRPr="00ED7E20" w:rsidTr="003A0C41">
        <w:trPr>
          <w:trHeight w:val="274"/>
          <w:jc w:val="center"/>
        </w:trPr>
        <w:tc>
          <w:tcPr>
            <w:tcW w:w="17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rPr>
                <w:color w:val="000000"/>
                <w:sz w:val="20"/>
                <w:szCs w:val="20"/>
              </w:rPr>
            </w:pPr>
            <w:r w:rsidRPr="00ED7E20">
              <w:rPr>
                <w:color w:val="000000"/>
                <w:sz w:val="20"/>
                <w:szCs w:val="20"/>
              </w:rPr>
              <w:t>Branch 3</w:t>
            </w:r>
            <w:r w:rsidR="00DA0127">
              <w:rPr>
                <w:color w:val="000000"/>
                <w:sz w:val="20"/>
                <w:szCs w:val="20"/>
              </w:rPr>
              <w:t>*</w:t>
            </w:r>
          </w:p>
        </w:tc>
        <w:tc>
          <w:tcPr>
            <w:tcW w:w="3457" w:type="dxa"/>
            <w:tcBorders>
              <w:top w:val="single" w:sz="4" w:space="0" w:color="auto"/>
              <w:left w:val="nil"/>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rPr>
                <w:color w:val="000000"/>
                <w:sz w:val="20"/>
                <w:szCs w:val="20"/>
              </w:rPr>
            </w:pPr>
            <w:r w:rsidRPr="00ED7E20">
              <w:rPr>
                <w:color w:val="000000"/>
                <w:sz w:val="20"/>
                <w:szCs w:val="20"/>
              </w:rPr>
              <w:t>SCR and FGD</w:t>
            </w:r>
          </w:p>
        </w:tc>
        <w:tc>
          <w:tcPr>
            <w:tcW w:w="3202" w:type="dxa"/>
            <w:tcBorders>
              <w:top w:val="single" w:sz="4" w:space="0" w:color="auto"/>
              <w:left w:val="nil"/>
              <w:bottom w:val="single" w:sz="4" w:space="0" w:color="auto"/>
              <w:right w:val="single" w:sz="4" w:space="0" w:color="auto"/>
            </w:tcBorders>
            <w:shd w:val="clear" w:color="auto" w:fill="auto"/>
            <w:noWrap/>
            <w:vAlign w:val="bottom"/>
            <w:hideMark/>
          </w:tcPr>
          <w:p w:rsidR="00FC67F9" w:rsidRPr="00ED7E20" w:rsidRDefault="00B21F77" w:rsidP="002A0CD0">
            <w:pPr>
              <w:spacing w:after="0" w:line="240" w:lineRule="auto"/>
              <w:jc w:val="right"/>
              <w:rPr>
                <w:color w:val="000000"/>
                <w:sz w:val="20"/>
                <w:szCs w:val="20"/>
              </w:rPr>
            </w:pPr>
            <w:r>
              <w:rPr>
                <w:color w:val="000000"/>
                <w:sz w:val="20"/>
                <w:szCs w:val="20"/>
              </w:rPr>
              <w:t>April 16</w:t>
            </w:r>
            <w:r w:rsidR="00FC67F9" w:rsidRPr="00ED7E20">
              <w:rPr>
                <w:color w:val="000000"/>
                <w:sz w:val="20"/>
                <w:szCs w:val="20"/>
              </w:rPr>
              <w:t>, 2015</w:t>
            </w:r>
          </w:p>
        </w:tc>
      </w:tr>
      <w:tr w:rsidR="00FC67F9" w:rsidRPr="00ED7E20" w:rsidTr="003A0C41">
        <w:trPr>
          <w:trHeight w:val="274"/>
          <w:jc w:val="center"/>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rPr>
                <w:color w:val="000000"/>
                <w:sz w:val="20"/>
                <w:szCs w:val="20"/>
              </w:rPr>
            </w:pPr>
            <w:r w:rsidRPr="00ED7E20">
              <w:rPr>
                <w:color w:val="000000"/>
                <w:sz w:val="20"/>
                <w:szCs w:val="20"/>
              </w:rPr>
              <w:t>Branch 4</w:t>
            </w:r>
            <w:r w:rsidR="00DA0127">
              <w:rPr>
                <w:color w:val="000000"/>
                <w:sz w:val="20"/>
                <w:szCs w:val="20"/>
              </w:rPr>
              <w:t>*</w:t>
            </w:r>
          </w:p>
        </w:tc>
        <w:tc>
          <w:tcPr>
            <w:tcW w:w="3457" w:type="dxa"/>
            <w:tcBorders>
              <w:top w:val="nil"/>
              <w:left w:val="nil"/>
              <w:bottom w:val="single" w:sz="4" w:space="0" w:color="auto"/>
              <w:right w:val="single" w:sz="4" w:space="0" w:color="auto"/>
            </w:tcBorders>
            <w:shd w:val="clear" w:color="auto" w:fill="auto"/>
            <w:noWrap/>
            <w:vAlign w:val="bottom"/>
            <w:hideMark/>
          </w:tcPr>
          <w:p w:rsidR="00FC67F9" w:rsidRPr="00ED7E20" w:rsidRDefault="00FC67F9" w:rsidP="002A0CD0">
            <w:pPr>
              <w:spacing w:after="0" w:line="240" w:lineRule="auto"/>
              <w:rPr>
                <w:color w:val="000000"/>
                <w:sz w:val="20"/>
                <w:szCs w:val="20"/>
              </w:rPr>
            </w:pPr>
            <w:r w:rsidRPr="00ED7E20">
              <w:rPr>
                <w:color w:val="000000"/>
                <w:sz w:val="20"/>
                <w:szCs w:val="20"/>
              </w:rPr>
              <w:t>SCR and FGD</w:t>
            </w:r>
          </w:p>
        </w:tc>
        <w:tc>
          <w:tcPr>
            <w:tcW w:w="3202" w:type="dxa"/>
            <w:tcBorders>
              <w:top w:val="nil"/>
              <w:left w:val="nil"/>
              <w:bottom w:val="single" w:sz="4" w:space="0" w:color="auto"/>
              <w:right w:val="single" w:sz="4" w:space="0" w:color="auto"/>
            </w:tcBorders>
            <w:shd w:val="clear" w:color="auto" w:fill="auto"/>
            <w:noWrap/>
            <w:vAlign w:val="bottom"/>
            <w:hideMark/>
          </w:tcPr>
          <w:p w:rsidR="00FC67F9" w:rsidRPr="00ED7E20" w:rsidRDefault="00B21F77" w:rsidP="00B21F77">
            <w:pPr>
              <w:spacing w:after="0" w:line="240" w:lineRule="auto"/>
              <w:jc w:val="right"/>
              <w:rPr>
                <w:color w:val="000000"/>
                <w:sz w:val="20"/>
                <w:szCs w:val="20"/>
              </w:rPr>
            </w:pPr>
            <w:r>
              <w:rPr>
                <w:color w:val="000000"/>
                <w:sz w:val="20"/>
                <w:szCs w:val="20"/>
              </w:rPr>
              <w:t>April 16</w:t>
            </w:r>
            <w:r w:rsidR="00FC67F9" w:rsidRPr="00ED7E20">
              <w:rPr>
                <w:color w:val="000000"/>
                <w:sz w:val="20"/>
                <w:szCs w:val="20"/>
              </w:rPr>
              <w:t>, 2015</w:t>
            </w:r>
          </w:p>
        </w:tc>
      </w:tr>
    </w:tbl>
    <w:p w:rsidR="00FC67F9" w:rsidRPr="00DA0127" w:rsidRDefault="00DA0127" w:rsidP="00111EC6">
      <w:pPr>
        <w:tabs>
          <w:tab w:val="left" w:pos="900"/>
          <w:tab w:val="num" w:pos="1440"/>
        </w:tabs>
        <w:autoSpaceDE w:val="0"/>
        <w:autoSpaceDN w:val="0"/>
        <w:adjustRightInd w:val="0"/>
        <w:spacing w:after="0" w:line="240" w:lineRule="auto"/>
        <w:jc w:val="center"/>
        <w:rPr>
          <w:rFonts w:ascii="Times New Roman" w:hAnsi="Times New Roman"/>
          <w:bCs/>
        </w:rPr>
      </w:pPr>
      <w:bookmarkStart w:id="16" w:name="_Toc345263802"/>
      <w:r w:rsidRPr="00E377C9">
        <w:rPr>
          <w:rFonts w:ascii="Times New Roman" w:hAnsi="Times New Roman"/>
          <w:b/>
          <w:bCs/>
          <w:szCs w:val="24"/>
        </w:rPr>
        <w:t xml:space="preserve">* </w:t>
      </w:r>
      <w:r w:rsidR="00B21F77" w:rsidRPr="00E377C9">
        <w:rPr>
          <w:rFonts w:ascii="Times New Roman" w:hAnsi="Times New Roman"/>
          <w:bCs/>
          <w:sz w:val="20"/>
        </w:rPr>
        <w:t>Dates reflect G</w:t>
      </w:r>
      <w:r w:rsidRPr="00E377C9">
        <w:rPr>
          <w:rFonts w:ascii="Times New Roman" w:hAnsi="Times New Roman"/>
          <w:bCs/>
          <w:sz w:val="20"/>
        </w:rPr>
        <w:t>eorgia EPD</w:t>
      </w:r>
      <w:r w:rsidR="00B21F77" w:rsidRPr="00E377C9">
        <w:rPr>
          <w:rFonts w:ascii="Times New Roman" w:hAnsi="Times New Roman"/>
          <w:bCs/>
          <w:sz w:val="20"/>
        </w:rPr>
        <w:t xml:space="preserve">’s </w:t>
      </w:r>
      <w:r w:rsidR="009203A8" w:rsidRPr="00E377C9">
        <w:rPr>
          <w:rFonts w:ascii="Times New Roman" w:hAnsi="Times New Roman"/>
          <w:bCs/>
          <w:sz w:val="20"/>
        </w:rPr>
        <w:t xml:space="preserve">January 2013 </w:t>
      </w:r>
      <w:r w:rsidR="00B21F77" w:rsidRPr="00E377C9">
        <w:rPr>
          <w:rFonts w:ascii="Times New Roman" w:hAnsi="Times New Roman"/>
          <w:bCs/>
          <w:sz w:val="20"/>
        </w:rPr>
        <w:t>proposed changes</w:t>
      </w:r>
      <w:r w:rsidR="00E377C9" w:rsidRPr="00E377C9">
        <w:rPr>
          <w:rFonts w:ascii="Times New Roman" w:hAnsi="Times New Roman"/>
          <w:bCs/>
          <w:sz w:val="20"/>
        </w:rPr>
        <w:t xml:space="preserve"> </w:t>
      </w:r>
      <w:r w:rsidRPr="00E377C9">
        <w:rPr>
          <w:rFonts w:ascii="Times New Roman" w:hAnsi="Times New Roman"/>
          <w:bCs/>
          <w:sz w:val="20"/>
        </w:rPr>
        <w:t>to the Multipollutant Rule for these units.</w:t>
      </w:r>
      <w:bookmarkEnd w:id="16"/>
    </w:p>
    <w:p w:rsidR="00FC67F9" w:rsidRDefault="00FC67F9" w:rsidP="002A0CD0">
      <w:pPr>
        <w:tabs>
          <w:tab w:val="left" w:pos="900"/>
          <w:tab w:val="num" w:pos="1440"/>
        </w:tabs>
        <w:autoSpaceDE w:val="0"/>
        <w:autoSpaceDN w:val="0"/>
        <w:adjustRightInd w:val="0"/>
        <w:spacing w:after="0" w:line="240" w:lineRule="auto"/>
        <w:ind w:left="1080"/>
        <w:jc w:val="both"/>
        <w:outlineLvl w:val="1"/>
        <w:rPr>
          <w:rFonts w:ascii="Times New Roman" w:hAnsi="Times New Roman"/>
          <w:b/>
          <w:bCs/>
          <w:color w:val="000080"/>
          <w:sz w:val="24"/>
          <w:szCs w:val="24"/>
        </w:rPr>
      </w:pPr>
    </w:p>
    <w:p w:rsidR="00552DDF" w:rsidRDefault="00552DDF" w:rsidP="002A0CD0">
      <w:pPr>
        <w:tabs>
          <w:tab w:val="left" w:pos="180"/>
        </w:tabs>
        <w:autoSpaceDE w:val="0"/>
        <w:autoSpaceDN w:val="0"/>
        <w:adjustRightInd w:val="0"/>
        <w:spacing w:after="0" w:line="240" w:lineRule="auto"/>
        <w:ind w:left="720" w:hanging="720"/>
        <w:outlineLvl w:val="1"/>
        <w:rPr>
          <w:rFonts w:ascii="Times New Roman" w:hAnsi="Times New Roman"/>
          <w:b/>
          <w:bCs/>
          <w:color w:val="000080"/>
          <w:sz w:val="24"/>
          <w:szCs w:val="24"/>
        </w:rPr>
      </w:pPr>
    </w:p>
    <w:p w:rsidR="00552DDF" w:rsidRDefault="00552DDF" w:rsidP="002A0CD0">
      <w:pPr>
        <w:tabs>
          <w:tab w:val="left" w:pos="180"/>
        </w:tabs>
        <w:autoSpaceDE w:val="0"/>
        <w:autoSpaceDN w:val="0"/>
        <w:adjustRightInd w:val="0"/>
        <w:spacing w:after="0" w:line="240" w:lineRule="auto"/>
        <w:ind w:left="720" w:hanging="720"/>
        <w:outlineLvl w:val="1"/>
        <w:rPr>
          <w:rFonts w:ascii="Times New Roman" w:hAnsi="Times New Roman"/>
          <w:b/>
          <w:bCs/>
          <w:color w:val="000080"/>
          <w:sz w:val="24"/>
          <w:szCs w:val="24"/>
        </w:rPr>
      </w:pPr>
    </w:p>
    <w:p w:rsidR="00552DDF" w:rsidRDefault="00552DDF" w:rsidP="002A0CD0">
      <w:pPr>
        <w:tabs>
          <w:tab w:val="left" w:pos="180"/>
        </w:tabs>
        <w:autoSpaceDE w:val="0"/>
        <w:autoSpaceDN w:val="0"/>
        <w:adjustRightInd w:val="0"/>
        <w:spacing w:after="0" w:line="240" w:lineRule="auto"/>
        <w:ind w:left="720" w:hanging="720"/>
        <w:outlineLvl w:val="1"/>
        <w:rPr>
          <w:rFonts w:ascii="Times New Roman" w:hAnsi="Times New Roman"/>
          <w:b/>
          <w:bCs/>
          <w:color w:val="000080"/>
          <w:sz w:val="24"/>
          <w:szCs w:val="24"/>
        </w:rPr>
      </w:pPr>
    </w:p>
    <w:p w:rsidR="00552DDF" w:rsidRDefault="00552DDF" w:rsidP="002A0CD0">
      <w:pPr>
        <w:tabs>
          <w:tab w:val="left" w:pos="180"/>
        </w:tabs>
        <w:autoSpaceDE w:val="0"/>
        <w:autoSpaceDN w:val="0"/>
        <w:adjustRightInd w:val="0"/>
        <w:spacing w:after="0" w:line="240" w:lineRule="auto"/>
        <w:ind w:left="720" w:hanging="720"/>
        <w:outlineLvl w:val="1"/>
        <w:rPr>
          <w:rFonts w:ascii="Times New Roman" w:hAnsi="Times New Roman"/>
          <w:b/>
          <w:bCs/>
          <w:color w:val="000080"/>
          <w:sz w:val="24"/>
          <w:szCs w:val="24"/>
        </w:rPr>
      </w:pPr>
    </w:p>
    <w:p w:rsidR="00FC67F9" w:rsidRPr="00ED7E20" w:rsidRDefault="00FC67F9" w:rsidP="002A0CD0">
      <w:pPr>
        <w:tabs>
          <w:tab w:val="left" w:pos="180"/>
        </w:tabs>
        <w:autoSpaceDE w:val="0"/>
        <w:autoSpaceDN w:val="0"/>
        <w:adjustRightInd w:val="0"/>
        <w:spacing w:after="0" w:line="240" w:lineRule="auto"/>
        <w:ind w:left="720" w:hanging="720"/>
        <w:outlineLvl w:val="1"/>
        <w:rPr>
          <w:rFonts w:ascii="Times New Roman" w:hAnsi="Times New Roman"/>
          <w:b/>
          <w:bCs/>
          <w:color w:val="000080"/>
          <w:sz w:val="24"/>
          <w:szCs w:val="24"/>
        </w:rPr>
      </w:pPr>
      <w:bookmarkStart w:id="17" w:name="_Toc347314844"/>
      <w:r>
        <w:rPr>
          <w:rFonts w:ascii="Times New Roman" w:hAnsi="Times New Roman"/>
          <w:b/>
          <w:bCs/>
          <w:color w:val="000080"/>
          <w:sz w:val="24"/>
          <w:szCs w:val="24"/>
        </w:rPr>
        <w:t>2.</w:t>
      </w:r>
      <w:r w:rsidR="0081596B">
        <w:rPr>
          <w:rFonts w:ascii="Times New Roman" w:hAnsi="Times New Roman"/>
          <w:b/>
          <w:bCs/>
          <w:color w:val="000080"/>
          <w:sz w:val="24"/>
          <w:szCs w:val="24"/>
        </w:rPr>
        <w:t>11</w:t>
      </w:r>
      <w:r>
        <w:rPr>
          <w:rFonts w:ascii="Times New Roman" w:hAnsi="Times New Roman"/>
          <w:b/>
          <w:bCs/>
          <w:color w:val="000080"/>
          <w:sz w:val="24"/>
          <w:szCs w:val="24"/>
        </w:rPr>
        <w:tab/>
      </w:r>
      <w:r w:rsidRPr="00ED7E20">
        <w:rPr>
          <w:rFonts w:ascii="Times New Roman" w:hAnsi="Times New Roman"/>
          <w:b/>
          <w:bCs/>
          <w:color w:val="000080"/>
          <w:sz w:val="24"/>
          <w:szCs w:val="24"/>
        </w:rPr>
        <w:t>Climate Change/Carbon Dioxide Emissions and Renewable Portfolio Standards</w:t>
      </w:r>
      <w:bookmarkEnd w:id="17"/>
    </w:p>
    <w:p w:rsidR="00FC67F9" w:rsidRPr="00ED7E20" w:rsidRDefault="00FC67F9" w:rsidP="002A0CD0">
      <w:pPr>
        <w:autoSpaceDE w:val="0"/>
        <w:autoSpaceDN w:val="0"/>
        <w:adjustRightInd w:val="0"/>
        <w:spacing w:after="0" w:line="240" w:lineRule="auto"/>
        <w:rPr>
          <w:rFonts w:ascii="Times New Roman" w:hAnsi="Times New Roman"/>
          <w:sz w:val="24"/>
          <w:szCs w:val="24"/>
        </w:rPr>
      </w:pPr>
    </w:p>
    <w:p w:rsidR="00FC67F9" w:rsidRPr="00ED7E20" w:rsidRDefault="00FC67F9" w:rsidP="002A0CD0">
      <w:pPr>
        <w:autoSpaceDE w:val="0"/>
        <w:autoSpaceDN w:val="0"/>
        <w:adjustRightInd w:val="0"/>
        <w:spacing w:after="0" w:line="240" w:lineRule="auto"/>
        <w:rPr>
          <w:rFonts w:ascii="Times New Roman" w:hAnsi="Times New Roman"/>
          <w:b/>
          <w:bCs/>
          <w:color w:val="000080"/>
          <w:sz w:val="24"/>
          <w:szCs w:val="24"/>
        </w:rPr>
      </w:pPr>
      <w:r w:rsidRPr="00ED7E20">
        <w:rPr>
          <w:rFonts w:ascii="Times New Roman" w:hAnsi="Times New Roman"/>
          <w:b/>
          <w:bCs/>
          <w:color w:val="000080"/>
          <w:sz w:val="24"/>
          <w:szCs w:val="24"/>
        </w:rPr>
        <w:t>Climate Change and Renewables Legislation</w:t>
      </w:r>
    </w:p>
    <w:p w:rsidR="00C41555" w:rsidRPr="00153EF5" w:rsidRDefault="00C41555" w:rsidP="002A0CD0">
      <w:pPr>
        <w:spacing w:after="0" w:line="240" w:lineRule="auto"/>
        <w:rPr>
          <w:rFonts w:ascii="Times New Roman" w:hAnsi="Times New Roman"/>
          <w:sz w:val="24"/>
          <w:szCs w:val="24"/>
        </w:rPr>
      </w:pPr>
      <w:r w:rsidRPr="00474030">
        <w:rPr>
          <w:rFonts w:ascii="Times New Roman" w:hAnsi="Times New Roman"/>
          <w:sz w:val="24"/>
          <w:szCs w:val="24"/>
        </w:rPr>
        <w:t xml:space="preserve">Over the past several years the U.S. Congress has considered many proposals to reduce GHG emissions and mandate renewable or clean energy.  One such proposal, the American Clean Energy and Security Act of 2009, </w:t>
      </w:r>
      <w:r w:rsidR="001F422D">
        <w:rPr>
          <w:rFonts w:ascii="Times New Roman" w:hAnsi="Times New Roman"/>
          <w:sz w:val="24"/>
          <w:szCs w:val="24"/>
        </w:rPr>
        <w:t>was passed by</w:t>
      </w:r>
      <w:r w:rsidRPr="00474030">
        <w:rPr>
          <w:rFonts w:ascii="Times New Roman" w:hAnsi="Times New Roman"/>
          <w:sz w:val="24"/>
          <w:szCs w:val="24"/>
        </w:rPr>
        <w:t xml:space="preserve"> the U.S. House of Representatives in 2009</w:t>
      </w:r>
      <w:r w:rsidR="00F719E4">
        <w:rPr>
          <w:rFonts w:ascii="Times New Roman" w:hAnsi="Times New Roman"/>
          <w:sz w:val="24"/>
          <w:szCs w:val="24"/>
        </w:rPr>
        <w:t xml:space="preserve"> but did not go further</w:t>
      </w:r>
      <w:r w:rsidRPr="00474030">
        <w:rPr>
          <w:rFonts w:ascii="Times New Roman" w:hAnsi="Times New Roman"/>
          <w:sz w:val="24"/>
          <w:szCs w:val="24"/>
        </w:rPr>
        <w:t>.</w:t>
      </w:r>
      <w:r w:rsidR="00764639">
        <w:rPr>
          <w:rFonts w:ascii="Times New Roman" w:hAnsi="Times New Roman"/>
          <w:sz w:val="24"/>
          <w:szCs w:val="24"/>
        </w:rPr>
        <w:t xml:space="preserve"> </w:t>
      </w:r>
      <w:r w:rsidR="00F719E4">
        <w:rPr>
          <w:rFonts w:ascii="Times New Roman" w:hAnsi="Times New Roman"/>
          <w:sz w:val="24"/>
          <w:szCs w:val="24"/>
        </w:rPr>
        <w:t xml:space="preserve"> Recently, p</w:t>
      </w:r>
      <w:r w:rsidR="00764639" w:rsidRPr="00474030">
        <w:rPr>
          <w:rFonts w:ascii="Times New Roman" w:hAnsi="Times New Roman"/>
          <w:sz w:val="24"/>
        </w:rPr>
        <w:t>roposed renewable/clean energy legislation, the Clean Energy Standard Act of 2012</w:t>
      </w:r>
      <w:r w:rsidR="00F719E4">
        <w:rPr>
          <w:rFonts w:ascii="Times New Roman" w:hAnsi="Times New Roman"/>
          <w:sz w:val="24"/>
        </w:rPr>
        <w:t>, was</w:t>
      </w:r>
      <w:r w:rsidR="00764639" w:rsidRPr="00474030">
        <w:rPr>
          <w:rFonts w:ascii="Times New Roman" w:hAnsi="Times New Roman"/>
          <w:sz w:val="24"/>
        </w:rPr>
        <w:t xml:space="preserve"> introduced on March 1, 2012 </w:t>
      </w:r>
      <w:r w:rsidR="00F719E4">
        <w:rPr>
          <w:rFonts w:ascii="Times New Roman" w:hAnsi="Times New Roman"/>
          <w:sz w:val="24"/>
        </w:rPr>
        <w:t>in the Senate and</w:t>
      </w:r>
      <w:r w:rsidR="00764639" w:rsidRPr="00474030">
        <w:rPr>
          <w:rFonts w:ascii="Times New Roman" w:hAnsi="Times New Roman"/>
          <w:sz w:val="24"/>
        </w:rPr>
        <w:t xml:space="preserve"> included requirements for electric utilities to obtain a certain percentage of their electricity from renewable sources (generally defined as traditional renewables such as wind, solar, biomass, incremental hydro, and tidal) or clean energy sources (generally defined as traditional renewables plus advanced coal generation and new nuclear). </w:t>
      </w:r>
      <w:r w:rsidR="00F719E4">
        <w:rPr>
          <w:rFonts w:ascii="Times New Roman" w:hAnsi="Times New Roman"/>
          <w:sz w:val="24"/>
        </w:rPr>
        <w:t xml:space="preserve"> </w:t>
      </w:r>
      <w:r w:rsidR="00764639">
        <w:rPr>
          <w:rFonts w:ascii="Times New Roman" w:hAnsi="Times New Roman"/>
          <w:sz w:val="24"/>
          <w:szCs w:val="24"/>
        </w:rPr>
        <w:t xml:space="preserve">In </w:t>
      </w:r>
      <w:r w:rsidR="00F719E4">
        <w:rPr>
          <w:rFonts w:ascii="Times New Roman" w:hAnsi="Times New Roman"/>
          <w:sz w:val="24"/>
          <w:szCs w:val="24"/>
        </w:rPr>
        <w:t xml:space="preserve">addition, in </w:t>
      </w:r>
      <w:r w:rsidR="00764639">
        <w:rPr>
          <w:rFonts w:ascii="Times New Roman" w:hAnsi="Times New Roman"/>
          <w:sz w:val="24"/>
          <w:szCs w:val="24"/>
        </w:rPr>
        <w:t xml:space="preserve">August 2012, </w:t>
      </w:r>
      <w:r w:rsidR="00764639" w:rsidRPr="00153EF5">
        <w:rPr>
          <w:rFonts w:ascii="Times New Roman" w:hAnsi="Times New Roman"/>
          <w:sz w:val="24"/>
          <w:szCs w:val="24"/>
        </w:rPr>
        <w:t>Rep</w:t>
      </w:r>
      <w:r w:rsidR="00764639">
        <w:rPr>
          <w:rFonts w:ascii="Times New Roman" w:hAnsi="Times New Roman"/>
          <w:sz w:val="24"/>
          <w:szCs w:val="24"/>
        </w:rPr>
        <w:t>resentative</w:t>
      </w:r>
      <w:r w:rsidR="00764639" w:rsidRPr="00153EF5">
        <w:rPr>
          <w:rFonts w:ascii="Times New Roman" w:hAnsi="Times New Roman"/>
          <w:sz w:val="24"/>
          <w:szCs w:val="24"/>
        </w:rPr>
        <w:t xml:space="preserve"> Jim McDermott</w:t>
      </w:r>
      <w:r w:rsidR="00764639">
        <w:rPr>
          <w:rFonts w:ascii="Times New Roman" w:hAnsi="Times New Roman"/>
          <w:sz w:val="24"/>
          <w:szCs w:val="24"/>
        </w:rPr>
        <w:t xml:space="preserve"> introduced a carbon tax bill that would </w:t>
      </w:r>
      <w:r w:rsidR="00764639" w:rsidRPr="00153EF5">
        <w:rPr>
          <w:rFonts w:ascii="Times New Roman" w:hAnsi="Times New Roman"/>
          <w:sz w:val="24"/>
          <w:szCs w:val="24"/>
        </w:rPr>
        <w:t xml:space="preserve">require fossil fuel producers and importers to obtain </w:t>
      </w:r>
      <w:r w:rsidR="00764639">
        <w:rPr>
          <w:rFonts w:ascii="Times New Roman" w:hAnsi="Times New Roman"/>
          <w:sz w:val="24"/>
          <w:szCs w:val="24"/>
        </w:rPr>
        <w:t xml:space="preserve">emission </w:t>
      </w:r>
      <w:r w:rsidR="00764639" w:rsidRPr="00153EF5">
        <w:rPr>
          <w:rFonts w:ascii="Times New Roman" w:hAnsi="Times New Roman"/>
          <w:sz w:val="24"/>
          <w:szCs w:val="24"/>
        </w:rPr>
        <w:t>permits.</w:t>
      </w:r>
      <w:r w:rsidR="00F719E4">
        <w:rPr>
          <w:rFonts w:ascii="Times New Roman" w:hAnsi="Times New Roman"/>
          <w:sz w:val="24"/>
          <w:szCs w:val="24"/>
        </w:rPr>
        <w:t xml:space="preserve">  </w:t>
      </w:r>
      <w:r w:rsidR="008E1B97">
        <w:rPr>
          <w:rFonts w:ascii="Times New Roman" w:hAnsi="Times New Roman"/>
          <w:sz w:val="24"/>
          <w:szCs w:val="24"/>
        </w:rPr>
        <w:t>At this time, neither of these bills has been enacted.</w:t>
      </w:r>
    </w:p>
    <w:p w:rsidR="003F0C90" w:rsidRDefault="003F0C90" w:rsidP="002A0CD0">
      <w:pPr>
        <w:spacing w:after="0" w:line="240" w:lineRule="auto"/>
        <w:rPr>
          <w:rFonts w:ascii="Times New Roman" w:hAnsi="Times New Roman"/>
          <w:sz w:val="24"/>
          <w:szCs w:val="24"/>
        </w:rPr>
      </w:pPr>
    </w:p>
    <w:p w:rsidR="00C41555" w:rsidRDefault="005374D8" w:rsidP="002A0CD0">
      <w:pPr>
        <w:spacing w:after="0" w:line="240" w:lineRule="auto"/>
        <w:rPr>
          <w:rFonts w:ascii="Times New Roman" w:hAnsi="Times New Roman"/>
          <w:sz w:val="24"/>
          <w:szCs w:val="24"/>
        </w:rPr>
      </w:pPr>
      <w:r>
        <w:rPr>
          <w:rFonts w:ascii="Times New Roman" w:hAnsi="Times New Roman"/>
          <w:sz w:val="24"/>
          <w:szCs w:val="24"/>
        </w:rPr>
        <w:t>I</w:t>
      </w:r>
      <w:r w:rsidR="00C41555" w:rsidRPr="00474030">
        <w:rPr>
          <w:rFonts w:ascii="Times New Roman" w:hAnsi="Times New Roman"/>
          <w:sz w:val="24"/>
          <w:szCs w:val="24"/>
        </w:rPr>
        <w:t xml:space="preserve">n 2011, Congress </w:t>
      </w:r>
      <w:r>
        <w:rPr>
          <w:rFonts w:ascii="Times New Roman" w:hAnsi="Times New Roman"/>
          <w:sz w:val="24"/>
          <w:szCs w:val="24"/>
        </w:rPr>
        <w:t xml:space="preserve">also </w:t>
      </w:r>
      <w:r w:rsidR="00C41555" w:rsidRPr="00474030">
        <w:rPr>
          <w:rFonts w:ascii="Times New Roman" w:hAnsi="Times New Roman"/>
          <w:sz w:val="24"/>
          <w:szCs w:val="24"/>
        </w:rPr>
        <w:t>proposed several bills that would suspend</w:t>
      </w:r>
      <w:r w:rsidR="00764639">
        <w:rPr>
          <w:rFonts w:ascii="Times New Roman" w:hAnsi="Times New Roman"/>
          <w:sz w:val="24"/>
          <w:szCs w:val="24"/>
        </w:rPr>
        <w:t>,</w:t>
      </w:r>
      <w:r w:rsidR="00C41555" w:rsidRPr="00474030">
        <w:rPr>
          <w:rFonts w:ascii="Times New Roman" w:hAnsi="Times New Roman"/>
          <w:sz w:val="24"/>
          <w:szCs w:val="24"/>
        </w:rPr>
        <w:t xml:space="preserve"> remove</w:t>
      </w:r>
      <w:r w:rsidR="00764639">
        <w:rPr>
          <w:rFonts w:ascii="Times New Roman" w:hAnsi="Times New Roman"/>
          <w:sz w:val="24"/>
          <w:szCs w:val="24"/>
        </w:rPr>
        <w:t>, or otherwise review</w:t>
      </w:r>
      <w:r w:rsidR="00C41555" w:rsidRPr="00474030">
        <w:rPr>
          <w:rFonts w:ascii="Times New Roman" w:hAnsi="Times New Roman"/>
          <w:sz w:val="24"/>
          <w:szCs w:val="24"/>
        </w:rPr>
        <w:t xml:space="preserve"> EPA’s authority to regulate GHGs</w:t>
      </w:r>
      <w:r>
        <w:rPr>
          <w:rFonts w:ascii="Times New Roman" w:hAnsi="Times New Roman"/>
          <w:sz w:val="24"/>
          <w:szCs w:val="24"/>
        </w:rPr>
        <w:t xml:space="preserve"> under the CAA</w:t>
      </w:r>
      <w:r w:rsidR="00764639">
        <w:rPr>
          <w:rFonts w:ascii="Times New Roman" w:hAnsi="Times New Roman"/>
          <w:sz w:val="24"/>
          <w:szCs w:val="24"/>
        </w:rPr>
        <w:t>, including</w:t>
      </w:r>
      <w:r w:rsidR="00C41555" w:rsidRPr="00474030">
        <w:rPr>
          <w:rFonts w:ascii="Times New Roman" w:hAnsi="Times New Roman"/>
          <w:sz w:val="24"/>
          <w:szCs w:val="24"/>
        </w:rPr>
        <w:t xml:space="preserve"> the “Energy Tax Prevention Act of 2011”, the “EPA Stationary Source Regulations Suspension Act”,</w:t>
      </w:r>
      <w:r w:rsidR="00764639">
        <w:rPr>
          <w:rFonts w:ascii="Times New Roman" w:hAnsi="Times New Roman"/>
          <w:sz w:val="24"/>
          <w:szCs w:val="24"/>
        </w:rPr>
        <w:t xml:space="preserve"> and t</w:t>
      </w:r>
      <w:r w:rsidR="00C41555" w:rsidRPr="00474030">
        <w:rPr>
          <w:rFonts w:ascii="Times New Roman" w:hAnsi="Times New Roman"/>
          <w:sz w:val="24"/>
          <w:szCs w:val="24"/>
        </w:rPr>
        <w:t>he “Transparency in Regulatory Analysis of Impacts on the Nation Act” (TRAIN Act)</w:t>
      </w:r>
      <w:r w:rsidR="00764639">
        <w:rPr>
          <w:rFonts w:ascii="Times New Roman" w:hAnsi="Times New Roman"/>
          <w:sz w:val="24"/>
          <w:szCs w:val="24"/>
        </w:rPr>
        <w:t xml:space="preserve">, which </w:t>
      </w:r>
      <w:r w:rsidR="00C41555" w:rsidRPr="00474030">
        <w:rPr>
          <w:rFonts w:ascii="Times New Roman" w:hAnsi="Times New Roman"/>
          <w:sz w:val="24"/>
          <w:szCs w:val="24"/>
        </w:rPr>
        <w:t xml:space="preserve">passed the House on Sept. 23, 2011 and required an interagency committee to analyze how </w:t>
      </w:r>
      <w:r w:rsidR="00764639">
        <w:rPr>
          <w:rFonts w:ascii="Times New Roman" w:hAnsi="Times New Roman"/>
          <w:sz w:val="24"/>
          <w:szCs w:val="24"/>
        </w:rPr>
        <w:t>GHG</w:t>
      </w:r>
      <w:r w:rsidR="00C41555" w:rsidRPr="00474030">
        <w:rPr>
          <w:rFonts w:ascii="Times New Roman" w:hAnsi="Times New Roman"/>
          <w:sz w:val="24"/>
          <w:szCs w:val="24"/>
        </w:rPr>
        <w:t xml:space="preserve"> regulations affected jobs, energy prices, electric reliability and America’s overall competitiveness.  </w:t>
      </w:r>
      <w:r w:rsidR="008E1B97">
        <w:rPr>
          <w:rFonts w:ascii="Times New Roman" w:hAnsi="Times New Roman"/>
          <w:sz w:val="24"/>
          <w:szCs w:val="24"/>
        </w:rPr>
        <w:t xml:space="preserve">At this time, none of </w:t>
      </w:r>
      <w:r w:rsidR="00C41555" w:rsidRPr="00474030">
        <w:rPr>
          <w:rFonts w:ascii="Times New Roman" w:hAnsi="Times New Roman"/>
          <w:sz w:val="24"/>
          <w:szCs w:val="24"/>
        </w:rPr>
        <w:t xml:space="preserve">these bills </w:t>
      </w:r>
      <w:r w:rsidR="008E1B97">
        <w:rPr>
          <w:rFonts w:ascii="Times New Roman" w:hAnsi="Times New Roman"/>
          <w:sz w:val="24"/>
          <w:szCs w:val="24"/>
        </w:rPr>
        <w:t>has</w:t>
      </w:r>
      <w:r w:rsidR="00C41555" w:rsidRPr="00474030">
        <w:rPr>
          <w:rFonts w:ascii="Times New Roman" w:hAnsi="Times New Roman"/>
          <w:sz w:val="24"/>
          <w:szCs w:val="24"/>
        </w:rPr>
        <w:t xml:space="preserve"> be</w:t>
      </w:r>
      <w:r w:rsidR="008E1B97">
        <w:rPr>
          <w:rFonts w:ascii="Times New Roman" w:hAnsi="Times New Roman"/>
          <w:sz w:val="24"/>
          <w:szCs w:val="24"/>
        </w:rPr>
        <w:t>en</w:t>
      </w:r>
      <w:r w:rsidR="00C41555" w:rsidRPr="00474030">
        <w:rPr>
          <w:rFonts w:ascii="Times New Roman" w:hAnsi="Times New Roman"/>
          <w:sz w:val="24"/>
          <w:szCs w:val="24"/>
        </w:rPr>
        <w:t xml:space="preserve"> enacted.</w:t>
      </w:r>
    </w:p>
    <w:p w:rsidR="00FC67F9" w:rsidRPr="00ED7E20" w:rsidRDefault="00FC67F9" w:rsidP="002A0CD0">
      <w:pPr>
        <w:spacing w:after="0" w:line="240" w:lineRule="auto"/>
        <w:rPr>
          <w:rFonts w:ascii="Times New Roman" w:hAnsi="Times New Roman"/>
        </w:rPr>
      </w:pPr>
    </w:p>
    <w:p w:rsidR="00FC67F9" w:rsidRPr="00ED7E20" w:rsidRDefault="00FC67F9" w:rsidP="002A0CD0">
      <w:pPr>
        <w:spacing w:after="0" w:line="240" w:lineRule="auto"/>
        <w:rPr>
          <w:rFonts w:ascii="Times New Roman" w:hAnsi="Times New Roman"/>
          <w:color w:val="CC0000"/>
        </w:rPr>
      </w:pPr>
      <w:r w:rsidRPr="00ED7E20">
        <w:rPr>
          <w:rFonts w:ascii="Times New Roman" w:hAnsi="Times New Roman"/>
          <w:b/>
          <w:bCs/>
          <w:color w:val="000080"/>
          <w:sz w:val="24"/>
          <w:szCs w:val="24"/>
        </w:rPr>
        <w:t>Global Climate Change – International</w:t>
      </w:r>
      <w:r w:rsidRPr="00ED7E20">
        <w:rPr>
          <w:rFonts w:ascii="Times New Roman" w:hAnsi="Times New Roman"/>
          <w:color w:val="CC0000"/>
        </w:rPr>
        <w:t xml:space="preserve"> </w:t>
      </w:r>
    </w:p>
    <w:p w:rsidR="00FC67F9" w:rsidRPr="00ED7E20" w:rsidRDefault="00FC67F9" w:rsidP="002A0CD0">
      <w:pPr>
        <w:spacing w:after="0" w:line="240" w:lineRule="auto"/>
        <w:rPr>
          <w:rFonts w:ascii="Times New Roman" w:hAnsi="Times New Roman"/>
          <w:sz w:val="28"/>
          <w:szCs w:val="24"/>
          <w:highlight w:val="lightGray"/>
        </w:rPr>
      </w:pPr>
      <w:r w:rsidRPr="00ED7E20">
        <w:rPr>
          <w:rFonts w:ascii="Times New Roman" w:hAnsi="Times New Roman"/>
          <w:sz w:val="24"/>
        </w:rPr>
        <w:t xml:space="preserve">International climate change negotiations under the United Nations Framework Convention on Climate Change continue.  The December 2009 negotiations in Copenhagen resulted in a nonbinding agreement that included a pledge from both developed and developing countries to reduce their greenhouse gas emissions.  The </w:t>
      </w:r>
      <w:r w:rsidR="00D6038F">
        <w:rPr>
          <w:rFonts w:ascii="Times New Roman" w:hAnsi="Times New Roman"/>
          <w:sz w:val="24"/>
        </w:rPr>
        <w:t>next</w:t>
      </w:r>
      <w:r w:rsidRPr="00ED7E20">
        <w:rPr>
          <w:rFonts w:ascii="Times New Roman" w:hAnsi="Times New Roman"/>
          <w:sz w:val="24"/>
        </w:rPr>
        <w:t xml:space="preserve"> round of negotiations took place in Cancun in December 2010. T</w:t>
      </w:r>
      <w:r w:rsidRPr="00ED7E20">
        <w:rPr>
          <w:rFonts w:ascii="Times New Roman" w:hAnsi="Times New Roman"/>
          <w:sz w:val="24"/>
          <w:szCs w:val="24"/>
        </w:rPr>
        <w:t xml:space="preserve">he meeting’s resulting Cancun Agreements established a framework for moving forward under the two tracks of the UNFCCC and the Kyoto Protocol.  The Agreements took the initial steps to implement the operational elements of the Copenhagen Accord which includes: a process to include the mitigation pledges by developed and developing countries; the creation of the Cancun Adaptation Framework to manage the development and implementation of adaptation strategies; the monitoring, reporting and verification of actions to achieve mitigation pledges; establishing a long-term financing mechanism and the creation of a Green Climate Fund; the creation of a technology mechanism for the development and transfer of technology to support mitigation and adaptation efforts; and a suite of forest sector activities (e.g., conservation of forest carbon stocks). However, resolution of many key issues – such as whether there will be a second commitment period under the Kyoto Protocol – was left to be handled through a series of workshops and expert group meetings leading up to COP-17 and CMP 7 in Durban, South Africa at the end of 2011. </w:t>
      </w:r>
      <w:r w:rsidRPr="00ED7E20">
        <w:rPr>
          <w:rFonts w:ascii="Times New Roman" w:hAnsi="Times New Roman"/>
          <w:sz w:val="24"/>
        </w:rPr>
        <w:t xml:space="preserve"> </w:t>
      </w:r>
    </w:p>
    <w:p w:rsidR="00FC67F9" w:rsidRDefault="00FC67F9" w:rsidP="002A0CD0">
      <w:pPr>
        <w:spacing w:after="0" w:line="240" w:lineRule="auto"/>
        <w:rPr>
          <w:rFonts w:ascii="Times New Roman" w:hAnsi="Times New Roman"/>
          <w:sz w:val="24"/>
          <w:szCs w:val="24"/>
        </w:rPr>
      </w:pPr>
    </w:p>
    <w:p w:rsidR="00D6038F" w:rsidRDefault="00555788" w:rsidP="002A0CD0">
      <w:pPr>
        <w:spacing w:after="0" w:line="240" w:lineRule="auto"/>
        <w:rPr>
          <w:rFonts w:ascii="Times New Roman" w:hAnsi="Times New Roman"/>
          <w:sz w:val="24"/>
        </w:rPr>
      </w:pPr>
      <w:r w:rsidRPr="00555788">
        <w:rPr>
          <w:rFonts w:ascii="Times New Roman" w:hAnsi="Times New Roman"/>
          <w:sz w:val="24"/>
        </w:rPr>
        <w:t xml:space="preserve">In December 2011, the COP-17 and CMP-7 meetings took place in Durban, South Africa. These meetings resulted in establishing a process seeking to yield a legal instrument applying to all countries by 2016 that would enter into force in 2020. In the meantime, a second commitment period under the Kyoto Protocol will commence in 2013, with its duration and other details, including mitigation targets, to be decided. Also, these meetings resulted in formally establishing the Green Climate Fund; defining a new market mechanism, to be elaborated upon in 2012; clarifying the Parties pledged mitigation targets for 2020; adopting reporting guidelines for mitigation and financing; and identifying carbon dioxide capture and storage in geologic formations as an eligible Clean Development Mechanism (CDM) project. </w:t>
      </w:r>
    </w:p>
    <w:p w:rsidR="00D6038F" w:rsidRDefault="00D6038F" w:rsidP="002A0CD0">
      <w:pPr>
        <w:spacing w:after="0" w:line="240" w:lineRule="auto"/>
        <w:rPr>
          <w:rFonts w:ascii="Times New Roman" w:hAnsi="Times New Roman"/>
          <w:sz w:val="24"/>
        </w:rPr>
      </w:pPr>
    </w:p>
    <w:p w:rsidR="00131FC1" w:rsidRPr="00131FC1" w:rsidRDefault="00D6038F" w:rsidP="002A0CD0">
      <w:pPr>
        <w:spacing w:after="0" w:line="240" w:lineRule="auto"/>
        <w:rPr>
          <w:rFonts w:ascii="Times New Roman" w:hAnsi="Times New Roman"/>
          <w:sz w:val="24"/>
        </w:rPr>
      </w:pPr>
      <w:r>
        <w:rPr>
          <w:rFonts w:ascii="Times New Roman" w:hAnsi="Times New Roman"/>
          <w:sz w:val="24"/>
        </w:rPr>
        <w:t xml:space="preserve">The latest meeting of the </w:t>
      </w:r>
      <w:r w:rsidRPr="00ED7E20">
        <w:rPr>
          <w:rFonts w:ascii="Times New Roman" w:hAnsi="Times New Roman"/>
          <w:sz w:val="24"/>
        </w:rPr>
        <w:t>United Nations Framework Convention on Climate Change</w:t>
      </w:r>
      <w:r w:rsidRPr="00555788">
        <w:rPr>
          <w:rFonts w:ascii="Times New Roman" w:hAnsi="Times New Roman"/>
          <w:sz w:val="24"/>
        </w:rPr>
        <w:t xml:space="preserve"> </w:t>
      </w:r>
      <w:r>
        <w:rPr>
          <w:rFonts w:ascii="Times New Roman" w:hAnsi="Times New Roman"/>
          <w:sz w:val="24"/>
        </w:rPr>
        <w:t>occurred in Doha, Qatar in November and Dec</w:t>
      </w:r>
      <w:r w:rsidR="001F422D">
        <w:rPr>
          <w:rFonts w:ascii="Times New Roman" w:hAnsi="Times New Roman"/>
          <w:sz w:val="24"/>
        </w:rPr>
        <w:t>e</w:t>
      </w:r>
      <w:r>
        <w:rPr>
          <w:rFonts w:ascii="Times New Roman" w:hAnsi="Times New Roman"/>
          <w:sz w:val="24"/>
        </w:rPr>
        <w:t>mber of 2012 with COP-18 and CMP-8.  At these meetings there were three different streams of negotiations, resulting in three overlapping, but independ</w:t>
      </w:r>
      <w:r w:rsidR="004948CF">
        <w:rPr>
          <w:rFonts w:ascii="Times New Roman" w:hAnsi="Times New Roman"/>
          <w:sz w:val="24"/>
        </w:rPr>
        <w:t xml:space="preserve">ent agreements. </w:t>
      </w:r>
      <w:r>
        <w:rPr>
          <w:rFonts w:ascii="Times New Roman" w:hAnsi="Times New Roman"/>
          <w:sz w:val="24"/>
        </w:rPr>
        <w:t xml:space="preserve"> </w:t>
      </w:r>
      <w:r w:rsidR="004948CF">
        <w:rPr>
          <w:rFonts w:ascii="Times New Roman" w:hAnsi="Times New Roman"/>
          <w:sz w:val="24"/>
        </w:rPr>
        <w:t>First t</w:t>
      </w:r>
      <w:r w:rsidR="004948CF" w:rsidRPr="004948CF">
        <w:rPr>
          <w:rFonts w:ascii="Times New Roman" w:hAnsi="Times New Roman"/>
          <w:sz w:val="24"/>
        </w:rPr>
        <w:t>he Kyoto Protocol was reauthorized for another seven years, al</w:t>
      </w:r>
      <w:r w:rsidR="004948CF">
        <w:rPr>
          <w:rFonts w:ascii="Times New Roman" w:hAnsi="Times New Roman"/>
          <w:sz w:val="24"/>
        </w:rPr>
        <w:t xml:space="preserve">though </w:t>
      </w:r>
      <w:r w:rsidR="004948CF" w:rsidRPr="004948CF">
        <w:rPr>
          <w:rFonts w:ascii="Times New Roman" w:hAnsi="Times New Roman"/>
          <w:sz w:val="24"/>
        </w:rPr>
        <w:t xml:space="preserve">with fewer countries </w:t>
      </w:r>
      <w:r w:rsidR="004948CF">
        <w:rPr>
          <w:rFonts w:ascii="Times New Roman" w:hAnsi="Times New Roman"/>
          <w:sz w:val="24"/>
        </w:rPr>
        <w:t>and</w:t>
      </w:r>
      <w:r w:rsidR="004948CF" w:rsidRPr="004948CF">
        <w:rPr>
          <w:rFonts w:ascii="Times New Roman" w:hAnsi="Times New Roman"/>
          <w:sz w:val="24"/>
        </w:rPr>
        <w:t xml:space="preserve"> covering 12 or 15 percent of global emissions </w:t>
      </w:r>
      <w:r w:rsidR="004948CF">
        <w:rPr>
          <w:rFonts w:ascii="Times New Roman" w:hAnsi="Times New Roman"/>
          <w:sz w:val="24"/>
        </w:rPr>
        <w:t xml:space="preserve"> Second, </w:t>
      </w:r>
      <w:r w:rsidR="004948CF" w:rsidRPr="004948CF">
        <w:rPr>
          <w:rFonts w:ascii="Times New Roman" w:hAnsi="Times New Roman"/>
          <w:sz w:val="24"/>
        </w:rPr>
        <w:t xml:space="preserve">governments from </w:t>
      </w:r>
      <w:r w:rsidR="004948CF">
        <w:rPr>
          <w:rFonts w:ascii="Times New Roman" w:hAnsi="Times New Roman"/>
          <w:sz w:val="24"/>
        </w:rPr>
        <w:t xml:space="preserve">both </w:t>
      </w:r>
      <w:r w:rsidR="004948CF" w:rsidRPr="004948CF">
        <w:rPr>
          <w:rFonts w:ascii="Times New Roman" w:hAnsi="Times New Roman"/>
          <w:sz w:val="24"/>
        </w:rPr>
        <w:t xml:space="preserve">developed and developing countries representing over 80 percent of global emissions announced measures for </w:t>
      </w:r>
      <w:r w:rsidR="00246B91" w:rsidRPr="00246B91">
        <w:rPr>
          <w:rFonts w:ascii="Times New Roman" w:hAnsi="Times New Roman"/>
          <w:sz w:val="24"/>
        </w:rPr>
        <w:t xml:space="preserve">voluntary </w:t>
      </w:r>
      <w:r w:rsidR="004948CF" w:rsidRPr="004948CF">
        <w:rPr>
          <w:rFonts w:ascii="Times New Roman" w:hAnsi="Times New Roman"/>
          <w:sz w:val="24"/>
        </w:rPr>
        <w:t xml:space="preserve">reductions up to 2020. </w:t>
      </w:r>
      <w:r w:rsidR="00246B91">
        <w:rPr>
          <w:rFonts w:ascii="Times New Roman" w:hAnsi="Times New Roman"/>
          <w:sz w:val="24"/>
        </w:rPr>
        <w:t xml:space="preserve">Finally, </w:t>
      </w:r>
      <w:r w:rsidR="00246B91" w:rsidRPr="00246B91">
        <w:rPr>
          <w:rFonts w:ascii="Times New Roman" w:hAnsi="Times New Roman"/>
          <w:sz w:val="24"/>
        </w:rPr>
        <w:t>the parties agreed to “immediately proceed with substantive discussions”</w:t>
      </w:r>
      <w:r w:rsidR="00246B91">
        <w:rPr>
          <w:rFonts w:ascii="Times New Roman" w:hAnsi="Times New Roman"/>
          <w:sz w:val="24"/>
        </w:rPr>
        <w:t xml:space="preserve"> for a new treaty to replace Kyoto.  T</w:t>
      </w:r>
      <w:r w:rsidR="00246B91" w:rsidRPr="00246B91">
        <w:rPr>
          <w:rFonts w:ascii="Times New Roman" w:hAnsi="Times New Roman"/>
          <w:sz w:val="24"/>
        </w:rPr>
        <w:t xml:space="preserve">his new treaty will be </w:t>
      </w:r>
      <w:r w:rsidR="00246B91">
        <w:rPr>
          <w:rFonts w:ascii="Times New Roman" w:hAnsi="Times New Roman"/>
          <w:sz w:val="24"/>
        </w:rPr>
        <w:t>for both the developed and the developing world and will</w:t>
      </w:r>
      <w:r w:rsidR="00246B91" w:rsidRPr="00246B91">
        <w:rPr>
          <w:rFonts w:ascii="Times New Roman" w:hAnsi="Times New Roman"/>
          <w:sz w:val="24"/>
        </w:rPr>
        <w:t xml:space="preserve"> address the current gap between </w:t>
      </w:r>
      <w:r w:rsidR="00246B91">
        <w:rPr>
          <w:rFonts w:ascii="Times New Roman" w:hAnsi="Times New Roman"/>
          <w:sz w:val="24"/>
        </w:rPr>
        <w:t>voluntary reductions and those needed to stabilize the climate to an increase of less than 2° Celsius</w:t>
      </w:r>
      <w:r w:rsidR="00246B91" w:rsidRPr="00246B91">
        <w:rPr>
          <w:rFonts w:ascii="Times New Roman" w:hAnsi="Times New Roman"/>
          <w:sz w:val="24"/>
        </w:rPr>
        <w:t xml:space="preserve">. </w:t>
      </w:r>
      <w:r w:rsidR="00246B91">
        <w:rPr>
          <w:rFonts w:ascii="Times New Roman" w:hAnsi="Times New Roman"/>
          <w:sz w:val="24"/>
        </w:rPr>
        <w:t xml:space="preserve"> However, t</w:t>
      </w:r>
      <w:r w:rsidR="00246B91" w:rsidRPr="00555788">
        <w:rPr>
          <w:rFonts w:ascii="Times New Roman" w:hAnsi="Times New Roman"/>
          <w:sz w:val="24"/>
        </w:rPr>
        <w:t xml:space="preserve">he </w:t>
      </w:r>
      <w:r w:rsidR="00555788" w:rsidRPr="00555788">
        <w:rPr>
          <w:rFonts w:ascii="Times New Roman" w:hAnsi="Times New Roman"/>
          <w:sz w:val="24"/>
        </w:rPr>
        <w:t>outcome and impact of these international negotiations cannot be determined at this time.</w:t>
      </w:r>
    </w:p>
    <w:p w:rsidR="00131FC1" w:rsidRPr="00ED7E20" w:rsidRDefault="00131FC1" w:rsidP="002A0CD0">
      <w:pPr>
        <w:spacing w:after="0" w:line="240" w:lineRule="auto"/>
        <w:rPr>
          <w:rFonts w:ascii="Times New Roman" w:hAnsi="Times New Roman"/>
          <w:sz w:val="24"/>
          <w:szCs w:val="24"/>
        </w:rPr>
      </w:pPr>
    </w:p>
    <w:p w:rsidR="00FC67F9" w:rsidRPr="00ED7E20" w:rsidRDefault="001570BB" w:rsidP="002A0CD0">
      <w:pPr>
        <w:keepNext/>
        <w:autoSpaceDE w:val="0"/>
        <w:autoSpaceDN w:val="0"/>
        <w:adjustRightInd w:val="0"/>
        <w:spacing w:after="0" w:line="240" w:lineRule="auto"/>
        <w:rPr>
          <w:rFonts w:ascii="Times New Roman" w:hAnsi="Times New Roman"/>
          <w:b/>
          <w:bCs/>
          <w:color w:val="000080"/>
          <w:sz w:val="24"/>
          <w:szCs w:val="24"/>
        </w:rPr>
      </w:pPr>
      <w:r>
        <w:rPr>
          <w:rFonts w:ascii="Times New Roman" w:hAnsi="Times New Roman"/>
          <w:b/>
          <w:bCs/>
          <w:color w:val="000080"/>
          <w:sz w:val="24"/>
          <w:szCs w:val="24"/>
        </w:rPr>
        <w:t>Greenhouse Gas</w:t>
      </w:r>
      <w:r w:rsidR="00FC67F9" w:rsidRPr="00ED7E20">
        <w:rPr>
          <w:rFonts w:ascii="Times New Roman" w:hAnsi="Times New Roman"/>
          <w:b/>
          <w:bCs/>
          <w:color w:val="000080"/>
          <w:sz w:val="14"/>
          <w:szCs w:val="14"/>
        </w:rPr>
        <w:t xml:space="preserve"> </w:t>
      </w:r>
      <w:r w:rsidR="00FC67F9" w:rsidRPr="00ED7E20">
        <w:rPr>
          <w:rFonts w:ascii="Times New Roman" w:hAnsi="Times New Roman"/>
          <w:b/>
          <w:bCs/>
          <w:color w:val="000080"/>
          <w:sz w:val="24"/>
          <w:szCs w:val="24"/>
        </w:rPr>
        <w:t>Regulation</w:t>
      </w:r>
      <w:r w:rsidR="00C41555">
        <w:rPr>
          <w:rFonts w:ascii="Times New Roman" w:hAnsi="Times New Roman"/>
          <w:b/>
          <w:bCs/>
          <w:color w:val="000080"/>
          <w:sz w:val="24"/>
          <w:szCs w:val="24"/>
        </w:rPr>
        <w:t xml:space="preserve"> - Backgrou</w:t>
      </w:r>
      <w:r w:rsidR="003F0C90">
        <w:rPr>
          <w:rFonts w:ascii="Times New Roman" w:hAnsi="Times New Roman"/>
          <w:b/>
          <w:bCs/>
          <w:color w:val="000080"/>
          <w:sz w:val="24"/>
          <w:szCs w:val="24"/>
        </w:rPr>
        <w:t>n</w:t>
      </w:r>
      <w:r w:rsidR="00C41555">
        <w:rPr>
          <w:rFonts w:ascii="Times New Roman" w:hAnsi="Times New Roman"/>
          <w:b/>
          <w:bCs/>
          <w:color w:val="000080"/>
          <w:sz w:val="24"/>
          <w:szCs w:val="24"/>
        </w:rPr>
        <w:t>d</w:t>
      </w:r>
    </w:p>
    <w:p w:rsidR="00706F1E" w:rsidRDefault="00FC67F9" w:rsidP="002A0CD0">
      <w:pPr>
        <w:autoSpaceDE w:val="0"/>
        <w:autoSpaceDN w:val="0"/>
        <w:adjustRightInd w:val="0"/>
        <w:spacing w:after="0" w:line="240" w:lineRule="auto"/>
        <w:rPr>
          <w:rFonts w:ascii="Times New Roman" w:hAnsi="Times New Roman"/>
          <w:sz w:val="24"/>
          <w:szCs w:val="24"/>
        </w:rPr>
      </w:pPr>
      <w:r w:rsidRPr="00ED7E20">
        <w:rPr>
          <w:rFonts w:ascii="Times New Roman" w:hAnsi="Times New Roman"/>
          <w:sz w:val="24"/>
          <w:szCs w:val="24"/>
        </w:rPr>
        <w:t xml:space="preserve">In April 2007, the U.S. Supreme Court ruled that the EPA has authority under the Clean Air Act to regulate greenhouse gas emissions from new motor vehicles.  </w:t>
      </w:r>
      <w:r w:rsidR="00DA0127">
        <w:rPr>
          <w:rFonts w:ascii="Times New Roman" w:hAnsi="Times New Roman"/>
          <w:sz w:val="24"/>
          <w:szCs w:val="24"/>
        </w:rPr>
        <w:t>In December 2008, EPA published what is known as the “Johnson Memo,” in which the then-Administrator of EPA offered the interpretation that</w:t>
      </w:r>
      <w:r w:rsidR="00706F1E">
        <w:rPr>
          <w:rFonts w:ascii="Times New Roman" w:hAnsi="Times New Roman"/>
          <w:sz w:val="24"/>
          <w:szCs w:val="24"/>
        </w:rPr>
        <w:t xml:space="preserve"> carbon dioxide was not subject to federal permitting requirements for stationary sources because CO</w:t>
      </w:r>
      <w:r w:rsidR="00706F1E">
        <w:rPr>
          <w:rFonts w:ascii="Times New Roman" w:hAnsi="Times New Roman"/>
          <w:sz w:val="24"/>
          <w:szCs w:val="24"/>
          <w:vertAlign w:val="subscript"/>
        </w:rPr>
        <w:t>2</w:t>
      </w:r>
      <w:r w:rsidR="00706F1E">
        <w:rPr>
          <w:rFonts w:ascii="Times New Roman" w:hAnsi="Times New Roman"/>
          <w:sz w:val="24"/>
          <w:szCs w:val="24"/>
        </w:rPr>
        <w:t xml:space="preserve"> was not a regulated pollutant at the time.  However, EPA subsequently reconsidered many aspects of the Johnson Memo and also decided that stationary sources, such as power plants, would indeed become subject to federal permitting requirements for CO</w:t>
      </w:r>
      <w:r w:rsidR="00706F1E">
        <w:rPr>
          <w:rFonts w:ascii="Times New Roman" w:hAnsi="Times New Roman"/>
          <w:sz w:val="24"/>
          <w:szCs w:val="24"/>
          <w:vertAlign w:val="subscript"/>
        </w:rPr>
        <w:t>2</w:t>
      </w:r>
      <w:r w:rsidR="00706F1E">
        <w:rPr>
          <w:rFonts w:ascii="Times New Roman" w:hAnsi="Times New Roman"/>
          <w:sz w:val="24"/>
          <w:szCs w:val="24"/>
        </w:rPr>
        <w:t xml:space="preserve"> and other greenhouse emissions once EPA established any regulations controlling greenhouse gas emissions.  I</w:t>
      </w:r>
      <w:r w:rsidRPr="00ED7E20">
        <w:rPr>
          <w:rFonts w:ascii="Times New Roman" w:hAnsi="Times New Roman"/>
          <w:sz w:val="24"/>
          <w:szCs w:val="24"/>
        </w:rPr>
        <w:t>n December 2009</w:t>
      </w:r>
      <w:r w:rsidR="00706F1E">
        <w:rPr>
          <w:rFonts w:ascii="Times New Roman" w:hAnsi="Times New Roman"/>
          <w:sz w:val="24"/>
          <w:szCs w:val="24"/>
        </w:rPr>
        <w:t xml:space="preserve">, EPA </w:t>
      </w:r>
      <w:r w:rsidRPr="00ED7E20">
        <w:rPr>
          <w:rFonts w:ascii="Times New Roman" w:hAnsi="Times New Roman"/>
          <w:sz w:val="24"/>
          <w:szCs w:val="24"/>
        </w:rPr>
        <w:t xml:space="preserve">published a final determination, which became effective on January 14, 2010, that certain greenhouse gas emissions from new motor vehicles endanger public health and welfare due to climate change.  On April 1, 2010, the EPA issued a final rule regulating greenhouse gas emissions from new motor vehicles under the Clean Air Act.  EPA has taken the position that once this rule went into effect on January 2, 2011, carbon dioxide and other greenhouse gases became regulated pollutants under the Prevention of Significant Deterioration (PSD) preconstruction permit program and the Title V operating permit program, which both apply to power plants.  As a result, the construction of new facilities or the major modification of existing facilities could trigger the requirement for a PSD permit and the installation of the best available control technology for carbon dioxide and other greenhouse gases.  </w:t>
      </w:r>
    </w:p>
    <w:p w:rsidR="00706F1E" w:rsidRDefault="00706F1E" w:rsidP="002A0CD0">
      <w:pPr>
        <w:autoSpaceDE w:val="0"/>
        <w:autoSpaceDN w:val="0"/>
        <w:adjustRightInd w:val="0"/>
        <w:spacing w:after="0" w:line="240" w:lineRule="auto"/>
        <w:rPr>
          <w:rFonts w:ascii="Times New Roman" w:hAnsi="Times New Roman"/>
          <w:sz w:val="24"/>
          <w:szCs w:val="24"/>
        </w:rPr>
      </w:pPr>
    </w:p>
    <w:p w:rsidR="00FC67F9" w:rsidRDefault="00FC67F9" w:rsidP="002A0CD0">
      <w:pPr>
        <w:autoSpaceDE w:val="0"/>
        <w:autoSpaceDN w:val="0"/>
        <w:adjustRightInd w:val="0"/>
        <w:spacing w:after="0" w:line="240" w:lineRule="auto"/>
        <w:rPr>
          <w:rFonts w:ascii="Times New Roman" w:hAnsi="Times New Roman"/>
          <w:sz w:val="24"/>
          <w:szCs w:val="24"/>
        </w:rPr>
      </w:pPr>
      <w:r w:rsidRPr="00ED7E20">
        <w:rPr>
          <w:rFonts w:ascii="Times New Roman" w:hAnsi="Times New Roman"/>
          <w:sz w:val="24"/>
          <w:szCs w:val="24"/>
        </w:rPr>
        <w:t xml:space="preserve">On May 13, 2010, the EPA issued a final rule, referred to as the Tailoring Rule, governing how these programs would be applied to stationary sources, including power plants.  </w:t>
      </w:r>
      <w:r w:rsidR="00C41555">
        <w:rPr>
          <w:rFonts w:ascii="Times New Roman" w:hAnsi="Times New Roman"/>
          <w:sz w:val="24"/>
          <w:szCs w:val="24"/>
        </w:rPr>
        <w:t>In accordance with the Tailoring Rule, a</w:t>
      </w:r>
      <w:r w:rsidR="00C41555" w:rsidRPr="00B55FF7">
        <w:rPr>
          <w:rFonts w:ascii="Times New Roman" w:hAnsi="Times New Roman"/>
          <w:sz w:val="24"/>
          <w:szCs w:val="24"/>
        </w:rPr>
        <w:t>s of January 2, 2011, new and modified sources that have GHG emissions over the thresholds (100,000 tons per year (tpy) for new sources and increases over 75,000 tpy for existing sources) must go through the prevention of significant deterioration (PSD) permitting process including installation of the best available control technology (BACT) for CO</w:t>
      </w:r>
      <w:r w:rsidR="00C41555" w:rsidRPr="00474030">
        <w:rPr>
          <w:rFonts w:ascii="Times New Roman" w:hAnsi="Times New Roman"/>
          <w:sz w:val="24"/>
          <w:szCs w:val="24"/>
          <w:vertAlign w:val="subscript"/>
        </w:rPr>
        <w:t>2</w:t>
      </w:r>
      <w:r w:rsidR="00C41555" w:rsidRPr="00B55FF7">
        <w:rPr>
          <w:rFonts w:ascii="Times New Roman" w:hAnsi="Times New Roman"/>
          <w:sz w:val="24"/>
          <w:szCs w:val="24"/>
        </w:rPr>
        <w:t xml:space="preserve"> and other GHGs</w:t>
      </w:r>
      <w:r w:rsidR="00C41555">
        <w:rPr>
          <w:rFonts w:ascii="Times New Roman" w:hAnsi="Times New Roman"/>
          <w:sz w:val="24"/>
          <w:szCs w:val="24"/>
        </w:rPr>
        <w:t>.</w:t>
      </w:r>
      <w:r w:rsidR="00F97D0F">
        <w:rPr>
          <w:rFonts w:ascii="Times New Roman" w:hAnsi="Times New Roman"/>
          <w:sz w:val="24"/>
          <w:szCs w:val="24"/>
        </w:rPr>
        <w:t xml:space="preserve">  Although in a July 2012 action, EPA decided against lowering the GHG permitting thresholds, the agency is scheduled to complete additional review of the appropriateness of lower thresholds by April 30, 2016.</w:t>
      </w:r>
      <w:r w:rsidRPr="00ED7E20">
        <w:rPr>
          <w:rFonts w:ascii="Times New Roman" w:hAnsi="Times New Roman"/>
          <w:sz w:val="24"/>
          <w:szCs w:val="24"/>
        </w:rPr>
        <w:t xml:space="preserve"> </w:t>
      </w:r>
    </w:p>
    <w:p w:rsidR="00FC67F9" w:rsidRPr="00ED7E20" w:rsidRDefault="00FC67F9" w:rsidP="002A0CD0">
      <w:pPr>
        <w:autoSpaceDE w:val="0"/>
        <w:autoSpaceDN w:val="0"/>
        <w:adjustRightInd w:val="0"/>
        <w:spacing w:after="0" w:line="240" w:lineRule="auto"/>
        <w:rPr>
          <w:rFonts w:ascii="Times New Roman" w:hAnsi="Times New Roman"/>
          <w:sz w:val="24"/>
          <w:szCs w:val="24"/>
        </w:rPr>
      </w:pPr>
    </w:p>
    <w:p w:rsidR="00E45DE0" w:rsidRPr="00ED7E20" w:rsidRDefault="00FC67F9" w:rsidP="002A0CD0">
      <w:pPr>
        <w:autoSpaceDE w:val="0"/>
        <w:autoSpaceDN w:val="0"/>
        <w:adjustRightInd w:val="0"/>
        <w:spacing w:after="0" w:line="240" w:lineRule="auto"/>
        <w:rPr>
          <w:rFonts w:ascii="Times New Roman" w:hAnsi="Times New Roman"/>
          <w:sz w:val="24"/>
          <w:szCs w:val="24"/>
        </w:rPr>
      </w:pPr>
      <w:r w:rsidRPr="00ED7E20">
        <w:rPr>
          <w:rFonts w:ascii="Times New Roman" w:hAnsi="Times New Roman"/>
          <w:sz w:val="24"/>
          <w:szCs w:val="24"/>
        </w:rPr>
        <w:t xml:space="preserve">These greenhouse gas regulations </w:t>
      </w:r>
      <w:r w:rsidR="00C41555">
        <w:rPr>
          <w:rFonts w:ascii="Times New Roman" w:hAnsi="Times New Roman"/>
          <w:sz w:val="24"/>
          <w:szCs w:val="24"/>
        </w:rPr>
        <w:t>have been</w:t>
      </w:r>
      <w:r w:rsidRPr="00ED7E20">
        <w:rPr>
          <w:rFonts w:ascii="Times New Roman" w:hAnsi="Times New Roman"/>
          <w:sz w:val="24"/>
          <w:szCs w:val="24"/>
        </w:rPr>
        <w:t xml:space="preserve"> litigated.  On December 10, 2010, the D.C. Circuit denied the motions for a stay of EPA's GHG rules, which had been filed by Texas and a number of industry petitioners. The challenges to the reconsideration of the Johnson Memo and the Tailoring Rule </w:t>
      </w:r>
      <w:r w:rsidR="00C41555">
        <w:rPr>
          <w:rFonts w:ascii="Times New Roman" w:hAnsi="Times New Roman"/>
          <w:sz w:val="24"/>
          <w:szCs w:val="24"/>
        </w:rPr>
        <w:t>were</w:t>
      </w:r>
      <w:r w:rsidRPr="00ED7E20">
        <w:rPr>
          <w:rFonts w:ascii="Times New Roman" w:hAnsi="Times New Roman"/>
          <w:sz w:val="24"/>
          <w:szCs w:val="24"/>
        </w:rPr>
        <w:t xml:space="preserve"> consolidated so there </w:t>
      </w:r>
      <w:r w:rsidR="00C41555">
        <w:rPr>
          <w:rFonts w:ascii="Times New Roman" w:hAnsi="Times New Roman"/>
          <w:sz w:val="24"/>
          <w:szCs w:val="24"/>
        </w:rPr>
        <w:t>were</w:t>
      </w:r>
      <w:r w:rsidR="00C41555" w:rsidRPr="00ED7E20">
        <w:rPr>
          <w:rFonts w:ascii="Times New Roman" w:hAnsi="Times New Roman"/>
          <w:sz w:val="24"/>
          <w:szCs w:val="24"/>
        </w:rPr>
        <w:t xml:space="preserve"> </w:t>
      </w:r>
      <w:r w:rsidRPr="00ED7E20">
        <w:rPr>
          <w:rFonts w:ascii="Times New Roman" w:hAnsi="Times New Roman"/>
          <w:sz w:val="24"/>
          <w:szCs w:val="24"/>
        </w:rPr>
        <w:t xml:space="preserve">three cases involving EPA’s GHG rules before the U.S. Circuit Court of Appeals for the District of Columbia.  </w:t>
      </w:r>
      <w:r w:rsidR="00C41555">
        <w:rPr>
          <w:rFonts w:ascii="Times New Roman" w:hAnsi="Times New Roman"/>
          <w:sz w:val="24"/>
          <w:szCs w:val="24"/>
        </w:rPr>
        <w:t>On June 26, 2012, the Court upheld these EPA rules.  All petitions to review were dismissed or denied.</w:t>
      </w:r>
    </w:p>
    <w:p w:rsidR="00FC67F9" w:rsidRDefault="00FC67F9" w:rsidP="002A0CD0">
      <w:pPr>
        <w:autoSpaceDE w:val="0"/>
        <w:autoSpaceDN w:val="0"/>
        <w:adjustRightInd w:val="0"/>
        <w:spacing w:after="0" w:line="240" w:lineRule="auto"/>
        <w:rPr>
          <w:rFonts w:ascii="Times New Roman" w:hAnsi="Times New Roman"/>
          <w:sz w:val="24"/>
          <w:szCs w:val="24"/>
        </w:rPr>
      </w:pPr>
    </w:p>
    <w:p w:rsidR="00E2622E" w:rsidRPr="00ED7E20" w:rsidRDefault="00E2622E" w:rsidP="00E2622E">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EPA has also issued a temporary deferral of the accounting of biogenic CO</w:t>
      </w:r>
      <w:r w:rsidR="00EA4B45" w:rsidRPr="00EA4B45">
        <w:rPr>
          <w:rFonts w:ascii="Times New Roman" w:hAnsi="Times New Roman"/>
          <w:sz w:val="24"/>
          <w:szCs w:val="24"/>
          <w:vertAlign w:val="subscript"/>
        </w:rPr>
        <w:t>2</w:t>
      </w:r>
      <w:r>
        <w:rPr>
          <w:rFonts w:ascii="Times New Roman" w:hAnsi="Times New Roman"/>
          <w:sz w:val="24"/>
          <w:szCs w:val="24"/>
        </w:rPr>
        <w:t xml:space="preserve"> emissions, such as emitted from biomass-fired power plants, for PSD permitting purposes.  This deferral was finalized in July of 2011 and allows sources of biogenic CO</w:t>
      </w:r>
      <w:r w:rsidR="002F1DF0" w:rsidRPr="002F1DF0">
        <w:rPr>
          <w:rFonts w:ascii="Times New Roman" w:hAnsi="Times New Roman"/>
          <w:sz w:val="24"/>
          <w:szCs w:val="24"/>
          <w:vertAlign w:val="subscript"/>
        </w:rPr>
        <w:t>2</w:t>
      </w:r>
      <w:r>
        <w:rPr>
          <w:rFonts w:ascii="Times New Roman" w:hAnsi="Times New Roman"/>
          <w:sz w:val="24"/>
          <w:szCs w:val="24"/>
        </w:rPr>
        <w:t xml:space="preserve"> emissions to count only emissions of other GHG and non-biogenic CO</w:t>
      </w:r>
      <w:r w:rsidR="002F1DF0" w:rsidRPr="002F1DF0">
        <w:rPr>
          <w:rFonts w:ascii="Times New Roman" w:hAnsi="Times New Roman"/>
          <w:sz w:val="24"/>
          <w:szCs w:val="24"/>
          <w:vertAlign w:val="subscript"/>
        </w:rPr>
        <w:t>2</w:t>
      </w:r>
      <w:r>
        <w:rPr>
          <w:rFonts w:ascii="Times New Roman" w:hAnsi="Times New Roman"/>
          <w:sz w:val="24"/>
          <w:szCs w:val="24"/>
        </w:rPr>
        <w:t xml:space="preserve"> towards the Tailoring Rule thresholds.  The deferral lasts until July 2014 or or until EPA completes additional rulemaking on the accounting of biogenic CO</w:t>
      </w:r>
      <w:r w:rsidR="002F1DF0" w:rsidRPr="002F1DF0">
        <w:rPr>
          <w:rFonts w:ascii="Times New Roman" w:hAnsi="Times New Roman"/>
          <w:sz w:val="24"/>
          <w:szCs w:val="24"/>
          <w:vertAlign w:val="subscript"/>
        </w:rPr>
        <w:t>2</w:t>
      </w:r>
      <w:r>
        <w:rPr>
          <w:rFonts w:ascii="Times New Roman" w:hAnsi="Times New Roman"/>
          <w:sz w:val="24"/>
          <w:szCs w:val="24"/>
        </w:rPr>
        <w:t xml:space="preserve"> emissions.  EPA is in the midst of evaluating possible CO</w:t>
      </w:r>
      <w:r w:rsidR="002F1DF0" w:rsidRPr="002F1DF0">
        <w:rPr>
          <w:rFonts w:ascii="Times New Roman" w:hAnsi="Times New Roman"/>
          <w:sz w:val="24"/>
          <w:szCs w:val="24"/>
          <w:vertAlign w:val="subscript"/>
        </w:rPr>
        <w:t>2</w:t>
      </w:r>
      <w:r>
        <w:rPr>
          <w:rFonts w:ascii="Times New Roman" w:hAnsi="Times New Roman"/>
          <w:sz w:val="24"/>
          <w:szCs w:val="24"/>
        </w:rPr>
        <w:t xml:space="preserve"> accounting methods and is expected to propose and finalize a rule before July 2014.</w:t>
      </w:r>
    </w:p>
    <w:p w:rsidR="00E2622E" w:rsidRDefault="00E2622E" w:rsidP="002A0CD0">
      <w:pPr>
        <w:autoSpaceDE w:val="0"/>
        <w:autoSpaceDN w:val="0"/>
        <w:adjustRightInd w:val="0"/>
        <w:spacing w:after="0" w:line="240" w:lineRule="auto"/>
        <w:rPr>
          <w:rFonts w:ascii="Times New Roman" w:hAnsi="Times New Roman"/>
          <w:sz w:val="24"/>
          <w:szCs w:val="24"/>
        </w:rPr>
      </w:pPr>
    </w:p>
    <w:p w:rsidR="00C41555" w:rsidRPr="007B005E" w:rsidRDefault="00555788" w:rsidP="007B005E">
      <w:pPr>
        <w:keepNext/>
        <w:autoSpaceDE w:val="0"/>
        <w:autoSpaceDN w:val="0"/>
        <w:adjustRightInd w:val="0"/>
        <w:spacing w:after="0" w:line="240" w:lineRule="auto"/>
        <w:rPr>
          <w:rFonts w:ascii="Times New Roman" w:hAnsi="Times New Roman"/>
          <w:b/>
          <w:bCs/>
          <w:color w:val="000080"/>
          <w:sz w:val="24"/>
          <w:szCs w:val="24"/>
        </w:rPr>
      </w:pPr>
      <w:r w:rsidRPr="007B005E">
        <w:rPr>
          <w:rFonts w:ascii="Times New Roman" w:hAnsi="Times New Roman"/>
          <w:b/>
          <w:bCs/>
          <w:color w:val="000080"/>
          <w:sz w:val="24"/>
          <w:szCs w:val="24"/>
        </w:rPr>
        <w:t>CO</w:t>
      </w:r>
      <w:r w:rsidR="002F1DF0" w:rsidRPr="002F1DF0">
        <w:rPr>
          <w:rFonts w:ascii="Times New Roman" w:hAnsi="Times New Roman"/>
          <w:sz w:val="24"/>
          <w:szCs w:val="24"/>
          <w:vertAlign w:val="subscript"/>
        </w:rPr>
        <w:t>2</w:t>
      </w:r>
      <w:r w:rsidRPr="007B005E">
        <w:rPr>
          <w:rFonts w:ascii="Times New Roman" w:hAnsi="Times New Roman"/>
          <w:b/>
          <w:bCs/>
          <w:color w:val="000080"/>
          <w:sz w:val="24"/>
          <w:szCs w:val="24"/>
        </w:rPr>
        <w:t xml:space="preserve"> Regulation – Performance Standards</w:t>
      </w:r>
    </w:p>
    <w:p w:rsidR="00FC67F9" w:rsidRPr="00ED7E20" w:rsidRDefault="00DE0806" w:rsidP="002A0CD0">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In March 2012, EPA released the proposed Carbon Pollution Standard for New Power Plants, also known as the </w:t>
      </w:r>
      <w:r w:rsidR="00C41555" w:rsidRPr="009F2A03">
        <w:rPr>
          <w:rFonts w:ascii="Times New Roman" w:hAnsi="Times New Roman"/>
          <w:sz w:val="24"/>
          <w:szCs w:val="24"/>
        </w:rPr>
        <w:t xml:space="preserve">GHG New Source Performance Standards (NSPS) </w:t>
      </w:r>
      <w:r w:rsidR="00AA797A">
        <w:rPr>
          <w:rFonts w:ascii="Times New Roman" w:hAnsi="Times New Roman"/>
          <w:sz w:val="24"/>
          <w:szCs w:val="24"/>
        </w:rPr>
        <w:t>for</w:t>
      </w:r>
      <w:r>
        <w:rPr>
          <w:rFonts w:ascii="Times New Roman" w:hAnsi="Times New Roman"/>
          <w:sz w:val="24"/>
          <w:szCs w:val="24"/>
        </w:rPr>
        <w:t xml:space="preserve"> power plants</w:t>
      </w:r>
      <w:r w:rsidR="00C41555" w:rsidRPr="009F2A03">
        <w:rPr>
          <w:rFonts w:ascii="Times New Roman" w:hAnsi="Times New Roman"/>
          <w:sz w:val="24"/>
          <w:szCs w:val="24"/>
        </w:rPr>
        <w:t xml:space="preserve">.  This standard </w:t>
      </w:r>
      <w:r w:rsidR="00AA797A">
        <w:rPr>
          <w:rFonts w:ascii="Times New Roman" w:hAnsi="Times New Roman"/>
          <w:sz w:val="24"/>
          <w:szCs w:val="24"/>
        </w:rPr>
        <w:t xml:space="preserve">applies </w:t>
      </w:r>
      <w:r w:rsidR="00C41555" w:rsidRPr="009F2A03">
        <w:rPr>
          <w:rFonts w:ascii="Times New Roman" w:hAnsi="Times New Roman"/>
          <w:sz w:val="24"/>
          <w:szCs w:val="24"/>
        </w:rPr>
        <w:t xml:space="preserve">only </w:t>
      </w:r>
      <w:r w:rsidR="00AA797A">
        <w:rPr>
          <w:rFonts w:ascii="Times New Roman" w:hAnsi="Times New Roman"/>
          <w:sz w:val="24"/>
          <w:szCs w:val="24"/>
        </w:rPr>
        <w:t xml:space="preserve">to </w:t>
      </w:r>
      <w:r w:rsidR="00C41555" w:rsidRPr="009F2A03">
        <w:rPr>
          <w:rFonts w:ascii="Times New Roman" w:hAnsi="Times New Roman"/>
          <w:sz w:val="24"/>
          <w:szCs w:val="24"/>
        </w:rPr>
        <w:t xml:space="preserve">new fossil fuel-fired </w:t>
      </w:r>
      <w:r w:rsidR="00706F1E">
        <w:rPr>
          <w:rFonts w:ascii="Times New Roman" w:hAnsi="Times New Roman"/>
          <w:sz w:val="24"/>
          <w:szCs w:val="24"/>
        </w:rPr>
        <w:t xml:space="preserve">coal-fired </w:t>
      </w:r>
      <w:r w:rsidR="00AA797A">
        <w:rPr>
          <w:rFonts w:ascii="Times New Roman" w:hAnsi="Times New Roman"/>
          <w:sz w:val="24"/>
          <w:szCs w:val="24"/>
        </w:rPr>
        <w:t>EGUs</w:t>
      </w:r>
      <w:r w:rsidR="00706F1E">
        <w:rPr>
          <w:rFonts w:ascii="Times New Roman" w:hAnsi="Times New Roman"/>
          <w:sz w:val="24"/>
          <w:szCs w:val="24"/>
        </w:rPr>
        <w:t xml:space="preserve"> or fossil fuel-fired combined-cycle units</w:t>
      </w:r>
      <w:r w:rsidR="00AA797A">
        <w:rPr>
          <w:rFonts w:ascii="Times New Roman" w:hAnsi="Times New Roman"/>
          <w:sz w:val="24"/>
          <w:szCs w:val="24"/>
        </w:rPr>
        <w:t xml:space="preserve"> </w:t>
      </w:r>
      <w:r w:rsidR="00C41555" w:rsidRPr="009F2A03">
        <w:rPr>
          <w:rFonts w:ascii="Times New Roman" w:hAnsi="Times New Roman"/>
          <w:sz w:val="24"/>
          <w:szCs w:val="24"/>
        </w:rPr>
        <w:t xml:space="preserve">that will be built in the future and does not apply to existing units already operating, modified units, or units that </w:t>
      </w:r>
      <w:r w:rsidR="00AA797A">
        <w:rPr>
          <w:rFonts w:ascii="Times New Roman" w:hAnsi="Times New Roman"/>
          <w:sz w:val="24"/>
          <w:szCs w:val="24"/>
        </w:rPr>
        <w:t xml:space="preserve">commence </w:t>
      </w:r>
      <w:r w:rsidR="00C41555" w:rsidRPr="009F2A03">
        <w:rPr>
          <w:rFonts w:ascii="Times New Roman" w:hAnsi="Times New Roman"/>
          <w:sz w:val="24"/>
          <w:szCs w:val="24"/>
        </w:rPr>
        <w:t xml:space="preserve">construction </w:t>
      </w:r>
      <w:r w:rsidR="00AA797A">
        <w:rPr>
          <w:rFonts w:ascii="Times New Roman" w:hAnsi="Times New Roman"/>
          <w:sz w:val="24"/>
          <w:szCs w:val="24"/>
        </w:rPr>
        <w:t>in the 12 months after the proposal</w:t>
      </w:r>
      <w:r>
        <w:rPr>
          <w:rFonts w:ascii="Times New Roman" w:hAnsi="Times New Roman"/>
          <w:sz w:val="24"/>
          <w:szCs w:val="24"/>
        </w:rPr>
        <w:t xml:space="preserve"> was published in the Federal Register on April 13, 2012</w:t>
      </w:r>
      <w:r w:rsidR="00C41555" w:rsidRPr="009F2A03">
        <w:rPr>
          <w:rFonts w:ascii="Times New Roman" w:hAnsi="Times New Roman"/>
          <w:sz w:val="24"/>
          <w:szCs w:val="24"/>
        </w:rPr>
        <w:t xml:space="preserve">.  </w:t>
      </w:r>
      <w:r w:rsidR="002F1DF0">
        <w:rPr>
          <w:rFonts w:ascii="Times New Roman" w:hAnsi="Times New Roman"/>
          <w:sz w:val="24"/>
          <w:szCs w:val="24"/>
        </w:rPr>
        <w:t>Si</w:t>
      </w:r>
      <w:r w:rsidR="003C60AC">
        <w:rPr>
          <w:rFonts w:ascii="Times New Roman" w:hAnsi="Times New Roman"/>
          <w:sz w:val="24"/>
          <w:szCs w:val="24"/>
        </w:rPr>
        <w:t>m</w:t>
      </w:r>
      <w:r w:rsidR="002F1DF0">
        <w:rPr>
          <w:rFonts w:ascii="Times New Roman" w:hAnsi="Times New Roman"/>
          <w:sz w:val="24"/>
          <w:szCs w:val="24"/>
        </w:rPr>
        <w:t xml:space="preserve">ple cycle combustion turbines are not included in this regulation for new plants.  </w:t>
      </w:r>
      <w:r w:rsidR="00C41555" w:rsidRPr="009F2A03">
        <w:rPr>
          <w:rFonts w:ascii="Times New Roman" w:hAnsi="Times New Roman"/>
          <w:sz w:val="24"/>
          <w:szCs w:val="24"/>
        </w:rPr>
        <w:t xml:space="preserve">The proposed rule sets </w:t>
      </w:r>
      <w:r>
        <w:rPr>
          <w:rFonts w:ascii="Times New Roman" w:hAnsi="Times New Roman"/>
          <w:sz w:val="24"/>
          <w:szCs w:val="24"/>
        </w:rPr>
        <w:t xml:space="preserve">a “fuel neutral” </w:t>
      </w:r>
      <w:r w:rsidR="00C41555" w:rsidRPr="009F2A03">
        <w:rPr>
          <w:rFonts w:ascii="Times New Roman" w:hAnsi="Times New Roman"/>
          <w:sz w:val="24"/>
          <w:szCs w:val="24"/>
        </w:rPr>
        <w:t>standard at 1,000 pounds of CO</w:t>
      </w:r>
      <w:r w:rsidR="00C41555" w:rsidRPr="00474030">
        <w:rPr>
          <w:rFonts w:ascii="Times New Roman" w:hAnsi="Times New Roman"/>
          <w:sz w:val="24"/>
          <w:szCs w:val="24"/>
          <w:vertAlign w:val="subscript"/>
        </w:rPr>
        <w:t>2</w:t>
      </w:r>
      <w:r w:rsidR="00C41555" w:rsidRPr="009F2A03">
        <w:rPr>
          <w:rFonts w:ascii="Times New Roman" w:hAnsi="Times New Roman"/>
          <w:sz w:val="24"/>
          <w:szCs w:val="24"/>
        </w:rPr>
        <w:t xml:space="preserve"> per megawatt hour</w:t>
      </w:r>
      <w:r w:rsidR="00AA797A">
        <w:rPr>
          <w:rFonts w:ascii="Times New Roman" w:hAnsi="Times New Roman"/>
          <w:sz w:val="24"/>
          <w:szCs w:val="24"/>
        </w:rPr>
        <w:t>,</w:t>
      </w:r>
      <w:r>
        <w:rPr>
          <w:rFonts w:ascii="Times New Roman" w:hAnsi="Times New Roman"/>
          <w:sz w:val="24"/>
          <w:szCs w:val="24"/>
        </w:rPr>
        <w:t xml:space="preserve"> which means that coal-fired power plants must meet the same standard as natural gas-fired power plants. </w:t>
      </w:r>
      <w:r w:rsidR="00C41555" w:rsidRPr="009F2A03">
        <w:rPr>
          <w:rFonts w:ascii="Times New Roman" w:hAnsi="Times New Roman"/>
          <w:sz w:val="24"/>
          <w:szCs w:val="24"/>
        </w:rPr>
        <w:t xml:space="preserve"> </w:t>
      </w:r>
      <w:r w:rsidR="0019525C">
        <w:rPr>
          <w:rFonts w:ascii="Times New Roman" w:hAnsi="Times New Roman"/>
          <w:sz w:val="24"/>
          <w:szCs w:val="24"/>
        </w:rPr>
        <w:t>Even though the proposal</w:t>
      </w:r>
      <w:r w:rsidR="00C41555" w:rsidRPr="009F2A03">
        <w:rPr>
          <w:rFonts w:ascii="Times New Roman" w:hAnsi="Times New Roman"/>
          <w:sz w:val="24"/>
          <w:szCs w:val="24"/>
        </w:rPr>
        <w:t xml:space="preserve"> includes an option for new coal-fired units to use a 30-year average to meet the standard rather than having to meet the standard annually</w:t>
      </w:r>
      <w:r w:rsidR="0019525C">
        <w:rPr>
          <w:rFonts w:ascii="Times New Roman" w:hAnsi="Times New Roman"/>
          <w:sz w:val="24"/>
          <w:szCs w:val="24"/>
        </w:rPr>
        <w:t>, no new coal-fired units could meet the standard without the use of carbon capture and sequestration</w:t>
      </w:r>
      <w:r w:rsidR="00C41555" w:rsidRPr="009F2A03">
        <w:rPr>
          <w:rFonts w:ascii="Times New Roman" w:hAnsi="Times New Roman"/>
          <w:sz w:val="24"/>
          <w:szCs w:val="24"/>
        </w:rPr>
        <w:t xml:space="preserve">.  </w:t>
      </w:r>
      <w:r w:rsidR="0019525C">
        <w:rPr>
          <w:rFonts w:ascii="Times New Roman" w:hAnsi="Times New Roman"/>
          <w:sz w:val="24"/>
          <w:szCs w:val="24"/>
        </w:rPr>
        <w:t>In addition</w:t>
      </w:r>
      <w:r w:rsidR="00C41555" w:rsidRPr="009F2A03">
        <w:rPr>
          <w:rFonts w:ascii="Times New Roman" w:hAnsi="Times New Roman"/>
          <w:sz w:val="24"/>
          <w:szCs w:val="24"/>
        </w:rPr>
        <w:t>, this rule could impact the flexibility and operations of new natural gas combined-cycle units.</w:t>
      </w:r>
      <w:r w:rsidR="00C41555">
        <w:rPr>
          <w:rFonts w:ascii="Times New Roman" w:hAnsi="Times New Roman"/>
          <w:sz w:val="24"/>
          <w:szCs w:val="24"/>
        </w:rPr>
        <w:t xml:space="preserve">  </w:t>
      </w:r>
      <w:r w:rsidR="00B41989">
        <w:rPr>
          <w:rFonts w:ascii="Times New Roman" w:hAnsi="Times New Roman"/>
          <w:sz w:val="24"/>
          <w:szCs w:val="24"/>
        </w:rPr>
        <w:t xml:space="preserve">A final rule for the GHG NSPS is expected in the April 2013 timeframe.  </w:t>
      </w:r>
      <w:r w:rsidR="00C41555">
        <w:rPr>
          <w:rFonts w:ascii="Times New Roman" w:hAnsi="Times New Roman"/>
          <w:sz w:val="24"/>
          <w:szCs w:val="24"/>
        </w:rPr>
        <w:t xml:space="preserve">EPA </w:t>
      </w:r>
      <w:r w:rsidR="00AA797A">
        <w:rPr>
          <w:rFonts w:ascii="Times New Roman" w:hAnsi="Times New Roman"/>
          <w:sz w:val="24"/>
          <w:szCs w:val="24"/>
        </w:rPr>
        <w:t xml:space="preserve">has </w:t>
      </w:r>
      <w:r w:rsidR="00C41555">
        <w:rPr>
          <w:rFonts w:ascii="Times New Roman" w:hAnsi="Times New Roman"/>
          <w:sz w:val="24"/>
          <w:szCs w:val="24"/>
        </w:rPr>
        <w:t xml:space="preserve">also </w:t>
      </w:r>
      <w:r w:rsidR="00C30EC4">
        <w:rPr>
          <w:rFonts w:ascii="Times New Roman" w:hAnsi="Times New Roman"/>
          <w:sz w:val="24"/>
          <w:szCs w:val="24"/>
        </w:rPr>
        <w:t>indicated it would</w:t>
      </w:r>
      <w:r w:rsidR="00C41555">
        <w:rPr>
          <w:rFonts w:ascii="Times New Roman" w:hAnsi="Times New Roman"/>
          <w:sz w:val="24"/>
          <w:szCs w:val="24"/>
        </w:rPr>
        <w:t xml:space="preserve"> set </w:t>
      </w:r>
      <w:r w:rsidR="0019525C">
        <w:rPr>
          <w:rFonts w:ascii="Times New Roman" w:hAnsi="Times New Roman"/>
          <w:sz w:val="24"/>
          <w:szCs w:val="24"/>
        </w:rPr>
        <w:t xml:space="preserve">greenhouse gas </w:t>
      </w:r>
      <w:r w:rsidR="00C41555">
        <w:rPr>
          <w:rFonts w:ascii="Times New Roman" w:hAnsi="Times New Roman"/>
          <w:sz w:val="24"/>
          <w:szCs w:val="24"/>
        </w:rPr>
        <w:t xml:space="preserve">performance standards for existing units in the future.  </w:t>
      </w:r>
    </w:p>
    <w:p w:rsidR="00FC67F9" w:rsidRPr="00ED7E20" w:rsidRDefault="00FC67F9" w:rsidP="002A0CD0">
      <w:pPr>
        <w:spacing w:after="0" w:line="240" w:lineRule="auto"/>
        <w:rPr>
          <w:rFonts w:ascii="Times New Roman" w:hAnsi="Times New Roman"/>
          <w:sz w:val="24"/>
          <w:szCs w:val="24"/>
        </w:rPr>
      </w:pPr>
    </w:p>
    <w:p w:rsidR="00FC67F9" w:rsidRPr="00ED7E20" w:rsidRDefault="00FC67F9" w:rsidP="002A0CD0">
      <w:pPr>
        <w:keepNext/>
        <w:autoSpaceDE w:val="0"/>
        <w:autoSpaceDN w:val="0"/>
        <w:adjustRightInd w:val="0"/>
        <w:spacing w:after="0" w:line="240" w:lineRule="auto"/>
        <w:rPr>
          <w:rFonts w:ascii="Times New Roman" w:hAnsi="Times New Roman"/>
          <w:b/>
          <w:bCs/>
          <w:color w:val="000080"/>
          <w:sz w:val="24"/>
          <w:szCs w:val="24"/>
        </w:rPr>
      </w:pPr>
      <w:r w:rsidRPr="00ED7E20">
        <w:rPr>
          <w:rFonts w:ascii="Times New Roman" w:hAnsi="Times New Roman"/>
          <w:b/>
          <w:bCs/>
          <w:color w:val="000080"/>
          <w:sz w:val="24"/>
          <w:szCs w:val="24"/>
        </w:rPr>
        <w:t>GHG Reporting Rule</w:t>
      </w:r>
    </w:p>
    <w:p w:rsidR="00E2622E" w:rsidRDefault="00E2622E" w:rsidP="002A0CD0">
      <w:pPr>
        <w:spacing w:after="0" w:line="240" w:lineRule="auto"/>
        <w:rPr>
          <w:rFonts w:ascii="Times New Roman" w:hAnsi="Times New Roman"/>
          <w:sz w:val="24"/>
          <w:szCs w:val="24"/>
        </w:rPr>
      </w:pPr>
      <w:r w:rsidRPr="00E2622E">
        <w:rPr>
          <w:rFonts w:ascii="Times New Roman" w:hAnsi="Times New Roman"/>
          <w:sz w:val="24"/>
          <w:szCs w:val="24"/>
        </w:rPr>
        <w:t xml:space="preserve">EPA’s mandatory GHG Reporting Rule (40 CFR Part 98) was developed as the result of legislation passed by Congress in 2008, authorizing the EPA to “collect accurate and timely greenhouse gas data to inform public policy decisions.” The Rule was finalized in October 2009 and requires </w:t>
      </w:r>
      <w:r w:rsidR="00F0116E">
        <w:rPr>
          <w:rFonts w:ascii="Times New Roman" w:hAnsi="Times New Roman"/>
          <w:sz w:val="24"/>
          <w:szCs w:val="24"/>
        </w:rPr>
        <w:t xml:space="preserve">annual </w:t>
      </w:r>
      <w:r w:rsidRPr="00E2622E">
        <w:rPr>
          <w:rFonts w:ascii="Times New Roman" w:hAnsi="Times New Roman"/>
          <w:sz w:val="24"/>
          <w:szCs w:val="24"/>
        </w:rPr>
        <w:t xml:space="preserve">reporting </w:t>
      </w:r>
      <w:r w:rsidR="00F0116E">
        <w:rPr>
          <w:rFonts w:ascii="Times New Roman" w:hAnsi="Times New Roman"/>
          <w:sz w:val="24"/>
          <w:szCs w:val="24"/>
        </w:rPr>
        <w:t xml:space="preserve">of </w:t>
      </w:r>
      <w:r w:rsidRPr="00E2622E">
        <w:rPr>
          <w:rFonts w:ascii="Times New Roman" w:hAnsi="Times New Roman"/>
          <w:sz w:val="24"/>
          <w:szCs w:val="24"/>
        </w:rPr>
        <w:t xml:space="preserve">GHG emissions beginning with </w:t>
      </w:r>
      <w:r w:rsidR="00F0116E">
        <w:rPr>
          <w:rFonts w:ascii="Times New Roman" w:hAnsi="Times New Roman"/>
          <w:sz w:val="24"/>
          <w:szCs w:val="24"/>
        </w:rPr>
        <w:t xml:space="preserve">calendar year </w:t>
      </w:r>
      <w:r w:rsidRPr="00E2622E">
        <w:rPr>
          <w:rFonts w:ascii="Times New Roman" w:hAnsi="Times New Roman"/>
          <w:sz w:val="24"/>
          <w:szCs w:val="24"/>
        </w:rPr>
        <w:t>2010</w:t>
      </w:r>
      <w:r w:rsidR="00F0116E">
        <w:rPr>
          <w:rFonts w:ascii="Times New Roman" w:hAnsi="Times New Roman"/>
          <w:sz w:val="24"/>
          <w:szCs w:val="24"/>
        </w:rPr>
        <w:t xml:space="preserve"> for CO</w:t>
      </w:r>
      <w:r w:rsidR="002F1DF0" w:rsidRPr="002F1DF0">
        <w:rPr>
          <w:rFonts w:ascii="Times New Roman" w:hAnsi="Times New Roman"/>
          <w:sz w:val="24"/>
          <w:szCs w:val="24"/>
          <w:vertAlign w:val="subscript"/>
        </w:rPr>
        <w:t>2</w:t>
      </w:r>
      <w:r w:rsidR="00F0116E">
        <w:rPr>
          <w:rFonts w:ascii="Times New Roman" w:hAnsi="Times New Roman"/>
          <w:sz w:val="24"/>
          <w:szCs w:val="24"/>
        </w:rPr>
        <w:t>, methane, nitrous oxide</w:t>
      </w:r>
      <w:r w:rsidR="00483A8E">
        <w:rPr>
          <w:rFonts w:ascii="Times New Roman" w:hAnsi="Times New Roman"/>
          <w:sz w:val="24"/>
          <w:szCs w:val="24"/>
        </w:rPr>
        <w:t>, and most fluorinated gases</w:t>
      </w:r>
      <w:r w:rsidRPr="00E2622E">
        <w:rPr>
          <w:rFonts w:ascii="Times New Roman" w:hAnsi="Times New Roman"/>
          <w:sz w:val="24"/>
          <w:szCs w:val="24"/>
        </w:rPr>
        <w:t>.</w:t>
      </w:r>
      <w:r w:rsidR="00483A8E">
        <w:rPr>
          <w:rFonts w:ascii="Times New Roman" w:hAnsi="Times New Roman"/>
          <w:sz w:val="24"/>
          <w:szCs w:val="24"/>
        </w:rPr>
        <w:t xml:space="preserve">  </w:t>
      </w:r>
      <w:r w:rsidR="004D4E44">
        <w:rPr>
          <w:rFonts w:ascii="Times New Roman" w:hAnsi="Times New Roman"/>
          <w:color w:val="000000"/>
          <w:sz w:val="24"/>
          <w:szCs w:val="24"/>
        </w:rPr>
        <w:t>The Rule applies to facilities that emit 25,000 metric tons a year or more of CO</w:t>
      </w:r>
      <w:r w:rsidR="002F1DF0" w:rsidRPr="002F1DF0">
        <w:rPr>
          <w:rFonts w:ascii="Times New Roman" w:hAnsi="Times New Roman"/>
          <w:sz w:val="24"/>
          <w:szCs w:val="24"/>
          <w:vertAlign w:val="subscript"/>
        </w:rPr>
        <w:t>2</w:t>
      </w:r>
      <w:r w:rsidR="004D4E44">
        <w:rPr>
          <w:rFonts w:ascii="Times New Roman" w:hAnsi="Times New Roman"/>
          <w:color w:val="000000"/>
          <w:sz w:val="24"/>
          <w:szCs w:val="24"/>
        </w:rPr>
        <w:t xml:space="preserve"> equivalent, which includes all of Georgia Power's fossil fuel-fired generating plants</w:t>
      </w:r>
      <w:r w:rsidRPr="00E2622E">
        <w:rPr>
          <w:rFonts w:ascii="Times New Roman" w:hAnsi="Times New Roman"/>
          <w:sz w:val="24"/>
          <w:szCs w:val="24"/>
        </w:rPr>
        <w:t>.</w:t>
      </w:r>
      <w:r w:rsidR="00483A8E">
        <w:rPr>
          <w:rFonts w:ascii="Times New Roman" w:hAnsi="Times New Roman"/>
          <w:sz w:val="24"/>
          <w:szCs w:val="24"/>
        </w:rPr>
        <w:t xml:space="preserve"> </w:t>
      </w:r>
      <w:r w:rsidRPr="00E2622E">
        <w:rPr>
          <w:rFonts w:ascii="Times New Roman" w:hAnsi="Times New Roman"/>
          <w:sz w:val="24"/>
          <w:szCs w:val="24"/>
        </w:rPr>
        <w:t xml:space="preserve"> </w:t>
      </w:r>
      <w:r w:rsidR="00483A8E">
        <w:rPr>
          <w:rFonts w:ascii="Times New Roman" w:hAnsi="Times New Roman"/>
          <w:sz w:val="24"/>
          <w:szCs w:val="24"/>
        </w:rPr>
        <w:t xml:space="preserve">In addition, </w:t>
      </w:r>
      <w:r w:rsidR="004D4E44">
        <w:rPr>
          <w:rFonts w:ascii="Times New Roman" w:hAnsi="Times New Roman"/>
          <w:sz w:val="24"/>
          <w:szCs w:val="24"/>
        </w:rPr>
        <w:t xml:space="preserve">the rule requires </w:t>
      </w:r>
      <w:r w:rsidR="00483A8E">
        <w:rPr>
          <w:rFonts w:ascii="Times New Roman" w:hAnsi="Times New Roman"/>
          <w:sz w:val="24"/>
          <w:szCs w:val="24"/>
        </w:rPr>
        <w:t>sulfur hexafluoride (SF</w:t>
      </w:r>
      <w:r w:rsidR="00EA4B45" w:rsidRPr="00EA4B45">
        <w:rPr>
          <w:rFonts w:ascii="Times New Roman" w:hAnsi="Times New Roman"/>
          <w:sz w:val="24"/>
          <w:szCs w:val="24"/>
          <w:vertAlign w:val="subscript"/>
        </w:rPr>
        <w:t>6</w:t>
      </w:r>
      <w:r w:rsidR="00483A8E">
        <w:rPr>
          <w:rFonts w:ascii="Times New Roman" w:hAnsi="Times New Roman"/>
          <w:sz w:val="24"/>
          <w:szCs w:val="24"/>
        </w:rPr>
        <w:t xml:space="preserve">) emissions, which </w:t>
      </w:r>
      <w:r w:rsidR="004D4E44">
        <w:rPr>
          <w:rFonts w:ascii="Times New Roman" w:hAnsi="Times New Roman"/>
          <w:sz w:val="24"/>
          <w:szCs w:val="24"/>
        </w:rPr>
        <w:t xml:space="preserve">may be emitted </w:t>
      </w:r>
      <w:r w:rsidR="00483A8E">
        <w:rPr>
          <w:rFonts w:ascii="Times New Roman" w:hAnsi="Times New Roman"/>
          <w:sz w:val="24"/>
          <w:szCs w:val="24"/>
        </w:rPr>
        <w:t xml:space="preserve">from transmission and distribution equipment, </w:t>
      </w:r>
      <w:r w:rsidR="004D4E44">
        <w:rPr>
          <w:rFonts w:ascii="Times New Roman" w:hAnsi="Times New Roman"/>
          <w:sz w:val="24"/>
          <w:szCs w:val="24"/>
        </w:rPr>
        <w:t>to be reported</w:t>
      </w:r>
      <w:r w:rsidR="00483A8E">
        <w:rPr>
          <w:rFonts w:ascii="Times New Roman" w:hAnsi="Times New Roman"/>
          <w:sz w:val="24"/>
          <w:szCs w:val="24"/>
        </w:rPr>
        <w:t xml:space="preserve"> beginning with calendar year 2011.  </w:t>
      </w:r>
    </w:p>
    <w:p w:rsidR="00FC67F9" w:rsidRPr="00ED7E20" w:rsidRDefault="00FC67F9" w:rsidP="002A0CD0">
      <w:pPr>
        <w:spacing w:after="0" w:line="240" w:lineRule="auto"/>
        <w:rPr>
          <w:rFonts w:ascii="Times New Roman" w:hAnsi="Times New Roman"/>
          <w:sz w:val="24"/>
          <w:szCs w:val="24"/>
        </w:rPr>
      </w:pPr>
    </w:p>
    <w:p w:rsidR="00FC67F9" w:rsidRPr="00ED7E20" w:rsidRDefault="00FC67F9" w:rsidP="002A0CD0">
      <w:pPr>
        <w:keepNext/>
        <w:autoSpaceDE w:val="0"/>
        <w:autoSpaceDN w:val="0"/>
        <w:adjustRightInd w:val="0"/>
        <w:spacing w:after="0" w:line="240" w:lineRule="auto"/>
        <w:jc w:val="both"/>
        <w:outlineLvl w:val="1"/>
        <w:rPr>
          <w:rFonts w:ascii="Times New Roman" w:hAnsi="Times New Roman"/>
          <w:b/>
          <w:bCs/>
          <w:color w:val="000080"/>
          <w:sz w:val="24"/>
          <w:szCs w:val="24"/>
        </w:rPr>
      </w:pPr>
      <w:bookmarkStart w:id="18" w:name="_Toc347314845"/>
      <w:r>
        <w:rPr>
          <w:rFonts w:ascii="Times New Roman" w:hAnsi="Times New Roman"/>
          <w:b/>
          <w:bCs/>
          <w:color w:val="000080"/>
          <w:sz w:val="24"/>
          <w:szCs w:val="24"/>
        </w:rPr>
        <w:t>2.1</w:t>
      </w:r>
      <w:r w:rsidR="0081596B">
        <w:rPr>
          <w:rFonts w:ascii="Times New Roman" w:hAnsi="Times New Roman"/>
          <w:b/>
          <w:bCs/>
          <w:color w:val="000080"/>
          <w:sz w:val="24"/>
          <w:szCs w:val="24"/>
        </w:rPr>
        <w:t>2</w:t>
      </w:r>
      <w:r>
        <w:rPr>
          <w:rFonts w:ascii="Times New Roman" w:hAnsi="Times New Roman"/>
          <w:b/>
          <w:bCs/>
          <w:color w:val="000080"/>
          <w:sz w:val="24"/>
          <w:szCs w:val="24"/>
        </w:rPr>
        <w:tab/>
      </w:r>
      <w:r w:rsidRPr="00ED7E20">
        <w:rPr>
          <w:rFonts w:ascii="Times New Roman" w:hAnsi="Times New Roman"/>
          <w:b/>
          <w:bCs/>
          <w:color w:val="000080"/>
          <w:sz w:val="24"/>
          <w:szCs w:val="24"/>
        </w:rPr>
        <w:t>Water Issues</w:t>
      </w:r>
      <w:bookmarkEnd w:id="18"/>
    </w:p>
    <w:p w:rsidR="00FC67F9" w:rsidRPr="00ED7E20" w:rsidRDefault="00FC67F9" w:rsidP="002A0CD0">
      <w:pPr>
        <w:autoSpaceDE w:val="0"/>
        <w:autoSpaceDN w:val="0"/>
        <w:adjustRightInd w:val="0"/>
        <w:spacing w:after="0" w:line="240" w:lineRule="auto"/>
        <w:rPr>
          <w:rFonts w:ascii="Times New Roman" w:hAnsi="Times New Roman"/>
          <w:b/>
          <w:color w:val="000080"/>
          <w:sz w:val="24"/>
          <w:szCs w:val="24"/>
        </w:rPr>
      </w:pPr>
    </w:p>
    <w:p w:rsidR="00FC67F9" w:rsidRPr="00ED7E20" w:rsidRDefault="00FC67F9" w:rsidP="002A0CD0">
      <w:pPr>
        <w:spacing w:after="0" w:line="240" w:lineRule="auto"/>
        <w:rPr>
          <w:rFonts w:ascii="Times New Roman" w:hAnsi="Times New Roman"/>
          <w:b/>
          <w:color w:val="000080"/>
          <w:sz w:val="24"/>
          <w:szCs w:val="24"/>
        </w:rPr>
      </w:pPr>
      <w:r w:rsidRPr="00ED7E20">
        <w:rPr>
          <w:rFonts w:ascii="Times New Roman" w:hAnsi="Times New Roman"/>
          <w:b/>
          <w:color w:val="000080"/>
          <w:sz w:val="24"/>
          <w:szCs w:val="24"/>
        </w:rPr>
        <w:t xml:space="preserve">316(b) Regulations </w:t>
      </w:r>
    </w:p>
    <w:p w:rsidR="00FC67F9" w:rsidRPr="00ED7E20" w:rsidRDefault="00FC67F9" w:rsidP="002A0CD0">
      <w:pPr>
        <w:autoSpaceDE w:val="0"/>
        <w:autoSpaceDN w:val="0"/>
        <w:spacing w:after="0" w:line="240" w:lineRule="auto"/>
        <w:rPr>
          <w:rFonts w:ascii="Times New Roman" w:hAnsi="Times New Roman"/>
          <w:color w:val="000000"/>
          <w:sz w:val="24"/>
          <w:szCs w:val="24"/>
        </w:rPr>
      </w:pPr>
      <w:r w:rsidRPr="00ED7E20">
        <w:rPr>
          <w:rFonts w:ascii="Times New Roman" w:hAnsi="Times New Roman"/>
          <w:color w:val="000000"/>
          <w:sz w:val="24"/>
          <w:szCs w:val="24"/>
        </w:rPr>
        <w:t xml:space="preserve">Section 316(b) of the CWA requires that the location, design, construction, and capacity of any cooling water intake structure (CWIS) reflect best technology available for minimizing adverse environmental impact that may be caused by CWISs.  Historically NPDES permit writers have applied Section 316(b) on a case-by-case basis.  In 2004, EPA published a final technology-based regulations under §316(b) of the CWA for the purpose of reducing impingement and entrainment of fish, shellfish and other forms of aquatic life at existing power plant CWISs.  In January 2007, the U.S. Court of Appeals for the Second Circuit overturned and remanded several provisions of the rule, including the use of cost-benefit analysis, to the EPA for revision. As a result, EPA withdrew the new rule and began developing a new proposal.  In April 2009, the U.S. Supreme Court reversed the Second Circuit’s decision with respect to the rule’s use of cost-benefit analysis, and held that the EPA could consider costs in arriving at its standards and in providing variances from those standards for existing power plant CWISs.  Other aspects of the court’s decision were not appealed and remain unaffected by the ruling.   </w:t>
      </w:r>
    </w:p>
    <w:p w:rsidR="00FC67F9" w:rsidRPr="00ED7E20" w:rsidRDefault="00FC67F9" w:rsidP="002A0CD0">
      <w:pPr>
        <w:spacing w:after="0" w:line="240" w:lineRule="auto"/>
        <w:rPr>
          <w:rFonts w:ascii="Comic Sans MS" w:hAnsi="Comic Sans MS"/>
          <w:sz w:val="20"/>
          <w:szCs w:val="20"/>
        </w:rPr>
      </w:pPr>
    </w:p>
    <w:p w:rsidR="00FC67F9" w:rsidRPr="00ED7E20" w:rsidRDefault="00FC67F9" w:rsidP="002A0CD0">
      <w:pPr>
        <w:autoSpaceDE w:val="0"/>
        <w:autoSpaceDN w:val="0"/>
        <w:spacing w:after="0" w:line="240" w:lineRule="auto"/>
        <w:rPr>
          <w:rFonts w:ascii="Times New Roman" w:hAnsi="Times New Roman"/>
          <w:color w:val="000000"/>
          <w:sz w:val="24"/>
          <w:szCs w:val="24"/>
        </w:rPr>
      </w:pPr>
      <w:r w:rsidRPr="00ED7E20">
        <w:rPr>
          <w:rFonts w:ascii="Times New Roman" w:hAnsi="Times New Roman"/>
          <w:color w:val="000000"/>
          <w:sz w:val="24"/>
          <w:szCs w:val="24"/>
        </w:rPr>
        <w:t>On March 28, 2011</w:t>
      </w:r>
      <w:r w:rsidR="00B53C59">
        <w:rPr>
          <w:rFonts w:ascii="Times New Roman" w:hAnsi="Times New Roman"/>
          <w:color w:val="000000"/>
          <w:sz w:val="24"/>
          <w:szCs w:val="24"/>
        </w:rPr>
        <w:t xml:space="preserve">, pursuant to a settlement agreement with </w:t>
      </w:r>
      <w:r w:rsidR="004F73B2">
        <w:rPr>
          <w:rFonts w:ascii="Times New Roman" w:hAnsi="Times New Roman"/>
          <w:color w:val="000000"/>
          <w:sz w:val="24"/>
          <w:szCs w:val="24"/>
        </w:rPr>
        <w:t>environmental groups</w:t>
      </w:r>
      <w:r w:rsidR="007E3C6F">
        <w:rPr>
          <w:rFonts w:ascii="Times New Roman" w:hAnsi="Times New Roman"/>
          <w:color w:val="000000"/>
          <w:sz w:val="24"/>
          <w:szCs w:val="24"/>
        </w:rPr>
        <w:t>,</w:t>
      </w:r>
      <w:r w:rsidRPr="00ED7E20">
        <w:rPr>
          <w:rFonts w:ascii="Times New Roman" w:hAnsi="Times New Roman"/>
          <w:color w:val="000000"/>
          <w:sz w:val="24"/>
          <w:szCs w:val="24"/>
        </w:rPr>
        <w:t xml:space="preserve"> EPA signed and released a new 316(b) proposal. </w:t>
      </w:r>
      <w:proofErr w:type="gramStart"/>
      <w:r w:rsidRPr="00ED7E20">
        <w:rPr>
          <w:rFonts w:ascii="Times New Roman" w:hAnsi="Times New Roman"/>
          <w:color w:val="000000"/>
          <w:sz w:val="24"/>
          <w:szCs w:val="24"/>
        </w:rPr>
        <w:t xml:space="preserve">Although the implications of this rule are different for each plant, varying combinations of robust biological studies, intake modifications, and possibly closed-cycle-cooling towers </w:t>
      </w:r>
      <w:r w:rsidR="00C9173B">
        <w:rPr>
          <w:rFonts w:ascii="Times New Roman" w:hAnsi="Times New Roman"/>
          <w:color w:val="000000"/>
          <w:sz w:val="24"/>
          <w:szCs w:val="24"/>
        </w:rPr>
        <w:t>may</w:t>
      </w:r>
      <w:r w:rsidRPr="00ED7E20">
        <w:rPr>
          <w:rFonts w:ascii="Times New Roman" w:hAnsi="Times New Roman"/>
          <w:color w:val="000000"/>
          <w:sz w:val="24"/>
          <w:szCs w:val="24"/>
        </w:rPr>
        <w:t xml:space="preserve"> be required</w:t>
      </w:r>
      <w:r w:rsidR="00AA797A">
        <w:rPr>
          <w:rFonts w:ascii="Times New Roman" w:hAnsi="Times New Roman"/>
          <w:color w:val="000000"/>
          <w:sz w:val="24"/>
          <w:szCs w:val="24"/>
        </w:rPr>
        <w:t xml:space="preserve"> if the rule is finalized as proposed</w:t>
      </w:r>
      <w:r w:rsidRPr="00ED7E20">
        <w:rPr>
          <w:rFonts w:ascii="Times New Roman" w:hAnsi="Times New Roman"/>
          <w:color w:val="000000"/>
          <w:sz w:val="24"/>
          <w:szCs w:val="24"/>
        </w:rPr>
        <w:t>.</w:t>
      </w:r>
      <w:proofErr w:type="gramEnd"/>
      <w:r w:rsidRPr="00ED7E20">
        <w:rPr>
          <w:rFonts w:ascii="Times New Roman" w:hAnsi="Times New Roman"/>
          <w:color w:val="000000"/>
          <w:sz w:val="24"/>
          <w:szCs w:val="24"/>
        </w:rPr>
        <w:t xml:space="preserve"> </w:t>
      </w:r>
    </w:p>
    <w:p w:rsidR="00FC67F9" w:rsidRDefault="00FC67F9" w:rsidP="002A0CD0">
      <w:pPr>
        <w:spacing w:after="0" w:line="240" w:lineRule="auto"/>
        <w:rPr>
          <w:rFonts w:ascii="Times New Roman" w:hAnsi="Times New Roman"/>
          <w:sz w:val="24"/>
          <w:szCs w:val="24"/>
        </w:rPr>
      </w:pPr>
    </w:p>
    <w:p w:rsidR="00963E94" w:rsidRPr="00963E94" w:rsidRDefault="00555788" w:rsidP="002A0CD0">
      <w:pPr>
        <w:spacing w:after="0" w:line="240" w:lineRule="auto"/>
        <w:rPr>
          <w:rFonts w:ascii="Times New Roman" w:hAnsi="Times New Roman"/>
          <w:sz w:val="24"/>
        </w:rPr>
      </w:pPr>
      <w:r w:rsidRPr="00555788">
        <w:rPr>
          <w:rFonts w:ascii="Times New Roman" w:hAnsi="Times New Roman"/>
          <w:sz w:val="24"/>
        </w:rPr>
        <w:t xml:space="preserve">EPA published two </w:t>
      </w:r>
      <w:r w:rsidR="00AA797A">
        <w:rPr>
          <w:rFonts w:ascii="Times New Roman" w:hAnsi="Times New Roman"/>
          <w:sz w:val="24"/>
        </w:rPr>
        <w:t>Notices of Data Availability (</w:t>
      </w:r>
      <w:r w:rsidRPr="00555788">
        <w:rPr>
          <w:rFonts w:ascii="Times New Roman" w:hAnsi="Times New Roman"/>
          <w:sz w:val="24"/>
        </w:rPr>
        <w:t>NODAs</w:t>
      </w:r>
      <w:r w:rsidR="00AA797A">
        <w:rPr>
          <w:rFonts w:ascii="Times New Roman" w:hAnsi="Times New Roman"/>
          <w:sz w:val="24"/>
        </w:rPr>
        <w:t>)</w:t>
      </w:r>
      <w:r w:rsidRPr="00555788">
        <w:rPr>
          <w:rFonts w:ascii="Times New Roman" w:hAnsi="Times New Roman"/>
          <w:sz w:val="24"/>
        </w:rPr>
        <w:t xml:space="preserve"> in the </w:t>
      </w:r>
      <w:r w:rsidRPr="00555788">
        <w:rPr>
          <w:rFonts w:ascii="Times New Roman" w:hAnsi="Times New Roman"/>
          <w:i/>
          <w:sz w:val="24"/>
        </w:rPr>
        <w:t>Federal Register</w:t>
      </w:r>
      <w:r w:rsidRPr="00555788">
        <w:rPr>
          <w:rFonts w:ascii="Times New Roman" w:hAnsi="Times New Roman"/>
          <w:sz w:val="24"/>
        </w:rPr>
        <w:t xml:space="preserve"> in June 2012. In the first NODA, EPA requested comment on possible alternative approaches to the impingement mortality control requirements that EPA is considering for the final rule. All of the approaches EPA is considering provide greater flexibility</w:t>
      </w:r>
      <w:r w:rsidR="009136A7">
        <w:rPr>
          <w:rFonts w:ascii="Times New Roman" w:hAnsi="Times New Roman"/>
          <w:sz w:val="24"/>
        </w:rPr>
        <w:t xml:space="preserve"> than the proposed rule</w:t>
      </w:r>
      <w:r w:rsidRPr="00555788">
        <w:rPr>
          <w:rFonts w:ascii="Times New Roman" w:hAnsi="Times New Roman"/>
          <w:sz w:val="24"/>
        </w:rPr>
        <w:t xml:space="preserve"> in complying with the impingement requirements. In the second NODA, EPA asked for comment on the Stated Preference Survey (willingness-to-pay survey) which EPA is conducting to help quantify the “benefits” of the rule. </w:t>
      </w:r>
      <w:r w:rsidR="00B53C59">
        <w:rPr>
          <w:rFonts w:ascii="Times New Roman" w:hAnsi="Times New Roman"/>
          <w:sz w:val="24"/>
        </w:rPr>
        <w:t>Southern Company submitted c</w:t>
      </w:r>
      <w:r w:rsidRPr="00555788">
        <w:rPr>
          <w:rFonts w:ascii="Times New Roman" w:hAnsi="Times New Roman"/>
          <w:sz w:val="24"/>
        </w:rPr>
        <w:t xml:space="preserve">omments on </w:t>
      </w:r>
      <w:r w:rsidR="002F1DF0">
        <w:rPr>
          <w:rFonts w:ascii="Times New Roman" w:hAnsi="Times New Roman"/>
          <w:sz w:val="24"/>
        </w:rPr>
        <w:t xml:space="preserve">both of </w:t>
      </w:r>
      <w:r w:rsidRPr="00555788">
        <w:rPr>
          <w:rFonts w:ascii="Times New Roman" w:hAnsi="Times New Roman"/>
          <w:sz w:val="24"/>
        </w:rPr>
        <w:t xml:space="preserve">the NODAs in July 2012. Under its settlement agreement, EPA is obligated to finalize the rule by </w:t>
      </w:r>
      <w:r w:rsidR="00B477E5">
        <w:rPr>
          <w:rFonts w:ascii="Times New Roman" w:hAnsi="Times New Roman"/>
          <w:sz w:val="24"/>
        </w:rPr>
        <w:t>June</w:t>
      </w:r>
      <w:r w:rsidRPr="00555788">
        <w:rPr>
          <w:rFonts w:ascii="Times New Roman" w:hAnsi="Times New Roman"/>
          <w:sz w:val="24"/>
        </w:rPr>
        <w:t xml:space="preserve"> 201</w:t>
      </w:r>
      <w:r w:rsidR="00B477E5">
        <w:rPr>
          <w:rFonts w:ascii="Times New Roman" w:hAnsi="Times New Roman"/>
          <w:sz w:val="24"/>
        </w:rPr>
        <w:t>3</w:t>
      </w:r>
      <w:r w:rsidRPr="00555788">
        <w:rPr>
          <w:rFonts w:ascii="Times New Roman" w:hAnsi="Times New Roman"/>
          <w:sz w:val="24"/>
        </w:rPr>
        <w:t>.</w:t>
      </w:r>
    </w:p>
    <w:p w:rsidR="00963E94" w:rsidRPr="00ED7E20" w:rsidRDefault="00963E94" w:rsidP="002A0CD0">
      <w:pPr>
        <w:spacing w:after="0" w:line="240" w:lineRule="auto"/>
        <w:rPr>
          <w:rFonts w:ascii="Times New Roman" w:hAnsi="Times New Roman"/>
          <w:sz w:val="24"/>
          <w:szCs w:val="24"/>
        </w:rPr>
      </w:pPr>
    </w:p>
    <w:p w:rsidR="00552DDF" w:rsidRDefault="00552DDF" w:rsidP="002A0CD0">
      <w:pPr>
        <w:spacing w:after="0" w:line="240" w:lineRule="auto"/>
        <w:rPr>
          <w:rFonts w:ascii="Times New Roman" w:hAnsi="Times New Roman"/>
          <w:b/>
          <w:snapToGrid w:val="0"/>
          <w:color w:val="000080"/>
          <w:sz w:val="24"/>
          <w:szCs w:val="24"/>
        </w:rPr>
      </w:pPr>
    </w:p>
    <w:p w:rsidR="00FC67F9" w:rsidRPr="00ED7E20" w:rsidRDefault="00FC67F9" w:rsidP="002A0CD0">
      <w:pPr>
        <w:spacing w:after="0" w:line="240" w:lineRule="auto"/>
        <w:rPr>
          <w:rFonts w:ascii="Times New Roman" w:hAnsi="Times New Roman"/>
          <w:b/>
          <w:snapToGrid w:val="0"/>
          <w:color w:val="000080"/>
          <w:sz w:val="24"/>
          <w:szCs w:val="24"/>
        </w:rPr>
      </w:pPr>
      <w:r w:rsidRPr="00ED7E20">
        <w:rPr>
          <w:rFonts w:ascii="Times New Roman" w:hAnsi="Times New Roman"/>
          <w:b/>
          <w:snapToGrid w:val="0"/>
          <w:color w:val="000080"/>
          <w:sz w:val="24"/>
          <w:szCs w:val="24"/>
        </w:rPr>
        <w:t>Effluent Limitations Guidelines Revision</w:t>
      </w:r>
    </w:p>
    <w:p w:rsidR="00FC67F9" w:rsidRDefault="00FC67F9" w:rsidP="002A0CD0">
      <w:pPr>
        <w:spacing w:after="0" w:line="240" w:lineRule="auto"/>
        <w:rPr>
          <w:rFonts w:ascii="Times New Roman" w:hAnsi="Times New Roman"/>
          <w:sz w:val="24"/>
          <w:szCs w:val="24"/>
        </w:rPr>
      </w:pPr>
      <w:r w:rsidRPr="00ED7E20">
        <w:rPr>
          <w:rFonts w:ascii="Times New Roman" w:hAnsi="Times New Roman"/>
          <w:sz w:val="24"/>
          <w:szCs w:val="24"/>
        </w:rPr>
        <w:t xml:space="preserve">On September 15, 2009, EPA announced its plans to commence a rulemaking to revise the current effluent guidelines for steam electric plants.  The current rule, which was promulgated in 1982, establishes technology-based effluent limitations for new and existing discharges.  EPA completed a multi-year study of power plant wastewater discharges and concluded that pollutant discharges from coal-fired power plants will increase significantly in the next few years as new air pollution controls are installed.  EPA’s study concludes that technologies are available to significantly reduce pollutant loadings from ash transport water and </w:t>
      </w:r>
      <w:r w:rsidR="002F1DF0">
        <w:rPr>
          <w:rFonts w:ascii="Times New Roman" w:hAnsi="Times New Roman"/>
          <w:sz w:val="24"/>
          <w:szCs w:val="24"/>
        </w:rPr>
        <w:t>flue gas desulfurization (</w:t>
      </w:r>
      <w:r w:rsidRPr="00ED7E20">
        <w:rPr>
          <w:rFonts w:ascii="Times New Roman" w:hAnsi="Times New Roman"/>
          <w:sz w:val="24"/>
          <w:szCs w:val="24"/>
        </w:rPr>
        <w:t>FGD</w:t>
      </w:r>
      <w:r w:rsidR="002F1DF0">
        <w:rPr>
          <w:rFonts w:ascii="Times New Roman" w:hAnsi="Times New Roman"/>
          <w:sz w:val="24"/>
          <w:szCs w:val="24"/>
        </w:rPr>
        <w:t xml:space="preserve"> also commonly referred to as “scrubber”)</w:t>
      </w:r>
      <w:r w:rsidRPr="00ED7E20">
        <w:rPr>
          <w:rFonts w:ascii="Times New Roman" w:hAnsi="Times New Roman"/>
          <w:sz w:val="24"/>
          <w:szCs w:val="24"/>
        </w:rPr>
        <w:t xml:space="preserve"> wastewater.   </w:t>
      </w:r>
    </w:p>
    <w:p w:rsidR="002F1DF0" w:rsidRPr="00ED7E20" w:rsidRDefault="002F1DF0" w:rsidP="002A0CD0">
      <w:pPr>
        <w:spacing w:after="0" w:line="240" w:lineRule="auto"/>
        <w:rPr>
          <w:rFonts w:ascii="Times New Roman" w:hAnsi="Times New Roman"/>
          <w:sz w:val="24"/>
          <w:szCs w:val="24"/>
        </w:rPr>
      </w:pPr>
    </w:p>
    <w:p w:rsidR="00FC67F9" w:rsidRPr="00ED7E20" w:rsidRDefault="00FC67F9" w:rsidP="002A0CD0">
      <w:pPr>
        <w:spacing w:after="0" w:line="240" w:lineRule="auto"/>
        <w:rPr>
          <w:rFonts w:ascii="Times New Roman" w:hAnsi="Times New Roman"/>
          <w:sz w:val="24"/>
          <w:szCs w:val="24"/>
        </w:rPr>
      </w:pPr>
      <w:r w:rsidRPr="00ED7E20">
        <w:rPr>
          <w:rFonts w:ascii="Times New Roman" w:hAnsi="Times New Roman"/>
          <w:sz w:val="24"/>
          <w:szCs w:val="24"/>
        </w:rPr>
        <w:t xml:space="preserve">During the data collection phase of this rulemaking, EPA sent a lengthy and comprehensive Information Collection Request (ICR) to 733 facilities seeking technical and economic data about FGD wastewater, ash handling, metal cleaning wastes, surface impoundments, wastewater treatment, and landfill operations.  In addition, EPA has completed a separate wastewater sampling program covering several facilities around the country.  This sampling effort focused on the evaluation of several FGD wastewater treatment systems (e.g., physical, chemical, and biological processes) in the removal of nutrients, mercury, and metals. EPA also sampled wastewater from two IGCC facilities and from a pilot-scale carbon </w:t>
      </w:r>
      <w:proofErr w:type="gramStart"/>
      <w:r w:rsidRPr="00ED7E20">
        <w:rPr>
          <w:rFonts w:ascii="Times New Roman" w:hAnsi="Times New Roman"/>
          <w:sz w:val="24"/>
          <w:szCs w:val="24"/>
        </w:rPr>
        <w:t>capture</w:t>
      </w:r>
      <w:proofErr w:type="gramEnd"/>
      <w:r w:rsidRPr="00ED7E20">
        <w:rPr>
          <w:rFonts w:ascii="Times New Roman" w:hAnsi="Times New Roman"/>
          <w:sz w:val="24"/>
          <w:szCs w:val="24"/>
        </w:rPr>
        <w:t xml:space="preserve"> study. </w:t>
      </w:r>
    </w:p>
    <w:p w:rsidR="00FC67F9" w:rsidRPr="00ED7E20" w:rsidRDefault="00FC67F9" w:rsidP="002A0CD0">
      <w:pPr>
        <w:spacing w:after="0" w:line="240" w:lineRule="auto"/>
        <w:rPr>
          <w:rFonts w:ascii="Times New Roman" w:hAnsi="Times New Roman"/>
          <w:sz w:val="24"/>
          <w:szCs w:val="24"/>
        </w:rPr>
      </w:pPr>
    </w:p>
    <w:p w:rsidR="00FC67F9" w:rsidRPr="00ED7E20" w:rsidRDefault="00FC67F9" w:rsidP="002A0CD0">
      <w:pPr>
        <w:spacing w:after="0" w:line="240" w:lineRule="auto"/>
        <w:rPr>
          <w:rFonts w:ascii="Times New Roman" w:hAnsi="Times New Roman"/>
          <w:sz w:val="24"/>
          <w:szCs w:val="24"/>
        </w:rPr>
      </w:pPr>
      <w:r w:rsidRPr="00ED7E20">
        <w:rPr>
          <w:rFonts w:ascii="Times New Roman" w:hAnsi="Times New Roman"/>
          <w:sz w:val="24"/>
          <w:szCs w:val="24"/>
        </w:rPr>
        <w:t xml:space="preserve">Based on a settlement agreement with several environmental groups, EPA is scheduled to propose a rule in </w:t>
      </w:r>
      <w:r w:rsidR="00B476FD">
        <w:rPr>
          <w:rFonts w:ascii="Times New Roman" w:hAnsi="Times New Roman"/>
          <w:sz w:val="24"/>
          <w:szCs w:val="24"/>
        </w:rPr>
        <w:t>April 2013</w:t>
      </w:r>
      <w:r w:rsidRPr="00ED7E20">
        <w:rPr>
          <w:rFonts w:ascii="Times New Roman" w:hAnsi="Times New Roman"/>
          <w:sz w:val="24"/>
          <w:szCs w:val="24"/>
        </w:rPr>
        <w:t xml:space="preserve"> and finalize it by </w:t>
      </w:r>
      <w:r w:rsidR="000252FA">
        <w:rPr>
          <w:rFonts w:ascii="Times New Roman" w:hAnsi="Times New Roman"/>
          <w:sz w:val="24"/>
          <w:szCs w:val="24"/>
        </w:rPr>
        <w:t>May</w:t>
      </w:r>
      <w:r w:rsidRPr="00ED7E20">
        <w:rPr>
          <w:rFonts w:ascii="Times New Roman" w:hAnsi="Times New Roman"/>
          <w:sz w:val="24"/>
          <w:szCs w:val="24"/>
        </w:rPr>
        <w:t xml:space="preserve"> 2014.  EPA may decide to phase in requirements as permits are renewed over the five-year NPDES permitting cycle, or it could take a more extreme position and require </w:t>
      </w:r>
      <w:r w:rsidR="004F73B2">
        <w:rPr>
          <w:rFonts w:ascii="Times New Roman" w:hAnsi="Times New Roman"/>
          <w:sz w:val="24"/>
          <w:szCs w:val="24"/>
        </w:rPr>
        <w:t xml:space="preserve">faster </w:t>
      </w:r>
      <w:r w:rsidRPr="00ED7E20">
        <w:rPr>
          <w:rFonts w:ascii="Times New Roman" w:hAnsi="Times New Roman"/>
          <w:sz w:val="24"/>
          <w:szCs w:val="24"/>
        </w:rPr>
        <w:t xml:space="preserve">compliance. The impact of this rulemaking could include requirements for FGD wastewater treatment, </w:t>
      </w:r>
      <w:r w:rsidR="009136A7">
        <w:rPr>
          <w:rFonts w:ascii="Times New Roman" w:hAnsi="Times New Roman"/>
          <w:sz w:val="24"/>
          <w:szCs w:val="24"/>
        </w:rPr>
        <w:t xml:space="preserve">limitations </w:t>
      </w:r>
      <w:r w:rsidRPr="00ED7E20">
        <w:rPr>
          <w:rFonts w:ascii="Times New Roman" w:hAnsi="Times New Roman"/>
          <w:sz w:val="24"/>
          <w:szCs w:val="24"/>
        </w:rPr>
        <w:t>on wet sluicing of fly ash and bottom ash for coal-fired facilities, and treatment of landfill leachate.  The rule is not limited to coal-fired facilities and could potentially address wastewater limits at nuclear, gas, and combined-cycle facilities as well.</w:t>
      </w:r>
    </w:p>
    <w:p w:rsidR="00FC67F9" w:rsidRPr="00ED7E20" w:rsidRDefault="00FC67F9" w:rsidP="002A0CD0">
      <w:pPr>
        <w:spacing w:after="0" w:line="240" w:lineRule="auto"/>
        <w:rPr>
          <w:rFonts w:ascii="Times New Roman" w:hAnsi="Times New Roman"/>
          <w:b/>
          <w:snapToGrid w:val="0"/>
          <w:color w:val="000080"/>
          <w:sz w:val="24"/>
          <w:szCs w:val="24"/>
        </w:rPr>
      </w:pPr>
    </w:p>
    <w:p w:rsidR="00FC67F9" w:rsidRPr="00ED7E20" w:rsidRDefault="00FC67F9" w:rsidP="002A0CD0">
      <w:pPr>
        <w:spacing w:after="0" w:line="240" w:lineRule="auto"/>
        <w:rPr>
          <w:rFonts w:ascii="Times New Roman" w:hAnsi="Times New Roman"/>
          <w:b/>
          <w:snapToGrid w:val="0"/>
          <w:color w:val="000080"/>
          <w:sz w:val="24"/>
          <w:szCs w:val="24"/>
        </w:rPr>
      </w:pPr>
      <w:r w:rsidRPr="00ED7E20">
        <w:rPr>
          <w:rFonts w:ascii="Times New Roman" w:hAnsi="Times New Roman"/>
          <w:b/>
          <w:snapToGrid w:val="0"/>
          <w:color w:val="000080"/>
          <w:sz w:val="24"/>
          <w:szCs w:val="24"/>
        </w:rPr>
        <w:t>Thermal Variances</w:t>
      </w:r>
    </w:p>
    <w:p w:rsidR="00FC67F9" w:rsidRPr="00ED7E20" w:rsidRDefault="00FC67F9" w:rsidP="002A0CD0">
      <w:pPr>
        <w:spacing w:after="0" w:line="240" w:lineRule="auto"/>
        <w:rPr>
          <w:rFonts w:ascii="Times New Roman" w:hAnsi="Times New Roman"/>
          <w:snapToGrid w:val="0"/>
          <w:color w:val="000080"/>
          <w:sz w:val="24"/>
          <w:szCs w:val="24"/>
        </w:rPr>
      </w:pPr>
      <w:r w:rsidRPr="00ED7E20">
        <w:rPr>
          <w:rFonts w:ascii="Times New Roman" w:hAnsi="Times New Roman"/>
          <w:snapToGrid w:val="0"/>
          <w:sz w:val="24"/>
          <w:szCs w:val="24"/>
        </w:rPr>
        <w:t>In recent years, federal and state environmental protection agencies have voiced concerns about whether §316(a) variances can be justified in light of alleged impacts to fish and wildlife.  At a minimum, Georgia Power can expect to face growing scrutiny when it requests renewal of its thermal variances.  This scrutiny may lead to new study requirements and modified permit conditions.</w:t>
      </w:r>
    </w:p>
    <w:p w:rsidR="00FC67F9" w:rsidRPr="00ED7E20" w:rsidRDefault="00FC67F9" w:rsidP="002A0CD0">
      <w:pPr>
        <w:spacing w:after="0" w:line="240" w:lineRule="auto"/>
        <w:rPr>
          <w:rFonts w:ascii="Times New Roman" w:hAnsi="Times New Roman"/>
          <w:b/>
          <w:snapToGrid w:val="0"/>
          <w:color w:val="000080"/>
          <w:sz w:val="24"/>
          <w:szCs w:val="24"/>
        </w:rPr>
      </w:pPr>
    </w:p>
    <w:p w:rsidR="00FC67F9" w:rsidRPr="00ED7E20" w:rsidRDefault="00FC67F9" w:rsidP="002A0CD0">
      <w:pPr>
        <w:spacing w:after="0" w:line="240" w:lineRule="auto"/>
        <w:rPr>
          <w:rFonts w:ascii="Times New Roman" w:hAnsi="Times New Roman"/>
          <w:b/>
          <w:color w:val="000080"/>
          <w:sz w:val="24"/>
          <w:szCs w:val="24"/>
        </w:rPr>
      </w:pPr>
      <w:r w:rsidRPr="00ED7E20">
        <w:rPr>
          <w:rFonts w:ascii="Times New Roman" w:hAnsi="Times New Roman"/>
          <w:b/>
          <w:snapToGrid w:val="0"/>
          <w:color w:val="000080"/>
          <w:sz w:val="24"/>
          <w:szCs w:val="24"/>
        </w:rPr>
        <w:t>Water Quality and TMDLs</w:t>
      </w:r>
      <w:r w:rsidRPr="00ED7E20">
        <w:rPr>
          <w:rFonts w:ascii="Times New Roman" w:hAnsi="Times New Roman"/>
          <w:b/>
          <w:color w:val="000080"/>
          <w:sz w:val="24"/>
          <w:szCs w:val="24"/>
        </w:rPr>
        <w:t xml:space="preserve"> </w:t>
      </w:r>
    </w:p>
    <w:p w:rsidR="00BB3765" w:rsidRPr="00BB3765" w:rsidRDefault="00BE2F21" w:rsidP="002A0CD0">
      <w:pPr>
        <w:spacing w:after="0" w:line="240" w:lineRule="auto"/>
        <w:rPr>
          <w:rFonts w:ascii="Times New Roman" w:hAnsi="Times New Roman"/>
          <w:b/>
          <w:color w:val="000080"/>
          <w:sz w:val="24"/>
        </w:rPr>
      </w:pPr>
      <w:r w:rsidRPr="00BE2F21">
        <w:rPr>
          <w:rFonts w:ascii="Times New Roman" w:hAnsi="Times New Roman"/>
          <w:sz w:val="24"/>
        </w:rPr>
        <w:t>Water quality</w:t>
      </w:r>
      <w:r w:rsidRPr="00BE2F21">
        <w:rPr>
          <w:rFonts w:ascii="Times New Roman" w:hAnsi="Times New Roman"/>
          <w:color w:val="000080"/>
          <w:sz w:val="24"/>
        </w:rPr>
        <w:t xml:space="preserve"> </w:t>
      </w:r>
      <w:r w:rsidRPr="00BE2F21">
        <w:rPr>
          <w:rFonts w:ascii="Times New Roman" w:hAnsi="Times New Roman"/>
          <w:color w:val="000000"/>
          <w:sz w:val="24"/>
        </w:rPr>
        <w:t>standards</w:t>
      </w:r>
      <w:r w:rsidRPr="00BE2F21">
        <w:rPr>
          <w:rFonts w:ascii="Times New Roman" w:hAnsi="Times New Roman"/>
          <w:sz w:val="24"/>
        </w:rPr>
        <w:t xml:space="preserve"> are set by state law on toxics and other potential pollutants based on the protection of aquatic life and human health. The standards are in-stream standards and permit limits are based on the assimilative capacity of the receiving stream.  To meet these and other limits, additional wastewater treatment, such as physical/chemical and/or biological systems, may be needed due to FGD wastewater impacts. </w:t>
      </w:r>
    </w:p>
    <w:p w:rsidR="000B7853" w:rsidRDefault="000B7853" w:rsidP="002A0CD0">
      <w:pPr>
        <w:spacing w:after="0" w:line="240" w:lineRule="auto"/>
        <w:rPr>
          <w:rFonts w:ascii="Times New Roman" w:hAnsi="Times New Roman"/>
          <w:sz w:val="24"/>
        </w:rPr>
      </w:pPr>
    </w:p>
    <w:p w:rsidR="00BB3765" w:rsidRPr="00BB3765" w:rsidRDefault="00BE2F21" w:rsidP="002A0CD0">
      <w:pPr>
        <w:spacing w:after="0" w:line="240" w:lineRule="auto"/>
        <w:rPr>
          <w:color w:val="151515"/>
          <w:sz w:val="24"/>
        </w:rPr>
      </w:pPr>
      <w:r w:rsidRPr="00BE2F21">
        <w:rPr>
          <w:rFonts w:ascii="Times New Roman" w:hAnsi="Times New Roman"/>
          <w:sz w:val="24"/>
        </w:rPr>
        <w:t xml:space="preserve">In addition, states are under increasing pressure to identify impaired waters (waters that do not meet applicable water quality standards), develop total maximum daily loads (TMDLs) for those waters, and impose point and non-point source controls designed to bring the waters into compliance. </w:t>
      </w:r>
      <w:r w:rsidRPr="00BE2F21">
        <w:rPr>
          <w:rFonts w:ascii="Times New Roman" w:hAnsi="Times New Roman"/>
          <w:color w:val="151515"/>
          <w:sz w:val="24"/>
        </w:rPr>
        <w:t xml:space="preserve">A TMDL is a calculation of the maximum amount of a pollutant that a waterbody can receive and still safely meet water quality standards. </w:t>
      </w:r>
      <w:r w:rsidR="008A2F52">
        <w:rPr>
          <w:rFonts w:ascii="Times New Roman" w:hAnsi="Times New Roman"/>
          <w:color w:val="151515"/>
          <w:sz w:val="24"/>
        </w:rPr>
        <w:t>In developing TMDLs, the</w:t>
      </w:r>
      <w:r w:rsidRPr="00BE2F21">
        <w:rPr>
          <w:rFonts w:ascii="Times New Roman" w:hAnsi="Times New Roman"/>
          <w:color w:val="151515"/>
          <w:sz w:val="24"/>
        </w:rPr>
        <w:t xml:space="preserve"> states </w:t>
      </w:r>
      <w:r w:rsidR="008A2F52">
        <w:rPr>
          <w:rFonts w:ascii="Times New Roman" w:hAnsi="Times New Roman"/>
          <w:color w:val="151515"/>
          <w:sz w:val="24"/>
        </w:rPr>
        <w:t>have the responsibility to establish</w:t>
      </w:r>
      <w:r w:rsidRPr="00BE2F21">
        <w:rPr>
          <w:rFonts w:ascii="Times New Roman" w:hAnsi="Times New Roman"/>
          <w:color w:val="151515"/>
          <w:sz w:val="24"/>
        </w:rPr>
        <w:t xml:space="preserve"> reasonable, scientifically sound </w:t>
      </w:r>
      <w:r w:rsidR="008A2F52">
        <w:rPr>
          <w:rFonts w:ascii="Times New Roman" w:hAnsi="Times New Roman"/>
          <w:color w:val="151515"/>
          <w:sz w:val="24"/>
        </w:rPr>
        <w:t>allocations</w:t>
      </w:r>
      <w:r w:rsidR="008A2F52" w:rsidRPr="00BE2F21">
        <w:rPr>
          <w:rFonts w:ascii="Times New Roman" w:hAnsi="Times New Roman"/>
          <w:color w:val="151515"/>
          <w:sz w:val="24"/>
        </w:rPr>
        <w:t xml:space="preserve"> </w:t>
      </w:r>
      <w:r w:rsidRPr="00BE2F21">
        <w:rPr>
          <w:rFonts w:ascii="Times New Roman" w:hAnsi="Times New Roman"/>
          <w:color w:val="151515"/>
          <w:sz w:val="24"/>
        </w:rPr>
        <w:t xml:space="preserve">and divide the estimated pollutant loads equitably among </w:t>
      </w:r>
      <w:r w:rsidR="003519CB">
        <w:rPr>
          <w:rFonts w:ascii="Times New Roman" w:hAnsi="Times New Roman"/>
          <w:color w:val="151515"/>
          <w:sz w:val="24"/>
        </w:rPr>
        <w:t>non-point and</w:t>
      </w:r>
      <w:r w:rsidRPr="00BE2F21">
        <w:rPr>
          <w:rFonts w:ascii="Times New Roman" w:hAnsi="Times New Roman"/>
          <w:color w:val="151515"/>
          <w:sz w:val="24"/>
        </w:rPr>
        <w:t xml:space="preserve"> point sources, such as utilities</w:t>
      </w:r>
      <w:r w:rsidR="008A2F52">
        <w:rPr>
          <w:rFonts w:ascii="Times New Roman" w:hAnsi="Times New Roman"/>
          <w:color w:val="151515"/>
          <w:sz w:val="24"/>
        </w:rPr>
        <w:t>. These technical documents are driven by water quality standards and often impose</w:t>
      </w:r>
      <w:r w:rsidRPr="00BE2F21">
        <w:rPr>
          <w:rFonts w:ascii="Times New Roman" w:hAnsi="Times New Roman"/>
          <w:color w:val="151515"/>
          <w:sz w:val="24"/>
        </w:rPr>
        <w:t xml:space="preserve"> strict effluent limitations. </w:t>
      </w:r>
    </w:p>
    <w:p w:rsidR="00FC67F9" w:rsidRPr="00ED7E20" w:rsidRDefault="00FC67F9" w:rsidP="002A0CD0">
      <w:pPr>
        <w:spacing w:after="0" w:line="240" w:lineRule="auto"/>
        <w:rPr>
          <w:rFonts w:ascii="Times New Roman" w:hAnsi="Times New Roman"/>
          <w:sz w:val="24"/>
          <w:szCs w:val="24"/>
        </w:rPr>
      </w:pPr>
    </w:p>
    <w:p w:rsidR="00FC67F9" w:rsidRPr="00ED7E20" w:rsidRDefault="00FC67F9" w:rsidP="002A0CD0">
      <w:pPr>
        <w:autoSpaceDE w:val="0"/>
        <w:autoSpaceDN w:val="0"/>
        <w:adjustRightInd w:val="0"/>
        <w:spacing w:after="0" w:line="240" w:lineRule="auto"/>
        <w:jc w:val="both"/>
        <w:outlineLvl w:val="1"/>
        <w:rPr>
          <w:rFonts w:ascii="Times New Roman" w:hAnsi="Times New Roman"/>
          <w:b/>
          <w:bCs/>
          <w:color w:val="000080"/>
          <w:sz w:val="24"/>
          <w:szCs w:val="24"/>
        </w:rPr>
      </w:pPr>
      <w:bookmarkStart w:id="19" w:name="_Toc347314846"/>
      <w:r>
        <w:rPr>
          <w:rFonts w:ascii="Times New Roman" w:hAnsi="Times New Roman"/>
          <w:b/>
          <w:bCs/>
          <w:color w:val="000080"/>
          <w:sz w:val="24"/>
          <w:szCs w:val="24"/>
        </w:rPr>
        <w:t>2.1</w:t>
      </w:r>
      <w:r w:rsidR="0081596B">
        <w:rPr>
          <w:rFonts w:ascii="Times New Roman" w:hAnsi="Times New Roman"/>
          <w:b/>
          <w:bCs/>
          <w:color w:val="000080"/>
          <w:sz w:val="24"/>
          <w:szCs w:val="24"/>
        </w:rPr>
        <w:t>3</w:t>
      </w:r>
      <w:r>
        <w:rPr>
          <w:rFonts w:ascii="Times New Roman" w:hAnsi="Times New Roman"/>
          <w:b/>
          <w:bCs/>
          <w:color w:val="000080"/>
          <w:sz w:val="24"/>
          <w:szCs w:val="24"/>
        </w:rPr>
        <w:tab/>
      </w:r>
      <w:r w:rsidRPr="00ED7E20">
        <w:rPr>
          <w:rFonts w:ascii="Times New Roman" w:hAnsi="Times New Roman"/>
          <w:b/>
          <w:bCs/>
          <w:color w:val="000080"/>
          <w:sz w:val="24"/>
          <w:szCs w:val="24"/>
        </w:rPr>
        <w:t>Land Issues</w:t>
      </w:r>
      <w:bookmarkEnd w:id="19"/>
      <w:r w:rsidRPr="00ED7E20">
        <w:rPr>
          <w:rFonts w:ascii="Times New Roman" w:hAnsi="Times New Roman"/>
          <w:b/>
          <w:bCs/>
          <w:color w:val="000080"/>
          <w:sz w:val="24"/>
          <w:szCs w:val="24"/>
        </w:rPr>
        <w:t xml:space="preserve"> </w:t>
      </w:r>
    </w:p>
    <w:p w:rsidR="00FC67F9" w:rsidRPr="00ED7E20" w:rsidRDefault="00FC67F9" w:rsidP="002A0CD0">
      <w:pPr>
        <w:keepNext/>
        <w:autoSpaceDE w:val="0"/>
        <w:autoSpaceDN w:val="0"/>
        <w:adjustRightInd w:val="0"/>
        <w:spacing w:after="0" w:line="240" w:lineRule="auto"/>
        <w:rPr>
          <w:rFonts w:ascii="Times New Roman" w:hAnsi="Times New Roman"/>
          <w:b/>
          <w:bCs/>
          <w:color w:val="000080"/>
          <w:sz w:val="24"/>
          <w:szCs w:val="24"/>
        </w:rPr>
      </w:pPr>
    </w:p>
    <w:p w:rsidR="00FC67F9" w:rsidRPr="00ED7E20" w:rsidRDefault="00FC67F9" w:rsidP="002A0CD0">
      <w:pPr>
        <w:keepNext/>
        <w:autoSpaceDE w:val="0"/>
        <w:autoSpaceDN w:val="0"/>
        <w:adjustRightInd w:val="0"/>
        <w:spacing w:after="0" w:line="240" w:lineRule="auto"/>
        <w:rPr>
          <w:rFonts w:ascii="Times New Roman" w:hAnsi="Times New Roman"/>
          <w:b/>
          <w:bCs/>
          <w:color w:val="000080"/>
          <w:sz w:val="24"/>
          <w:szCs w:val="24"/>
        </w:rPr>
      </w:pPr>
      <w:r w:rsidRPr="00ED7E20">
        <w:rPr>
          <w:rFonts w:ascii="Times New Roman" w:hAnsi="Times New Roman"/>
          <w:b/>
          <w:bCs/>
          <w:color w:val="000080"/>
          <w:sz w:val="24"/>
          <w:szCs w:val="24"/>
        </w:rPr>
        <w:t xml:space="preserve">Coal Combustion </w:t>
      </w:r>
      <w:r w:rsidR="00AA2A9D">
        <w:rPr>
          <w:rFonts w:ascii="Times New Roman" w:hAnsi="Times New Roman"/>
          <w:b/>
          <w:bCs/>
          <w:color w:val="000080"/>
          <w:sz w:val="24"/>
          <w:szCs w:val="24"/>
        </w:rPr>
        <w:t>Byproducts (CCB)</w:t>
      </w:r>
    </w:p>
    <w:p w:rsidR="00FC67F9" w:rsidRPr="00ED7E20" w:rsidRDefault="00FC67F9" w:rsidP="002A0CD0">
      <w:pPr>
        <w:spacing w:after="0" w:line="240" w:lineRule="auto"/>
        <w:rPr>
          <w:rFonts w:ascii="Times New Roman" w:hAnsi="Times New Roman"/>
          <w:b/>
          <w:bCs/>
          <w:sz w:val="24"/>
          <w:szCs w:val="24"/>
        </w:rPr>
      </w:pPr>
      <w:r w:rsidRPr="00ED7E20">
        <w:rPr>
          <w:rFonts w:ascii="Times New Roman" w:hAnsi="Times New Roman"/>
          <w:sz w:val="24"/>
          <w:szCs w:val="24"/>
        </w:rPr>
        <w:t>In May 2000, EPA concluded, after nearly 20 years of study, that coal ash does not warrant hazardous waste regulation under RCRA Subtitle C and that states should continue to be the primary environmental regulators for coal ash management.  </w:t>
      </w:r>
      <w:r w:rsidRPr="00ED7E20">
        <w:rPr>
          <w:rFonts w:ascii="Times New Roman" w:hAnsi="Times New Roman"/>
          <w:b/>
          <w:bCs/>
          <w:sz w:val="24"/>
          <w:szCs w:val="24"/>
        </w:rPr>
        <w:t xml:space="preserve"> </w:t>
      </w:r>
    </w:p>
    <w:p w:rsidR="00FC67F9" w:rsidRPr="00ED7E20" w:rsidRDefault="00FC67F9" w:rsidP="002A0CD0">
      <w:pPr>
        <w:spacing w:after="0" w:line="240" w:lineRule="auto"/>
        <w:rPr>
          <w:rFonts w:ascii="Times New Roman" w:hAnsi="Times New Roman"/>
          <w:sz w:val="24"/>
          <w:szCs w:val="24"/>
        </w:rPr>
      </w:pPr>
    </w:p>
    <w:p w:rsidR="00AC111B" w:rsidRPr="00ED7E20" w:rsidRDefault="00AC111B" w:rsidP="002A0CD0">
      <w:pPr>
        <w:spacing w:after="0" w:line="240" w:lineRule="auto"/>
        <w:rPr>
          <w:rFonts w:ascii="Times New Roman" w:hAnsi="Times New Roman"/>
          <w:sz w:val="24"/>
          <w:szCs w:val="24"/>
        </w:rPr>
      </w:pPr>
      <w:r w:rsidRPr="00ED7E20">
        <w:rPr>
          <w:rFonts w:ascii="Times New Roman" w:hAnsi="Times New Roman"/>
          <w:sz w:val="24"/>
          <w:szCs w:val="24"/>
        </w:rPr>
        <w:t xml:space="preserve">A December 2008 release of ash from TVA’s Kingston coal-fired generating facility has resulted in increased scrutiny and focus on </w:t>
      </w:r>
      <w:r>
        <w:rPr>
          <w:rFonts w:ascii="Times New Roman" w:hAnsi="Times New Roman"/>
          <w:sz w:val="24"/>
          <w:szCs w:val="24"/>
        </w:rPr>
        <w:t>CCB</w:t>
      </w:r>
      <w:r w:rsidRPr="00ED7E20">
        <w:rPr>
          <w:rFonts w:ascii="Times New Roman" w:hAnsi="Times New Roman"/>
          <w:sz w:val="24"/>
          <w:szCs w:val="24"/>
        </w:rPr>
        <w:t xml:space="preserve"> management industry-wide.  </w:t>
      </w:r>
      <w:r w:rsidR="00483A8E">
        <w:rPr>
          <w:rFonts w:ascii="Times New Roman" w:hAnsi="Times New Roman"/>
          <w:sz w:val="24"/>
          <w:szCs w:val="24"/>
        </w:rPr>
        <w:t xml:space="preserve">EPA issued Information Collection Requests (ICR) </w:t>
      </w:r>
      <w:r w:rsidR="00483A8E" w:rsidRPr="00483A8E">
        <w:rPr>
          <w:rFonts w:ascii="Times New Roman" w:hAnsi="Times New Roman"/>
          <w:sz w:val="24"/>
          <w:szCs w:val="24"/>
        </w:rPr>
        <w:t>on the Structural Integrity of Coal Combustion Residuals in Surface Impoundments to electric utilities having surface impoundments that contain CCBs</w:t>
      </w:r>
      <w:r w:rsidR="00483A8E">
        <w:rPr>
          <w:rFonts w:ascii="Times New Roman" w:hAnsi="Times New Roman"/>
          <w:sz w:val="24"/>
          <w:szCs w:val="24"/>
        </w:rPr>
        <w:t xml:space="preserve"> in March of 2009</w:t>
      </w:r>
      <w:r w:rsidR="00483A8E" w:rsidRPr="00483A8E">
        <w:rPr>
          <w:rFonts w:ascii="Times New Roman" w:hAnsi="Times New Roman"/>
          <w:sz w:val="24"/>
          <w:szCs w:val="24"/>
        </w:rPr>
        <w:t>.</w:t>
      </w:r>
      <w:r w:rsidR="00483A8E">
        <w:rPr>
          <w:rFonts w:ascii="Times New Roman" w:hAnsi="Times New Roman"/>
          <w:sz w:val="24"/>
          <w:szCs w:val="24"/>
        </w:rPr>
        <w:t xml:space="preserve">  </w:t>
      </w:r>
      <w:r w:rsidR="00126BE9">
        <w:rPr>
          <w:rFonts w:ascii="Times New Roman" w:hAnsi="Times New Roman"/>
          <w:sz w:val="24"/>
          <w:szCs w:val="24"/>
        </w:rPr>
        <w:t xml:space="preserve">Georgia Power </w:t>
      </w:r>
      <w:r w:rsidRPr="00ED7E20">
        <w:rPr>
          <w:rFonts w:ascii="Times New Roman" w:hAnsi="Times New Roman"/>
          <w:sz w:val="24"/>
          <w:szCs w:val="24"/>
        </w:rPr>
        <w:t xml:space="preserve">responded to </w:t>
      </w:r>
      <w:r w:rsidR="00126BE9">
        <w:rPr>
          <w:rFonts w:ascii="Times New Roman" w:hAnsi="Times New Roman"/>
          <w:sz w:val="24"/>
          <w:szCs w:val="24"/>
        </w:rPr>
        <w:t>the</w:t>
      </w:r>
      <w:r w:rsidRPr="00ED7E20">
        <w:rPr>
          <w:rFonts w:ascii="Times New Roman" w:hAnsi="Times New Roman"/>
          <w:sz w:val="24"/>
          <w:szCs w:val="24"/>
        </w:rPr>
        <w:t xml:space="preserve"> EPA </w:t>
      </w:r>
      <w:r w:rsidR="00126BE9">
        <w:rPr>
          <w:rFonts w:ascii="Times New Roman" w:hAnsi="Times New Roman"/>
          <w:sz w:val="24"/>
          <w:szCs w:val="24"/>
        </w:rPr>
        <w:t>with</w:t>
      </w:r>
      <w:r w:rsidRPr="00ED7E20">
        <w:rPr>
          <w:rFonts w:ascii="Times New Roman" w:hAnsi="Times New Roman"/>
          <w:sz w:val="24"/>
          <w:szCs w:val="24"/>
        </w:rPr>
        <w:t xml:space="preserve"> information regarding ash ponds for </w:t>
      </w:r>
      <w:r>
        <w:rPr>
          <w:rFonts w:ascii="Times New Roman" w:hAnsi="Times New Roman"/>
          <w:sz w:val="24"/>
          <w:szCs w:val="24"/>
        </w:rPr>
        <w:t>all</w:t>
      </w:r>
      <w:r w:rsidRPr="00ED7E20">
        <w:rPr>
          <w:rFonts w:ascii="Times New Roman" w:hAnsi="Times New Roman"/>
          <w:sz w:val="24"/>
          <w:szCs w:val="24"/>
        </w:rPr>
        <w:t xml:space="preserve"> facilities.</w:t>
      </w:r>
    </w:p>
    <w:p w:rsidR="00FC67F9" w:rsidRPr="00ED7E20" w:rsidRDefault="00FC67F9" w:rsidP="002A0CD0">
      <w:pPr>
        <w:spacing w:after="0" w:line="240" w:lineRule="auto"/>
        <w:rPr>
          <w:rFonts w:ascii="Times New Roman" w:hAnsi="Times New Roman"/>
          <w:sz w:val="24"/>
          <w:szCs w:val="24"/>
        </w:rPr>
      </w:pPr>
    </w:p>
    <w:p w:rsidR="00AC111B" w:rsidRDefault="00AC111B" w:rsidP="002A0CD0">
      <w:pPr>
        <w:spacing w:after="0" w:line="240" w:lineRule="auto"/>
        <w:rPr>
          <w:rFonts w:ascii="Arial Narrow" w:hAnsi="Arial Narrow" w:cs="Arial"/>
        </w:rPr>
      </w:pPr>
      <w:r w:rsidRPr="00ED7E20">
        <w:rPr>
          <w:rFonts w:ascii="Times New Roman" w:hAnsi="Times New Roman"/>
          <w:sz w:val="24"/>
          <w:szCs w:val="24"/>
        </w:rPr>
        <w:t>In June 2010</w:t>
      </w:r>
      <w:r>
        <w:rPr>
          <w:rFonts w:ascii="Times New Roman" w:hAnsi="Times New Roman"/>
          <w:sz w:val="24"/>
          <w:szCs w:val="24"/>
        </w:rPr>
        <w:t>,</w:t>
      </w:r>
      <w:r w:rsidRPr="00ED7E20">
        <w:rPr>
          <w:rFonts w:ascii="Times New Roman" w:hAnsi="Times New Roman"/>
          <w:sz w:val="24"/>
          <w:szCs w:val="24"/>
        </w:rPr>
        <w:t xml:space="preserve"> EPA issued a </w:t>
      </w:r>
      <w:r>
        <w:rPr>
          <w:rFonts w:ascii="Times New Roman" w:hAnsi="Times New Roman"/>
          <w:sz w:val="24"/>
          <w:szCs w:val="24"/>
        </w:rPr>
        <w:t xml:space="preserve">dual proposal for </w:t>
      </w:r>
      <w:r w:rsidRPr="00ED7E20">
        <w:rPr>
          <w:rFonts w:ascii="Times New Roman" w:hAnsi="Times New Roman"/>
          <w:sz w:val="24"/>
          <w:szCs w:val="24"/>
        </w:rPr>
        <w:t xml:space="preserve">regulating the management and disposal of </w:t>
      </w:r>
      <w:r>
        <w:rPr>
          <w:rFonts w:ascii="Times New Roman" w:hAnsi="Times New Roman"/>
          <w:sz w:val="24"/>
          <w:szCs w:val="24"/>
        </w:rPr>
        <w:t>CCBs</w:t>
      </w:r>
      <w:r w:rsidRPr="00ED7E20">
        <w:rPr>
          <w:rFonts w:ascii="Times New Roman" w:hAnsi="Times New Roman"/>
          <w:sz w:val="24"/>
          <w:szCs w:val="24"/>
        </w:rPr>
        <w:t xml:space="preserve">. </w:t>
      </w:r>
      <w:r>
        <w:rPr>
          <w:rFonts w:ascii="Times New Roman" w:hAnsi="Times New Roman"/>
          <w:sz w:val="24"/>
          <w:szCs w:val="24"/>
        </w:rPr>
        <w:t xml:space="preserve"> </w:t>
      </w:r>
      <w:r w:rsidRPr="00ED7E20">
        <w:rPr>
          <w:rFonts w:ascii="Times New Roman" w:hAnsi="Times New Roman"/>
          <w:sz w:val="24"/>
          <w:szCs w:val="24"/>
        </w:rPr>
        <w:t>EPA presented two separate regula</w:t>
      </w:r>
      <w:r>
        <w:rPr>
          <w:rFonts w:ascii="Times New Roman" w:hAnsi="Times New Roman"/>
          <w:sz w:val="24"/>
          <w:szCs w:val="24"/>
        </w:rPr>
        <w:t>tory options under the Resource</w:t>
      </w:r>
      <w:r w:rsidRPr="00ED7E20">
        <w:rPr>
          <w:rFonts w:ascii="Times New Roman" w:hAnsi="Times New Roman"/>
          <w:sz w:val="24"/>
          <w:szCs w:val="24"/>
        </w:rPr>
        <w:t xml:space="preserve"> Conservation and Recovery Act (RCRA) for regulating </w:t>
      </w:r>
      <w:r>
        <w:rPr>
          <w:rFonts w:ascii="Times New Roman" w:hAnsi="Times New Roman"/>
          <w:sz w:val="24"/>
          <w:szCs w:val="24"/>
        </w:rPr>
        <w:t>CCBs</w:t>
      </w:r>
      <w:r w:rsidRPr="00ED7E20">
        <w:rPr>
          <w:rFonts w:ascii="Times New Roman" w:hAnsi="Times New Roman"/>
          <w:sz w:val="24"/>
          <w:szCs w:val="24"/>
        </w:rPr>
        <w:t xml:space="preserve"> when generated from coal-fired electric generating facilities</w:t>
      </w:r>
      <w:r>
        <w:rPr>
          <w:rFonts w:ascii="Times New Roman" w:hAnsi="Times New Roman"/>
          <w:sz w:val="24"/>
          <w:szCs w:val="24"/>
        </w:rPr>
        <w:t>: first, regulation as if the materials were a hazardous waste and secondly, regulation as a solid waste. Adoption of either option could require closure of, or significant change to, existing wet storage facilities and construction of lined landfills, as well as additional waste management and groundwater monitoring requirements. Under both options, the EPA proposes to exempt certain beneficial reuses of coal combustion byproducts from regulation; however, a hazardous or other designation indicative of heightened risk could limit or eliminate beneficial reuse options. Georgia Power currently operates 11 electric generating plants with on-site coal combustion byproduct storage facilities (some with both “wet” (ash ponds) and “dry” (landfill) storage facilities). In addition to on-site storage, the Company also sells a portion of its coal combustion byproducts to third parties for beneficial reuse</w:t>
      </w:r>
      <w:r w:rsidR="001F422D" w:rsidRPr="001F422D">
        <w:rPr>
          <w:rFonts w:ascii="Times New Roman" w:hAnsi="Times New Roman"/>
          <w:sz w:val="24"/>
          <w:szCs w:val="24"/>
        </w:rPr>
        <w:t>.</w:t>
      </w:r>
      <w:r w:rsidR="001F422D">
        <w:rPr>
          <w:rFonts w:ascii="Times New Roman" w:hAnsi="Times New Roman"/>
          <w:sz w:val="24"/>
          <w:szCs w:val="24"/>
        </w:rPr>
        <w:t xml:space="preserve"> </w:t>
      </w:r>
      <w:r w:rsidR="001F422D" w:rsidRPr="001F422D">
        <w:rPr>
          <w:rFonts w:ascii="Times New Roman" w:hAnsi="Times New Roman"/>
          <w:sz w:val="24"/>
          <w:szCs w:val="24"/>
        </w:rPr>
        <w:t xml:space="preserve"> In 2011, Georgia Power recycled approximately </w:t>
      </w:r>
      <w:r w:rsidR="000E70FD" w:rsidRPr="00913813">
        <w:rPr>
          <w:rFonts w:ascii="Times New Roman" w:hAnsi="Times New Roman"/>
          <w:b/>
          <w:sz w:val="24"/>
          <w:szCs w:val="24"/>
        </w:rPr>
        <w:t>REDACTED</w:t>
      </w:r>
      <w:r w:rsidR="001F422D" w:rsidRPr="001F422D">
        <w:rPr>
          <w:rFonts w:ascii="Times New Roman" w:hAnsi="Times New Roman"/>
          <w:sz w:val="24"/>
          <w:szCs w:val="24"/>
        </w:rPr>
        <w:t xml:space="preserve"> of all coal combustion byproducts generated for beneficial reuse.</w:t>
      </w:r>
      <w:r w:rsidR="001F422D">
        <w:rPr>
          <w:rFonts w:ascii="Times New Roman" w:hAnsi="Times New Roman"/>
          <w:sz w:val="24"/>
          <w:szCs w:val="24"/>
        </w:rPr>
        <w:t xml:space="preserve">  </w:t>
      </w:r>
      <w:r>
        <w:rPr>
          <w:rFonts w:ascii="Times New Roman" w:hAnsi="Times New Roman"/>
          <w:sz w:val="24"/>
          <w:szCs w:val="24"/>
        </w:rPr>
        <w:t xml:space="preserve"> Historically, individual states have regulated coal combustion byproducts and the states in Southern Company’s service territory each have their own regulatory parameters. Georgia Power has a routine and robust inspection program in place to ensure the integrity of its coal combustion byproducts surface impoundments and compliance with applicable regulations. </w:t>
      </w:r>
    </w:p>
    <w:p w:rsidR="00AA2A9D" w:rsidRPr="00ED7E20" w:rsidRDefault="00AA2A9D" w:rsidP="002A0CD0">
      <w:pPr>
        <w:spacing w:after="0" w:line="240" w:lineRule="auto"/>
        <w:rPr>
          <w:rFonts w:ascii="Arial Narrow" w:hAnsi="Arial Narrow" w:cs="Arial"/>
        </w:rPr>
      </w:pPr>
    </w:p>
    <w:p w:rsidR="00B278C0" w:rsidRPr="00FD28C8" w:rsidRDefault="00B278C0" w:rsidP="002A0CD0">
      <w:pPr>
        <w:spacing w:after="0" w:line="240" w:lineRule="auto"/>
        <w:rPr>
          <w:rFonts w:ascii="Times New Roman" w:hAnsi="Times New Roman"/>
        </w:rPr>
      </w:pPr>
      <w:r w:rsidRPr="00BE2F21">
        <w:rPr>
          <w:rFonts w:ascii="Times New Roman" w:hAnsi="Times New Roman"/>
          <w:sz w:val="24"/>
        </w:rPr>
        <w:t xml:space="preserve">EPA continues preparation </w:t>
      </w:r>
      <w:r>
        <w:rPr>
          <w:rFonts w:ascii="Times New Roman" w:hAnsi="Times New Roman"/>
          <w:sz w:val="24"/>
        </w:rPr>
        <w:t>of</w:t>
      </w:r>
      <w:r w:rsidRPr="00BE2F21">
        <w:rPr>
          <w:rFonts w:ascii="Times New Roman" w:hAnsi="Times New Roman"/>
          <w:sz w:val="24"/>
        </w:rPr>
        <w:t xml:space="preserve"> a final rule for the management and disposal of </w:t>
      </w:r>
      <w:r>
        <w:rPr>
          <w:rFonts w:ascii="Times New Roman" w:hAnsi="Times New Roman"/>
          <w:sz w:val="24"/>
        </w:rPr>
        <w:t>CCB</w:t>
      </w:r>
      <w:r w:rsidRPr="00BE2F21">
        <w:rPr>
          <w:rFonts w:ascii="Times New Roman" w:hAnsi="Times New Roman"/>
          <w:sz w:val="24"/>
        </w:rPr>
        <w:t xml:space="preserve"> surface impoundments and landfills. Most recently, multiple law suits were brought against EPA </w:t>
      </w:r>
      <w:r>
        <w:rPr>
          <w:rFonts w:ascii="Times New Roman" w:hAnsi="Times New Roman"/>
          <w:sz w:val="24"/>
        </w:rPr>
        <w:t>by environmental groups and end-</w:t>
      </w:r>
      <w:r w:rsidR="005D0978">
        <w:rPr>
          <w:rFonts w:ascii="Times New Roman" w:hAnsi="Times New Roman"/>
          <w:sz w:val="24"/>
        </w:rPr>
        <w:t>u</w:t>
      </w:r>
      <w:r>
        <w:rPr>
          <w:rFonts w:ascii="Times New Roman" w:hAnsi="Times New Roman"/>
          <w:sz w:val="24"/>
        </w:rPr>
        <w:t>se marketers to force EPA to review and revise, as necessary, regulations under RCRA, specifically those associated with CCBs</w:t>
      </w:r>
      <w:r w:rsidR="000B7853">
        <w:rPr>
          <w:rFonts w:ascii="Times New Roman" w:hAnsi="Times New Roman"/>
          <w:sz w:val="24"/>
        </w:rPr>
        <w:t xml:space="preserve">.  </w:t>
      </w:r>
      <w:r w:rsidR="005D0978">
        <w:rPr>
          <w:rFonts w:ascii="Times New Roman" w:hAnsi="Times New Roman"/>
          <w:sz w:val="24"/>
        </w:rPr>
        <w:t xml:space="preserve">  EPA has not announced a schedule for finalizing the CCB rule.</w:t>
      </w:r>
    </w:p>
    <w:p w:rsidR="00AA2A9D" w:rsidRDefault="00AA2A9D" w:rsidP="002A0CD0">
      <w:pPr>
        <w:autoSpaceDE w:val="0"/>
        <w:autoSpaceDN w:val="0"/>
        <w:adjustRightInd w:val="0"/>
        <w:spacing w:after="0" w:line="240" w:lineRule="auto"/>
        <w:rPr>
          <w:rFonts w:ascii="Times New Roman" w:hAnsi="Times New Roman"/>
          <w:sz w:val="24"/>
          <w:szCs w:val="24"/>
        </w:rPr>
      </w:pPr>
    </w:p>
    <w:p w:rsidR="00AA2A9D" w:rsidRDefault="00AA2A9D" w:rsidP="002A0CD0">
      <w:pPr>
        <w:spacing w:after="0" w:line="240" w:lineRule="auto"/>
        <w:rPr>
          <w:rFonts w:ascii="Times New Roman" w:hAnsi="Times New Roman"/>
          <w:sz w:val="24"/>
          <w:szCs w:val="24"/>
        </w:rPr>
      </w:pPr>
      <w:r w:rsidRPr="00ED7E20">
        <w:rPr>
          <w:rFonts w:ascii="Times New Roman" w:hAnsi="Times New Roman"/>
          <w:sz w:val="24"/>
          <w:szCs w:val="24"/>
        </w:rPr>
        <w:t xml:space="preserve">GPC’s coal combustion </w:t>
      </w:r>
      <w:r>
        <w:rPr>
          <w:rFonts w:ascii="Times New Roman" w:hAnsi="Times New Roman"/>
          <w:sz w:val="24"/>
          <w:szCs w:val="24"/>
        </w:rPr>
        <w:t>byproduct</w:t>
      </w:r>
      <w:r w:rsidRPr="00ED7E20">
        <w:rPr>
          <w:rFonts w:ascii="Times New Roman" w:hAnsi="Times New Roman"/>
          <w:sz w:val="24"/>
          <w:szCs w:val="24"/>
        </w:rPr>
        <w:t xml:space="preserve"> management practices are in compliance with the </w:t>
      </w:r>
      <w:r>
        <w:rPr>
          <w:rFonts w:ascii="Times New Roman" w:hAnsi="Times New Roman"/>
          <w:sz w:val="24"/>
          <w:szCs w:val="24"/>
        </w:rPr>
        <w:t>State of Georgia’s</w:t>
      </w:r>
      <w:r w:rsidRPr="00ED7E20">
        <w:rPr>
          <w:rFonts w:ascii="Times New Roman" w:hAnsi="Times New Roman"/>
          <w:sz w:val="24"/>
          <w:szCs w:val="24"/>
        </w:rPr>
        <w:t xml:space="preserve"> </w:t>
      </w:r>
      <w:r>
        <w:rPr>
          <w:rFonts w:ascii="Times New Roman" w:hAnsi="Times New Roman"/>
          <w:sz w:val="24"/>
          <w:szCs w:val="24"/>
        </w:rPr>
        <w:t xml:space="preserve">regulatory requirements.  </w:t>
      </w:r>
      <w:r w:rsidRPr="00ED7E20">
        <w:rPr>
          <w:rFonts w:ascii="Times New Roman" w:hAnsi="Times New Roman"/>
          <w:sz w:val="24"/>
          <w:szCs w:val="24"/>
        </w:rPr>
        <w:t xml:space="preserve">GPC will continue to comply with all existing and future state and federal regulatory requirements and is continually seeking to increase appropriate beneficial use of </w:t>
      </w:r>
      <w:r>
        <w:rPr>
          <w:rFonts w:ascii="Times New Roman" w:hAnsi="Times New Roman"/>
          <w:sz w:val="24"/>
          <w:szCs w:val="24"/>
        </w:rPr>
        <w:t xml:space="preserve">coal combustion byproducts </w:t>
      </w:r>
      <w:r w:rsidRPr="00ED7E20">
        <w:rPr>
          <w:rFonts w:ascii="Times New Roman" w:hAnsi="Times New Roman"/>
          <w:sz w:val="24"/>
          <w:szCs w:val="24"/>
        </w:rPr>
        <w:t>that it generates.</w:t>
      </w:r>
    </w:p>
    <w:p w:rsidR="00FC67F9" w:rsidRPr="00ED7E20" w:rsidRDefault="00FC67F9" w:rsidP="002A0CD0">
      <w:pPr>
        <w:autoSpaceDE w:val="0"/>
        <w:autoSpaceDN w:val="0"/>
        <w:adjustRightInd w:val="0"/>
        <w:spacing w:after="0" w:line="240" w:lineRule="auto"/>
        <w:rPr>
          <w:rFonts w:ascii="Times New Roman" w:hAnsi="Times New Roman"/>
          <w:sz w:val="24"/>
          <w:szCs w:val="24"/>
        </w:rPr>
      </w:pPr>
    </w:p>
    <w:p w:rsidR="00FC67F9" w:rsidRPr="00ED7E20" w:rsidRDefault="00FC67F9" w:rsidP="002A0CD0">
      <w:pPr>
        <w:autoSpaceDE w:val="0"/>
        <w:autoSpaceDN w:val="0"/>
        <w:adjustRightInd w:val="0"/>
        <w:spacing w:after="0" w:line="240" w:lineRule="auto"/>
        <w:jc w:val="both"/>
        <w:outlineLvl w:val="1"/>
        <w:rPr>
          <w:rFonts w:ascii="Times New Roman" w:hAnsi="Times New Roman"/>
          <w:b/>
          <w:bCs/>
          <w:color w:val="000080"/>
          <w:sz w:val="24"/>
          <w:szCs w:val="24"/>
        </w:rPr>
      </w:pPr>
      <w:bookmarkStart w:id="20" w:name="_Toc347314847"/>
      <w:r>
        <w:rPr>
          <w:rFonts w:ascii="Times New Roman" w:hAnsi="Times New Roman"/>
          <w:b/>
          <w:bCs/>
          <w:color w:val="000080"/>
          <w:sz w:val="24"/>
          <w:szCs w:val="24"/>
        </w:rPr>
        <w:t>2.1</w:t>
      </w:r>
      <w:r w:rsidR="0081596B">
        <w:rPr>
          <w:rFonts w:ascii="Times New Roman" w:hAnsi="Times New Roman"/>
          <w:b/>
          <w:bCs/>
          <w:color w:val="000080"/>
          <w:sz w:val="24"/>
          <w:szCs w:val="24"/>
        </w:rPr>
        <w:t>4</w:t>
      </w:r>
      <w:r>
        <w:rPr>
          <w:rFonts w:ascii="Times New Roman" w:hAnsi="Times New Roman"/>
          <w:b/>
          <w:bCs/>
          <w:color w:val="000080"/>
          <w:sz w:val="24"/>
          <w:szCs w:val="24"/>
        </w:rPr>
        <w:tab/>
      </w:r>
      <w:r w:rsidRPr="00ED7E20">
        <w:rPr>
          <w:rFonts w:ascii="Times New Roman" w:hAnsi="Times New Roman"/>
          <w:b/>
          <w:bCs/>
          <w:color w:val="000080"/>
          <w:sz w:val="24"/>
          <w:szCs w:val="24"/>
        </w:rPr>
        <w:t>Major Litigation Matters</w:t>
      </w:r>
      <w:bookmarkEnd w:id="20"/>
    </w:p>
    <w:p w:rsidR="00FC67F9" w:rsidRPr="00ED7E20" w:rsidRDefault="00FC67F9" w:rsidP="002A0CD0">
      <w:pPr>
        <w:spacing w:after="0" w:line="240" w:lineRule="auto"/>
        <w:rPr>
          <w:rFonts w:ascii="Times New Roman" w:hAnsi="Times New Roman"/>
          <w:sz w:val="24"/>
          <w:szCs w:val="24"/>
        </w:rPr>
      </w:pPr>
    </w:p>
    <w:p w:rsidR="00FC67F9" w:rsidRPr="00ED7E20" w:rsidRDefault="00FC67F9" w:rsidP="002A0CD0">
      <w:pPr>
        <w:keepNext/>
        <w:autoSpaceDE w:val="0"/>
        <w:autoSpaceDN w:val="0"/>
        <w:adjustRightInd w:val="0"/>
        <w:spacing w:after="0" w:line="240" w:lineRule="auto"/>
        <w:rPr>
          <w:rFonts w:ascii="Times New Roman" w:hAnsi="Times New Roman"/>
          <w:b/>
          <w:bCs/>
          <w:color w:val="000080"/>
          <w:sz w:val="24"/>
          <w:szCs w:val="24"/>
        </w:rPr>
      </w:pPr>
      <w:r w:rsidRPr="00ED7E20">
        <w:rPr>
          <w:rFonts w:ascii="Times New Roman" w:hAnsi="Times New Roman"/>
          <w:b/>
          <w:bCs/>
          <w:color w:val="000080"/>
          <w:sz w:val="24"/>
          <w:szCs w:val="24"/>
        </w:rPr>
        <w:t xml:space="preserve">New Source Review </w:t>
      </w:r>
    </w:p>
    <w:p w:rsidR="00FC67F9" w:rsidRPr="00ED7E20" w:rsidRDefault="00FC67F9" w:rsidP="002A0CD0">
      <w:pPr>
        <w:spacing w:after="0" w:line="240" w:lineRule="auto"/>
        <w:rPr>
          <w:rFonts w:ascii="Arial" w:hAnsi="Arial" w:cs="Arial"/>
          <w:sz w:val="20"/>
          <w:szCs w:val="20"/>
        </w:rPr>
      </w:pPr>
      <w:r w:rsidRPr="00ED7E20">
        <w:rPr>
          <w:rFonts w:ascii="Times New Roman" w:hAnsi="Times New Roman"/>
          <w:color w:val="000000"/>
          <w:sz w:val="24"/>
          <w:szCs w:val="24"/>
        </w:rPr>
        <w:t xml:space="preserve">NSR is </w:t>
      </w:r>
      <w:r w:rsidR="001663BE">
        <w:rPr>
          <w:rFonts w:ascii="Times New Roman" w:hAnsi="Times New Roman"/>
          <w:color w:val="000000"/>
          <w:sz w:val="24"/>
          <w:szCs w:val="24"/>
        </w:rPr>
        <w:t xml:space="preserve">a </w:t>
      </w:r>
      <w:r w:rsidRPr="00ED7E20">
        <w:rPr>
          <w:rFonts w:ascii="Times New Roman" w:hAnsi="Times New Roman"/>
          <w:color w:val="000000"/>
          <w:sz w:val="24"/>
          <w:szCs w:val="24"/>
        </w:rPr>
        <w:t>pre-construction permitting program under the CAA that applies to changes to an emissions source (</w:t>
      </w:r>
      <w:r w:rsidRPr="00ED7E20">
        <w:rPr>
          <w:rFonts w:ascii="Times New Roman" w:hAnsi="Times New Roman"/>
          <w:i/>
          <w:color w:val="000000"/>
          <w:sz w:val="24"/>
          <w:szCs w:val="24"/>
        </w:rPr>
        <w:t>e.g.</w:t>
      </w:r>
      <w:r w:rsidRPr="00ED7E20">
        <w:rPr>
          <w:rFonts w:ascii="Times New Roman" w:hAnsi="Times New Roman"/>
          <w:color w:val="000000"/>
          <w:sz w:val="24"/>
          <w:szCs w:val="24"/>
        </w:rPr>
        <w:t>, electric generating unit) that result in “significant” increases in air emissions.  Any new changes to NSR regulations or new interpretations of existing regulations could impact the methods utilized by the Company to ensure compliance and could have significant impact on unit operations.  The Company has been actively participating in various legislative, regulatory, and judicial proceedings addressing NSR issues.</w:t>
      </w:r>
    </w:p>
    <w:p w:rsidR="00FC67F9" w:rsidRPr="00ED7E20" w:rsidRDefault="00FC67F9" w:rsidP="002A0CD0">
      <w:pPr>
        <w:widowControl w:val="0"/>
        <w:spacing w:after="0" w:line="240" w:lineRule="auto"/>
        <w:rPr>
          <w:rFonts w:ascii="Times New Roman" w:hAnsi="Times New Roman"/>
          <w:b/>
          <w:bCs/>
          <w:color w:val="000080"/>
          <w:sz w:val="24"/>
          <w:szCs w:val="24"/>
          <w:u w:val="single"/>
        </w:rPr>
      </w:pPr>
    </w:p>
    <w:p w:rsidR="00496E75" w:rsidRDefault="00496E75" w:rsidP="00496E75">
      <w:pPr>
        <w:spacing w:after="0" w:line="240" w:lineRule="auto"/>
        <w:rPr>
          <w:rFonts w:ascii="Times New Roman" w:hAnsi="Times New Roman"/>
          <w:sz w:val="24"/>
          <w:szCs w:val="24"/>
        </w:rPr>
      </w:pPr>
      <w:r w:rsidRPr="00496E75">
        <w:rPr>
          <w:rFonts w:ascii="Times New Roman" w:hAnsi="Times New Roman"/>
          <w:sz w:val="24"/>
          <w:szCs w:val="24"/>
        </w:rPr>
        <w:t>In 1999, EPA brought a civil action in the U.S. District Court for the Northern District of Georgia</w:t>
      </w:r>
      <w:r>
        <w:rPr>
          <w:rFonts w:ascii="Times New Roman" w:hAnsi="Times New Roman"/>
          <w:sz w:val="24"/>
          <w:szCs w:val="24"/>
        </w:rPr>
        <w:t xml:space="preserve"> </w:t>
      </w:r>
      <w:r w:rsidRPr="00496E75">
        <w:rPr>
          <w:rFonts w:ascii="Times New Roman" w:hAnsi="Times New Roman"/>
          <w:sz w:val="24"/>
          <w:szCs w:val="24"/>
        </w:rPr>
        <w:t>against certain Southern Company subsidiaries, including Alabama Power and Georgia Power, alleging that thes</w:t>
      </w:r>
      <w:r>
        <w:rPr>
          <w:rFonts w:ascii="Times New Roman" w:hAnsi="Times New Roman"/>
          <w:sz w:val="24"/>
          <w:szCs w:val="24"/>
        </w:rPr>
        <w:t xml:space="preserve">e subsidiaries had violated the </w:t>
      </w:r>
      <w:r w:rsidRPr="00496E75">
        <w:rPr>
          <w:rFonts w:ascii="Times New Roman" w:hAnsi="Times New Roman"/>
          <w:sz w:val="24"/>
          <w:szCs w:val="24"/>
        </w:rPr>
        <w:t>New Source Review (NSR) provisions of the Clean Air Act and related state laws at certain coal-fired generating facilities. The EPA alleged</w:t>
      </w:r>
      <w:r>
        <w:rPr>
          <w:rFonts w:ascii="Times New Roman" w:hAnsi="Times New Roman"/>
          <w:sz w:val="24"/>
          <w:szCs w:val="24"/>
        </w:rPr>
        <w:t xml:space="preserve"> </w:t>
      </w:r>
      <w:r w:rsidRPr="00496E75">
        <w:rPr>
          <w:rFonts w:ascii="Times New Roman" w:hAnsi="Times New Roman"/>
          <w:sz w:val="24"/>
          <w:szCs w:val="24"/>
        </w:rPr>
        <w:t xml:space="preserve">NSR violations at five coal-fired generating facilities operated by Alabama Power, including a unit co-owned </w:t>
      </w:r>
      <w:r>
        <w:rPr>
          <w:rFonts w:ascii="Times New Roman" w:hAnsi="Times New Roman"/>
          <w:sz w:val="24"/>
          <w:szCs w:val="24"/>
        </w:rPr>
        <w:t xml:space="preserve">by Mississippi Power, and three </w:t>
      </w:r>
      <w:r w:rsidRPr="00496E75">
        <w:rPr>
          <w:rFonts w:ascii="Times New Roman" w:hAnsi="Times New Roman"/>
          <w:sz w:val="24"/>
          <w:szCs w:val="24"/>
        </w:rPr>
        <w:t>coal-fired generating facilities operated by Georgia Power, including a unit co-owned by Gulf Power. The civil action sought penalties and</w:t>
      </w:r>
      <w:r>
        <w:rPr>
          <w:rFonts w:ascii="Times New Roman" w:hAnsi="Times New Roman"/>
          <w:sz w:val="24"/>
          <w:szCs w:val="24"/>
        </w:rPr>
        <w:t xml:space="preserve"> </w:t>
      </w:r>
      <w:r w:rsidRPr="00496E75">
        <w:rPr>
          <w:rFonts w:ascii="Times New Roman" w:hAnsi="Times New Roman"/>
          <w:sz w:val="24"/>
          <w:szCs w:val="24"/>
        </w:rPr>
        <w:t xml:space="preserve">injunctive relief, including an order requiring installation of the best available control technology at the affected </w:t>
      </w:r>
      <w:r>
        <w:rPr>
          <w:rFonts w:ascii="Times New Roman" w:hAnsi="Times New Roman"/>
          <w:sz w:val="24"/>
          <w:szCs w:val="24"/>
        </w:rPr>
        <w:t xml:space="preserve">units. The court quickly dismissed the claims against Alabama Power and declined to add claims against Mississippi Power and Gulf Power because the claims were improperly brought in Georgia.  The case against Georgia </w:t>
      </w:r>
      <w:r w:rsidRPr="00496E75">
        <w:rPr>
          <w:rFonts w:ascii="Times New Roman" w:hAnsi="Times New Roman"/>
          <w:sz w:val="24"/>
          <w:szCs w:val="24"/>
        </w:rPr>
        <w:t xml:space="preserve">Power (including claims related to the unit co-owned by Gulf Power) was administratively closed in 2001 and has not been reopened. </w:t>
      </w:r>
      <w:r>
        <w:rPr>
          <w:rFonts w:ascii="Times New Roman" w:hAnsi="Times New Roman"/>
          <w:sz w:val="24"/>
          <w:szCs w:val="24"/>
        </w:rPr>
        <w:t xml:space="preserve"> To date, EPA has not re-filed its NSR claims against Mississippi Power or Gulf Power; however it has sought additional information from both companies on their NSR compliance status.</w:t>
      </w:r>
    </w:p>
    <w:p w:rsidR="00AA2A9D" w:rsidRDefault="00AA2A9D" w:rsidP="002A0CD0">
      <w:pPr>
        <w:spacing w:after="0" w:line="240" w:lineRule="auto"/>
        <w:rPr>
          <w:rFonts w:ascii="Times New Roman" w:hAnsi="Times New Roman"/>
          <w:sz w:val="24"/>
          <w:szCs w:val="24"/>
        </w:rPr>
      </w:pPr>
    </w:p>
    <w:p w:rsidR="00AA2A9D" w:rsidRDefault="00AA2A9D" w:rsidP="002A0CD0">
      <w:pPr>
        <w:widowControl w:val="0"/>
        <w:spacing w:after="0" w:line="240" w:lineRule="auto"/>
        <w:rPr>
          <w:rFonts w:ascii="Times New Roman" w:hAnsi="Times New Roman"/>
          <w:sz w:val="24"/>
          <w:szCs w:val="24"/>
        </w:rPr>
      </w:pPr>
      <w:r w:rsidRPr="00ED7E20">
        <w:rPr>
          <w:rFonts w:ascii="Times New Roman" w:hAnsi="Times New Roman"/>
          <w:b/>
          <w:bCs/>
          <w:color w:val="000080"/>
          <w:sz w:val="24"/>
          <w:szCs w:val="24"/>
          <w:u w:val="single"/>
        </w:rPr>
        <w:t xml:space="preserve">United States v. Alabama Power </w:t>
      </w:r>
    </w:p>
    <w:p w:rsidR="00FC67F9" w:rsidRPr="00ED7E20" w:rsidRDefault="00FC67F9" w:rsidP="002A0CD0">
      <w:pPr>
        <w:spacing w:after="0" w:line="240" w:lineRule="auto"/>
        <w:rPr>
          <w:rFonts w:ascii="Times New Roman" w:hAnsi="Times New Roman"/>
          <w:sz w:val="24"/>
          <w:szCs w:val="24"/>
        </w:rPr>
      </w:pPr>
      <w:r w:rsidRPr="00ED7E20">
        <w:rPr>
          <w:rFonts w:ascii="Times New Roman" w:hAnsi="Times New Roman"/>
          <w:sz w:val="24"/>
          <w:szCs w:val="24"/>
        </w:rPr>
        <w:t>After Alabama Power was dismissed from the original action, the EPA filed a separate action in January 2001 against Alabama Power</w:t>
      </w:r>
      <w:r w:rsidR="00496E75">
        <w:rPr>
          <w:rFonts w:ascii="Times New Roman" w:hAnsi="Times New Roman"/>
          <w:sz w:val="24"/>
          <w:szCs w:val="24"/>
        </w:rPr>
        <w:t xml:space="preserve"> (including claims </w:t>
      </w:r>
      <w:r w:rsidR="00496E75" w:rsidRPr="00496E75">
        <w:rPr>
          <w:rFonts w:ascii="Times New Roman" w:hAnsi="Times New Roman"/>
          <w:sz w:val="24"/>
          <w:szCs w:val="24"/>
        </w:rPr>
        <w:t xml:space="preserve">related to the unit co-owned by Mississippi Power) </w:t>
      </w:r>
      <w:r w:rsidRPr="00ED7E20">
        <w:rPr>
          <w:rFonts w:ascii="Times New Roman" w:hAnsi="Times New Roman"/>
          <w:sz w:val="24"/>
          <w:szCs w:val="24"/>
        </w:rPr>
        <w:t>in the U.S. District Court for the Northern District of Alabama.  In the separate action against Alabama Power in the U.S. District Court for the Northern District of Alabama, Alabama Power settled certain claims in June 2006 to resolve the portion of the lawsuit related to Plant Miller.  With respect to all other claims, Alabama Power prevailed on the merits – on March 14, 2011, the district court granted Alabama Power’s motion for summary judgment on all remaining claims and dismissed the case with prejudice.  The court ruled that the EPA could not prove Alabama Power should have predicted an emission increase following the projects at issue because the emissions methodology EPA had presented to the court was flawed. The EPA and the Alabama Environmental Council have now appealed the court’s decision to the U.S. Court of Appeals for the Eleventh Circuit.</w:t>
      </w:r>
      <w:r w:rsidR="004F73B2">
        <w:rPr>
          <w:rFonts w:ascii="Times New Roman" w:hAnsi="Times New Roman"/>
          <w:sz w:val="24"/>
          <w:szCs w:val="24"/>
        </w:rPr>
        <w:t xml:space="preserve">  Oral argument for the appeal was held on October 31, 2012</w:t>
      </w:r>
      <w:r w:rsidR="00B373B0">
        <w:rPr>
          <w:rFonts w:ascii="Times New Roman" w:hAnsi="Times New Roman"/>
          <w:sz w:val="24"/>
          <w:szCs w:val="24"/>
        </w:rPr>
        <w:t>, and the company is awaiting the Appeals Court decision</w:t>
      </w:r>
      <w:r w:rsidR="00706F1E">
        <w:rPr>
          <w:rFonts w:ascii="Times New Roman" w:hAnsi="Times New Roman"/>
          <w:sz w:val="24"/>
          <w:szCs w:val="24"/>
        </w:rPr>
        <w:t>.</w:t>
      </w:r>
      <w:r w:rsidR="004F73B2">
        <w:rPr>
          <w:rFonts w:ascii="Times New Roman" w:hAnsi="Times New Roman"/>
          <w:sz w:val="24"/>
          <w:szCs w:val="24"/>
        </w:rPr>
        <w:t xml:space="preserve"> </w:t>
      </w:r>
    </w:p>
    <w:p w:rsidR="00FC67F9" w:rsidRPr="00ED7E20" w:rsidRDefault="00FC67F9" w:rsidP="002A0CD0">
      <w:pPr>
        <w:spacing w:after="0" w:line="240" w:lineRule="auto"/>
        <w:rPr>
          <w:rFonts w:ascii="Times New Roman" w:hAnsi="Times New Roman"/>
          <w:sz w:val="24"/>
          <w:szCs w:val="24"/>
        </w:rPr>
      </w:pPr>
    </w:p>
    <w:p w:rsidR="00FC67F9" w:rsidRPr="00ED7E20" w:rsidRDefault="00FC67F9" w:rsidP="002A0CD0">
      <w:pPr>
        <w:keepNext/>
        <w:autoSpaceDE w:val="0"/>
        <w:autoSpaceDN w:val="0"/>
        <w:adjustRightInd w:val="0"/>
        <w:spacing w:after="0" w:line="240" w:lineRule="auto"/>
        <w:rPr>
          <w:rFonts w:ascii="Times New Roman" w:hAnsi="Times New Roman"/>
          <w:b/>
          <w:bCs/>
          <w:color w:val="000080"/>
          <w:sz w:val="24"/>
          <w:szCs w:val="24"/>
        </w:rPr>
      </w:pPr>
      <w:r w:rsidRPr="00ED7E20">
        <w:rPr>
          <w:rFonts w:ascii="Times New Roman" w:hAnsi="Times New Roman"/>
          <w:b/>
          <w:bCs/>
          <w:color w:val="000080"/>
          <w:sz w:val="24"/>
          <w:szCs w:val="24"/>
        </w:rPr>
        <w:t>Carbon Dioxide Litigation</w:t>
      </w:r>
    </w:p>
    <w:p w:rsidR="00FC67F9" w:rsidRPr="00ED7E20" w:rsidRDefault="00FC67F9" w:rsidP="002A0CD0">
      <w:pPr>
        <w:keepNext/>
        <w:autoSpaceDE w:val="0"/>
        <w:autoSpaceDN w:val="0"/>
        <w:adjustRightInd w:val="0"/>
        <w:spacing w:after="0" w:line="240" w:lineRule="auto"/>
        <w:rPr>
          <w:rFonts w:ascii="Times New Roman" w:hAnsi="Times New Roman"/>
          <w:b/>
          <w:bCs/>
          <w:color w:val="000080"/>
          <w:sz w:val="24"/>
          <w:szCs w:val="24"/>
        </w:rPr>
      </w:pPr>
    </w:p>
    <w:p w:rsidR="00FC67F9" w:rsidRPr="00ED7E20" w:rsidRDefault="00FC67F9" w:rsidP="002A0CD0">
      <w:pPr>
        <w:widowControl w:val="0"/>
        <w:spacing w:after="0" w:line="240" w:lineRule="auto"/>
        <w:rPr>
          <w:rFonts w:ascii="Arial Narrow" w:hAnsi="Arial Narrow"/>
          <w:u w:val="single"/>
        </w:rPr>
      </w:pPr>
      <w:r w:rsidRPr="00ED7E20">
        <w:rPr>
          <w:rFonts w:ascii="Times New Roman" w:hAnsi="Times New Roman"/>
          <w:b/>
          <w:bCs/>
          <w:color w:val="000080"/>
          <w:sz w:val="24"/>
          <w:szCs w:val="24"/>
          <w:u w:val="single"/>
        </w:rPr>
        <w:t xml:space="preserve">Connecticut v. AEP </w:t>
      </w:r>
      <w:r w:rsidRPr="00ED7E20">
        <w:rPr>
          <w:rFonts w:ascii="Arial Narrow" w:hAnsi="Arial Narrow"/>
          <w:u w:val="single"/>
        </w:rPr>
        <w:t xml:space="preserve"> </w:t>
      </w:r>
    </w:p>
    <w:p w:rsidR="00FC67F9" w:rsidRPr="00ED7E20" w:rsidRDefault="00FC67F9" w:rsidP="002A0CD0">
      <w:pPr>
        <w:spacing w:after="0" w:line="240" w:lineRule="auto"/>
        <w:rPr>
          <w:rFonts w:ascii="Times New Roman" w:hAnsi="Times New Roman"/>
          <w:bCs/>
          <w:sz w:val="24"/>
          <w:szCs w:val="24"/>
        </w:rPr>
      </w:pPr>
      <w:r w:rsidRPr="00ED7E20">
        <w:rPr>
          <w:rFonts w:ascii="Times New Roman" w:hAnsi="Times New Roman"/>
          <w:sz w:val="24"/>
          <w:szCs w:val="24"/>
        </w:rPr>
        <w:t>In 2004, eight states and three environmental groups filed a nuisance suit against Southern Company and four other electric power companies seeking reductions in the companies’ emissions of greenhouse gases. In September 2005, the U.S. District Court for the Southern District of New York dismissed the case on the grounds that the global warming issues of the case “present non-judiciable political questions that are consigned to the political branches, not the Judiciary.” The plaintiffs appealed that decision to the U.S. Circuit Court of Appeals for the Second Circuit and, o</w:t>
      </w:r>
      <w:r w:rsidRPr="00ED7E20">
        <w:rPr>
          <w:rFonts w:ascii="Times New Roman" w:hAnsi="Times New Roman"/>
          <w:bCs/>
          <w:sz w:val="24"/>
          <w:szCs w:val="24"/>
        </w:rPr>
        <w:t xml:space="preserve">n September 21, 2009, the Second Circuit reversed the district court’s ruling, vacating the dismissal of the plaintiffs’ claim, and remanding the case to the district court.  </w:t>
      </w:r>
    </w:p>
    <w:p w:rsidR="00FC67F9" w:rsidRPr="00ED7E20" w:rsidRDefault="00FC67F9" w:rsidP="002A0CD0">
      <w:pPr>
        <w:spacing w:after="0" w:line="240" w:lineRule="auto"/>
        <w:rPr>
          <w:rFonts w:ascii="Times New Roman" w:hAnsi="Times New Roman"/>
          <w:bCs/>
          <w:sz w:val="24"/>
          <w:szCs w:val="24"/>
        </w:rPr>
      </w:pPr>
    </w:p>
    <w:p w:rsidR="00FC67F9" w:rsidRPr="00ED7E20" w:rsidRDefault="00FC67F9" w:rsidP="002A0CD0">
      <w:pPr>
        <w:spacing w:after="0" w:line="240" w:lineRule="auto"/>
        <w:rPr>
          <w:rFonts w:ascii="Times New Roman" w:hAnsi="Times New Roman"/>
          <w:bCs/>
          <w:sz w:val="24"/>
          <w:szCs w:val="24"/>
        </w:rPr>
      </w:pPr>
      <w:r w:rsidRPr="00ED7E20">
        <w:rPr>
          <w:rFonts w:ascii="Times New Roman" w:hAnsi="Times New Roman"/>
          <w:bCs/>
          <w:sz w:val="24"/>
          <w:szCs w:val="24"/>
        </w:rPr>
        <w:t xml:space="preserve">After unsuccessfully requesting a rehearing en banc before the Second Circuit, defendants appealed the case to the United States Supreme Court.  On June 20, 2011, in a unanimous decision, the Supreme Court overturned the Second Circuit’s decision, holding that the plaintiffs’ federal common law nuisance claims against the utilities were displaced by the Clean Air Act and EPA regulations addressing greenhouse gas emissions, and </w:t>
      </w:r>
      <w:r w:rsidR="00625463">
        <w:rPr>
          <w:rFonts w:ascii="Times New Roman" w:hAnsi="Times New Roman"/>
          <w:bCs/>
          <w:sz w:val="24"/>
          <w:szCs w:val="24"/>
        </w:rPr>
        <w:t xml:space="preserve">the Court </w:t>
      </w:r>
      <w:r w:rsidRPr="00ED7E20">
        <w:rPr>
          <w:rFonts w:ascii="Times New Roman" w:hAnsi="Times New Roman"/>
          <w:bCs/>
          <w:sz w:val="24"/>
          <w:szCs w:val="24"/>
        </w:rPr>
        <w:t xml:space="preserve">remanded the case for consideration of whether federal law may also preempt the remaining state law claims.  </w:t>
      </w:r>
    </w:p>
    <w:p w:rsidR="00FC67F9" w:rsidRPr="00ED7E20" w:rsidRDefault="00FC67F9" w:rsidP="002A0CD0">
      <w:pPr>
        <w:widowControl w:val="0"/>
        <w:spacing w:after="0" w:line="240" w:lineRule="auto"/>
        <w:rPr>
          <w:rFonts w:ascii="Times New Roman" w:hAnsi="Times New Roman"/>
          <w:sz w:val="24"/>
          <w:szCs w:val="24"/>
        </w:rPr>
      </w:pPr>
    </w:p>
    <w:p w:rsidR="00FC67F9" w:rsidRPr="00ED7E20" w:rsidRDefault="00FC67F9" w:rsidP="002A0CD0">
      <w:pPr>
        <w:keepNext/>
        <w:autoSpaceDE w:val="0"/>
        <w:autoSpaceDN w:val="0"/>
        <w:adjustRightInd w:val="0"/>
        <w:spacing w:after="0" w:line="240" w:lineRule="auto"/>
        <w:rPr>
          <w:rFonts w:ascii="Times New Roman" w:hAnsi="Times New Roman"/>
          <w:b/>
          <w:bCs/>
          <w:color w:val="000080"/>
          <w:sz w:val="24"/>
          <w:szCs w:val="24"/>
          <w:u w:val="single"/>
        </w:rPr>
      </w:pPr>
      <w:r w:rsidRPr="00ED7E20">
        <w:rPr>
          <w:rFonts w:ascii="Times New Roman" w:hAnsi="Times New Roman"/>
          <w:b/>
          <w:bCs/>
          <w:color w:val="000080"/>
          <w:sz w:val="24"/>
          <w:szCs w:val="24"/>
          <w:u w:val="single"/>
        </w:rPr>
        <w:t>Native Village of Kivalina v. Exxon Mobil Corp</w:t>
      </w:r>
    </w:p>
    <w:p w:rsidR="00FC67F9" w:rsidRPr="00ED7E20" w:rsidRDefault="00FC67F9" w:rsidP="002A0CD0">
      <w:pPr>
        <w:spacing w:after="0" w:line="240" w:lineRule="auto"/>
        <w:rPr>
          <w:rFonts w:ascii="Times New Roman" w:hAnsi="Times New Roman"/>
          <w:sz w:val="24"/>
          <w:szCs w:val="24"/>
        </w:rPr>
      </w:pPr>
      <w:r w:rsidRPr="00ED7E20">
        <w:rPr>
          <w:rFonts w:ascii="Times New Roman" w:hAnsi="Times New Roman"/>
          <w:sz w:val="24"/>
          <w:szCs w:val="24"/>
        </w:rPr>
        <w:t xml:space="preserve">In February 2008, the Native Village of Kivalina and the City of Kivalina (Alaska) filed a lawsuit in the U.S. District Court for the Northern District of California against several electric utilities (including Southern Company), several oil companies, and a coal company.  The plaintiffs allege that their village is being destroyed by erosion related to global warming caused by the defendants’ emissions of greenhouse gases.  The plaintiffs assert claims for public and private nuisance, under both state and federal law, and contend that the defendants have acted in concert and are therefore jointly and severally liable for the plaintiffs’ damages. </w:t>
      </w:r>
      <w:r w:rsidRPr="00ED7E20">
        <w:rPr>
          <w:rFonts w:ascii="Times New Roman" w:hAnsi="Times New Roman"/>
          <w:bCs/>
          <w:sz w:val="24"/>
          <w:szCs w:val="24"/>
        </w:rPr>
        <w:t xml:space="preserve">On September 30, 2009, the district court granted the defendants’ motions to dismiss the case based on lack of jurisdiction and ruled that the claims were barred by the political question doctrine and by the plaintiffs’ failure to establish the standard for determining that the defendants’ conduct caused the injury alleged. The plaintiffs appealed the decision to the U.S. Court of Appeals for the Ninth Circuit, but case was stayed by the Ninth Circuit in February 2011, pending the decision of the Supreme Court in </w:t>
      </w:r>
      <w:r w:rsidRPr="00BC2B6B">
        <w:rPr>
          <w:rFonts w:ascii="Times New Roman" w:hAnsi="Times New Roman"/>
          <w:bCs/>
          <w:sz w:val="24"/>
          <w:szCs w:val="24"/>
        </w:rPr>
        <w:t>Connecticut v. AEP</w:t>
      </w:r>
      <w:r w:rsidRPr="00ED7E20">
        <w:rPr>
          <w:rFonts w:ascii="Times New Roman" w:hAnsi="Times New Roman"/>
          <w:bCs/>
          <w:sz w:val="24"/>
          <w:szCs w:val="24"/>
        </w:rPr>
        <w:t xml:space="preserve">.  As noted above, the Supreme Court decision was issued on June 20, 2011 in favor of the defendant companies, and the plaintiffs in </w:t>
      </w:r>
      <w:r w:rsidRPr="00BC2B6B">
        <w:rPr>
          <w:rFonts w:ascii="Times New Roman" w:hAnsi="Times New Roman"/>
          <w:bCs/>
          <w:sz w:val="24"/>
          <w:szCs w:val="24"/>
        </w:rPr>
        <w:t>Kivalina</w:t>
      </w:r>
      <w:r w:rsidRPr="00ED7E20">
        <w:rPr>
          <w:rFonts w:ascii="Times New Roman" w:hAnsi="Times New Roman"/>
          <w:bCs/>
          <w:sz w:val="24"/>
          <w:szCs w:val="24"/>
        </w:rPr>
        <w:t xml:space="preserve"> have moved to lift the stay on their Ninth Circuit appeal and have requested the opportunity to submit supplemental briefing regarding the effect of the Supreme Court’s decision.</w:t>
      </w:r>
      <w:r w:rsidR="00C41555">
        <w:rPr>
          <w:rFonts w:ascii="Times New Roman" w:hAnsi="Times New Roman"/>
          <w:bCs/>
          <w:sz w:val="24"/>
          <w:szCs w:val="24"/>
        </w:rPr>
        <w:t xml:space="preserve">  On August 31, 2011, the court granted the plaintiffs’ motion to </w:t>
      </w:r>
      <w:r w:rsidR="00B373B0">
        <w:rPr>
          <w:rFonts w:ascii="Times New Roman" w:hAnsi="Times New Roman"/>
          <w:bCs/>
          <w:sz w:val="24"/>
          <w:szCs w:val="24"/>
        </w:rPr>
        <w:t xml:space="preserve">lift </w:t>
      </w:r>
      <w:r w:rsidR="00C41555">
        <w:rPr>
          <w:rFonts w:ascii="Times New Roman" w:hAnsi="Times New Roman"/>
          <w:bCs/>
          <w:sz w:val="24"/>
          <w:szCs w:val="24"/>
        </w:rPr>
        <w:t>the stay.</w:t>
      </w:r>
      <w:r w:rsidR="006E5942">
        <w:rPr>
          <w:rFonts w:ascii="Times New Roman" w:hAnsi="Times New Roman"/>
          <w:bCs/>
          <w:sz w:val="24"/>
          <w:szCs w:val="24"/>
        </w:rPr>
        <w:t xml:space="preserve">  </w:t>
      </w:r>
      <w:r w:rsidR="002A186A">
        <w:rPr>
          <w:rFonts w:ascii="Times New Roman" w:hAnsi="Times New Roman"/>
          <w:bCs/>
          <w:sz w:val="24"/>
          <w:szCs w:val="24"/>
        </w:rPr>
        <w:t>On September 21</w:t>
      </w:r>
      <w:r w:rsidR="00126BE9">
        <w:rPr>
          <w:rFonts w:ascii="Times New Roman" w:hAnsi="Times New Roman"/>
          <w:bCs/>
          <w:sz w:val="24"/>
          <w:szCs w:val="24"/>
        </w:rPr>
        <w:t>, 2012, t</w:t>
      </w:r>
      <w:r w:rsidR="006E5942" w:rsidRPr="006E5942">
        <w:rPr>
          <w:rFonts w:ascii="Times New Roman" w:hAnsi="Times New Roman"/>
          <w:bCs/>
          <w:sz w:val="24"/>
          <w:szCs w:val="24"/>
        </w:rPr>
        <w:t>he 9th US Circuit Court of Appeals in San Francisco upheld the trial court’s dismissal of Kivalina v. Exxon</w:t>
      </w:r>
      <w:r w:rsidR="006E5942">
        <w:rPr>
          <w:rFonts w:ascii="Times New Roman" w:hAnsi="Times New Roman"/>
          <w:bCs/>
          <w:sz w:val="24"/>
          <w:szCs w:val="24"/>
        </w:rPr>
        <w:t>.</w:t>
      </w:r>
      <w:r w:rsidR="00097A20">
        <w:rPr>
          <w:rFonts w:ascii="Times New Roman" w:hAnsi="Times New Roman"/>
          <w:bCs/>
          <w:sz w:val="24"/>
          <w:szCs w:val="24"/>
        </w:rPr>
        <w:t xml:space="preserve">  The plaintiffs filed a petition for the 9</w:t>
      </w:r>
      <w:r w:rsidR="00097A20" w:rsidRPr="00097A20">
        <w:rPr>
          <w:rFonts w:ascii="Times New Roman" w:hAnsi="Times New Roman"/>
          <w:bCs/>
          <w:sz w:val="24"/>
          <w:szCs w:val="24"/>
          <w:vertAlign w:val="superscript"/>
        </w:rPr>
        <w:t>th</w:t>
      </w:r>
      <w:r w:rsidR="00097A20">
        <w:rPr>
          <w:rFonts w:ascii="Times New Roman" w:hAnsi="Times New Roman"/>
          <w:bCs/>
          <w:sz w:val="24"/>
          <w:szCs w:val="24"/>
        </w:rPr>
        <w:t xml:space="preserve"> Circuit Court to rehear the case on October 4, 2012.</w:t>
      </w:r>
      <w:r w:rsidR="0065317A">
        <w:rPr>
          <w:rFonts w:ascii="Times New Roman" w:hAnsi="Times New Roman"/>
          <w:bCs/>
          <w:sz w:val="24"/>
          <w:szCs w:val="24"/>
        </w:rPr>
        <w:t xml:space="preserve">  The petition was denied on November 27, 2012</w:t>
      </w:r>
      <w:r w:rsidR="00B373B0">
        <w:rPr>
          <w:rFonts w:ascii="Times New Roman" w:hAnsi="Times New Roman"/>
          <w:bCs/>
          <w:sz w:val="24"/>
          <w:szCs w:val="24"/>
        </w:rPr>
        <w:t>, thus ending this case</w:t>
      </w:r>
      <w:r w:rsidR="0065317A">
        <w:rPr>
          <w:rFonts w:ascii="Times New Roman" w:hAnsi="Times New Roman"/>
          <w:bCs/>
          <w:sz w:val="24"/>
          <w:szCs w:val="24"/>
        </w:rPr>
        <w:t>.</w:t>
      </w:r>
    </w:p>
    <w:p w:rsidR="00FC67F9" w:rsidRPr="00ED7E20" w:rsidRDefault="00FC67F9" w:rsidP="002A0CD0">
      <w:pPr>
        <w:keepNext/>
        <w:autoSpaceDE w:val="0"/>
        <w:autoSpaceDN w:val="0"/>
        <w:adjustRightInd w:val="0"/>
        <w:spacing w:after="0" w:line="240" w:lineRule="auto"/>
        <w:rPr>
          <w:rFonts w:ascii="Times New Roman" w:hAnsi="Times New Roman"/>
          <w:bCs/>
          <w:sz w:val="24"/>
          <w:szCs w:val="24"/>
        </w:rPr>
      </w:pPr>
    </w:p>
    <w:p w:rsidR="00FC67F9" w:rsidRPr="00ED7E20" w:rsidRDefault="00FC67F9" w:rsidP="002A0CD0">
      <w:pPr>
        <w:keepNext/>
        <w:autoSpaceDE w:val="0"/>
        <w:autoSpaceDN w:val="0"/>
        <w:adjustRightInd w:val="0"/>
        <w:spacing w:after="0" w:line="240" w:lineRule="auto"/>
        <w:rPr>
          <w:rFonts w:ascii="Times New Roman" w:hAnsi="Times New Roman"/>
          <w:b/>
          <w:bCs/>
          <w:color w:val="000080"/>
          <w:sz w:val="24"/>
          <w:szCs w:val="24"/>
          <w:u w:val="single"/>
        </w:rPr>
      </w:pPr>
      <w:r w:rsidRPr="00ED7E20">
        <w:rPr>
          <w:rFonts w:ascii="Times New Roman" w:hAnsi="Times New Roman"/>
          <w:b/>
          <w:bCs/>
          <w:color w:val="000080"/>
          <w:sz w:val="24"/>
          <w:szCs w:val="24"/>
          <w:u w:val="single"/>
        </w:rPr>
        <w:t>Comer v. Murphy Oil</w:t>
      </w:r>
    </w:p>
    <w:p w:rsidR="00FC67F9" w:rsidRPr="00ED7E20" w:rsidRDefault="00FC67F9" w:rsidP="002A0CD0">
      <w:pPr>
        <w:spacing w:after="0" w:line="240" w:lineRule="auto"/>
        <w:rPr>
          <w:rFonts w:ascii="Times New Roman" w:hAnsi="Times New Roman"/>
          <w:bCs/>
          <w:sz w:val="24"/>
          <w:szCs w:val="24"/>
        </w:rPr>
      </w:pPr>
      <w:r w:rsidRPr="00ED7E20">
        <w:rPr>
          <w:rFonts w:ascii="Times New Roman" w:hAnsi="Times New Roman"/>
          <w:sz w:val="24"/>
          <w:szCs w:val="24"/>
        </w:rPr>
        <w:t xml:space="preserve">On April 18, 2006, several plaintiffs sued Southern Company and a number of oil, gas, coal, and utility companies in the U.S. District Court for the Southern District of Mississippi seeking damages resulting from Hurricane Katrina.  Because the plaintiffs named Southern Company instead of its individual operating companies, Southern Company was dismissed from the case, and the plaintiffs’ motion to add the operating companies was not acted upon before the entire case was dismissed by the district court in 2007 based on the plaintiffs’ lack of standing and the political question doctrine.  Plaintiffs appealed the case to the U.S. Court of Appeals for the Fifth Circuit, and </w:t>
      </w:r>
      <w:r w:rsidRPr="00ED7E20">
        <w:rPr>
          <w:rFonts w:ascii="Times New Roman" w:hAnsi="Times New Roman"/>
          <w:bCs/>
          <w:sz w:val="24"/>
          <w:szCs w:val="24"/>
        </w:rPr>
        <w:t xml:space="preserve">a three-judge panel of the Fifth Circuit reversed the district court decision on October 16, 2009, holding that the plaintiffs did have standing to assert their nuisance, trespass, and negligence claims and that none of the claims were barred by the political question doctrine.  On May 28, 2010, however, the Fifth Circuit dismissed the plaintiffs’ appeal of the case on procedural grounds, reinstating the district court decision in favor of the defendants.  On January 10, 2011, the United States Supreme Court denied the plaintiffs’ petition to reinstate the appeal, ending the case.  </w:t>
      </w:r>
    </w:p>
    <w:p w:rsidR="00FC67F9" w:rsidRPr="00ED7E20" w:rsidRDefault="00FC67F9" w:rsidP="002A0CD0">
      <w:pPr>
        <w:spacing w:after="0" w:line="240" w:lineRule="auto"/>
        <w:rPr>
          <w:rFonts w:ascii="Times New Roman" w:hAnsi="Times New Roman"/>
          <w:bCs/>
          <w:sz w:val="24"/>
          <w:szCs w:val="24"/>
        </w:rPr>
      </w:pPr>
    </w:p>
    <w:p w:rsidR="00C41555" w:rsidRPr="00ED7E20" w:rsidRDefault="00FC67F9" w:rsidP="002A0CD0">
      <w:pPr>
        <w:spacing w:after="0" w:line="240" w:lineRule="auto"/>
        <w:rPr>
          <w:rFonts w:ascii="Times New Roman" w:hAnsi="Times New Roman"/>
          <w:bCs/>
          <w:sz w:val="24"/>
          <w:szCs w:val="24"/>
        </w:rPr>
      </w:pPr>
      <w:r w:rsidRPr="00ED7E20">
        <w:rPr>
          <w:rFonts w:ascii="Times New Roman" w:hAnsi="Times New Roman"/>
          <w:bCs/>
          <w:sz w:val="24"/>
          <w:szCs w:val="24"/>
        </w:rPr>
        <w:t>However, on May 27, 2011, the same plaintiffs filed a new a class action complaint in the same district court involving substantially similar allegations.  The current litigation names operating companies Alabama Power, Georgia Power, Gulf Power and Southern Power, and includes many of the other same defendants that were involved in the earlier case.</w:t>
      </w:r>
      <w:r w:rsidR="00C41555" w:rsidRPr="00C41555">
        <w:rPr>
          <w:rFonts w:ascii="Times New Roman" w:hAnsi="Times New Roman"/>
          <w:bCs/>
          <w:sz w:val="24"/>
          <w:szCs w:val="24"/>
        </w:rPr>
        <w:t xml:space="preserve"> </w:t>
      </w:r>
      <w:r w:rsidR="00C41555" w:rsidRPr="00917708">
        <w:rPr>
          <w:rFonts w:ascii="Times New Roman" w:hAnsi="Times New Roman"/>
          <w:bCs/>
          <w:sz w:val="24"/>
          <w:szCs w:val="24"/>
        </w:rPr>
        <w:t>On March 20, 2012, the lawsuit was dismissed, with the U.S. District Court for the Southern District of Mississippi concluding that all of the claims made were barred because they had already been adjudicated in the earlier case, that the plaintiffs did not have standing because their alleged injuries were not fairly traceable to the defendants’ conduct, and that all of the plaintiffs’ claims were preempted by the Clean Air Act.  On April 16, 2012, the plaintiffs appealed the dismissal of the case to the U.S. Court of Appeals for the Fifth Circuit</w:t>
      </w:r>
      <w:r w:rsidR="004F73B2">
        <w:rPr>
          <w:rFonts w:ascii="Times New Roman" w:hAnsi="Times New Roman"/>
          <w:bCs/>
          <w:sz w:val="24"/>
          <w:szCs w:val="24"/>
        </w:rPr>
        <w:t xml:space="preserve"> and the case remains pending before the Fifth Circuit</w:t>
      </w:r>
      <w:r w:rsidR="00C41555" w:rsidRPr="00917708">
        <w:rPr>
          <w:rFonts w:ascii="Times New Roman" w:hAnsi="Times New Roman"/>
          <w:bCs/>
          <w:sz w:val="24"/>
          <w:szCs w:val="24"/>
        </w:rPr>
        <w:t>.</w:t>
      </w:r>
    </w:p>
    <w:p w:rsidR="00FC67F9" w:rsidRPr="00ED7E20" w:rsidRDefault="00FC67F9" w:rsidP="002A0CD0">
      <w:pPr>
        <w:spacing w:after="0" w:line="240" w:lineRule="auto"/>
        <w:rPr>
          <w:rFonts w:ascii="Times New Roman" w:hAnsi="Times New Roman"/>
          <w:bCs/>
          <w:sz w:val="24"/>
          <w:szCs w:val="24"/>
        </w:rPr>
      </w:pPr>
    </w:p>
    <w:p w:rsidR="00FC67F9" w:rsidRPr="00ED7E20" w:rsidRDefault="00FC67F9" w:rsidP="002A0CD0">
      <w:pPr>
        <w:autoSpaceDE w:val="0"/>
        <w:autoSpaceDN w:val="0"/>
        <w:adjustRightInd w:val="0"/>
        <w:spacing w:after="0" w:line="240" w:lineRule="auto"/>
        <w:jc w:val="both"/>
        <w:outlineLvl w:val="1"/>
        <w:rPr>
          <w:rFonts w:ascii="Times New Roman" w:hAnsi="Times New Roman"/>
          <w:b/>
          <w:bCs/>
          <w:color w:val="000080"/>
          <w:sz w:val="24"/>
          <w:szCs w:val="24"/>
        </w:rPr>
      </w:pPr>
      <w:bookmarkStart w:id="21" w:name="_Toc347314848"/>
      <w:r>
        <w:rPr>
          <w:rFonts w:ascii="Times New Roman" w:hAnsi="Times New Roman"/>
          <w:b/>
          <w:bCs/>
          <w:color w:val="000080"/>
          <w:sz w:val="24"/>
          <w:szCs w:val="24"/>
        </w:rPr>
        <w:t>2.1</w:t>
      </w:r>
      <w:r w:rsidR="0081596B">
        <w:rPr>
          <w:rFonts w:ascii="Times New Roman" w:hAnsi="Times New Roman"/>
          <w:b/>
          <w:bCs/>
          <w:color w:val="000080"/>
          <w:sz w:val="24"/>
          <w:szCs w:val="24"/>
        </w:rPr>
        <w:t>5</w:t>
      </w:r>
      <w:r>
        <w:rPr>
          <w:rFonts w:ascii="Times New Roman" w:hAnsi="Times New Roman"/>
          <w:b/>
          <w:bCs/>
          <w:color w:val="000080"/>
          <w:sz w:val="24"/>
          <w:szCs w:val="24"/>
        </w:rPr>
        <w:tab/>
      </w:r>
      <w:r w:rsidRPr="00ED7E20">
        <w:rPr>
          <w:rFonts w:ascii="Times New Roman" w:hAnsi="Times New Roman"/>
          <w:b/>
          <w:bCs/>
          <w:color w:val="000080"/>
          <w:sz w:val="24"/>
          <w:szCs w:val="24"/>
        </w:rPr>
        <w:t>Other Considerations</w:t>
      </w:r>
      <w:bookmarkEnd w:id="21"/>
    </w:p>
    <w:p w:rsidR="00FC67F9" w:rsidRPr="00ED7E20" w:rsidRDefault="00FC67F9" w:rsidP="002A0CD0">
      <w:pPr>
        <w:spacing w:after="0" w:line="240" w:lineRule="auto"/>
        <w:rPr>
          <w:rFonts w:ascii="Times New Roman" w:hAnsi="Times New Roman"/>
          <w:b/>
          <w:bCs/>
          <w:color w:val="000080"/>
          <w:sz w:val="24"/>
          <w:szCs w:val="24"/>
        </w:rPr>
      </w:pPr>
    </w:p>
    <w:p w:rsidR="00FC67F9" w:rsidRPr="00ED7E20" w:rsidRDefault="00FC67F9" w:rsidP="002A0CD0">
      <w:pPr>
        <w:autoSpaceDE w:val="0"/>
        <w:autoSpaceDN w:val="0"/>
        <w:adjustRightInd w:val="0"/>
        <w:spacing w:after="0" w:line="240" w:lineRule="auto"/>
        <w:rPr>
          <w:rFonts w:ascii="Times New Roman" w:hAnsi="Times New Roman"/>
          <w:sz w:val="24"/>
          <w:szCs w:val="24"/>
        </w:rPr>
      </w:pPr>
      <w:r w:rsidRPr="00ED7E20">
        <w:rPr>
          <w:rFonts w:ascii="Times New Roman" w:hAnsi="Times New Roman"/>
          <w:sz w:val="24"/>
          <w:szCs w:val="24"/>
        </w:rPr>
        <w:t xml:space="preserve">Currently, there are no proposed regulations relating to lead that may have an effect on the installation of equipment or changes in the operation of electric generating plants.  In addition, </w:t>
      </w:r>
      <w:r w:rsidR="00B67C6E">
        <w:rPr>
          <w:rFonts w:ascii="Times New Roman" w:hAnsi="Times New Roman"/>
          <w:sz w:val="24"/>
          <w:szCs w:val="24"/>
        </w:rPr>
        <w:t>ECS-</w:t>
      </w:r>
      <w:r w:rsidRPr="00ED7E20">
        <w:rPr>
          <w:rFonts w:ascii="Times New Roman" w:hAnsi="Times New Roman"/>
          <w:sz w:val="24"/>
          <w:szCs w:val="24"/>
        </w:rPr>
        <w:t xml:space="preserve">Appendix C provides an overview of existing and proposed regulations in regards to low-level and high-level nuclear waste. Southern Company will continue to monitor these issues and evaluate its strategy as changes occur.  </w:t>
      </w:r>
    </w:p>
    <w:p w:rsidR="00FC67F9" w:rsidRPr="00ED7E20" w:rsidRDefault="00FC67F9" w:rsidP="002A0CD0">
      <w:pPr>
        <w:keepNext/>
        <w:widowControl w:val="0"/>
        <w:spacing w:after="0" w:line="240" w:lineRule="auto"/>
        <w:ind w:left="90"/>
        <w:jc w:val="center"/>
        <w:outlineLvl w:val="0"/>
        <w:rPr>
          <w:rFonts w:ascii="Arial" w:hAnsi="Arial" w:cs="Arial"/>
          <w:b/>
          <w:bCs/>
          <w:color w:val="000080"/>
          <w:kern w:val="28"/>
          <w:sz w:val="28"/>
          <w:szCs w:val="28"/>
        </w:rPr>
      </w:pPr>
      <w:r w:rsidRPr="00ED7E20">
        <w:rPr>
          <w:rFonts w:ascii="Arial" w:hAnsi="Arial" w:cs="Arial"/>
          <w:b/>
          <w:bCs/>
          <w:color w:val="000080"/>
          <w:kern w:val="28"/>
          <w:sz w:val="28"/>
          <w:szCs w:val="28"/>
        </w:rPr>
        <w:br w:type="page"/>
      </w:r>
      <w:bookmarkStart w:id="22" w:name="_Toc347314849"/>
      <w:r>
        <w:rPr>
          <w:rFonts w:ascii="Arial" w:hAnsi="Arial" w:cs="Arial"/>
          <w:b/>
          <w:bCs/>
          <w:color w:val="000080"/>
          <w:kern w:val="28"/>
          <w:sz w:val="28"/>
          <w:szCs w:val="28"/>
        </w:rPr>
        <w:t xml:space="preserve">3.0 </w:t>
      </w:r>
      <w:r w:rsidRPr="00ED7E20">
        <w:rPr>
          <w:rFonts w:ascii="Arial" w:hAnsi="Arial" w:cs="Arial"/>
          <w:b/>
          <w:bCs/>
          <w:color w:val="000080"/>
          <w:kern w:val="28"/>
          <w:sz w:val="28"/>
          <w:szCs w:val="28"/>
        </w:rPr>
        <w:t>Environmental Strategy</w:t>
      </w:r>
      <w:bookmarkEnd w:id="22"/>
    </w:p>
    <w:p w:rsidR="00FC67F9" w:rsidRPr="001832A5" w:rsidRDefault="00FC67F9" w:rsidP="002A0CD0">
      <w:pPr>
        <w:spacing w:after="0" w:line="240" w:lineRule="auto"/>
        <w:rPr>
          <w:rFonts w:ascii="Times New Roman" w:hAnsi="Times New Roman"/>
          <w:b/>
          <w:color w:val="FF0000"/>
          <w:sz w:val="28"/>
          <w:szCs w:val="24"/>
        </w:rPr>
      </w:pPr>
    </w:p>
    <w:p w:rsidR="00FC67F9" w:rsidRPr="00ED7E20" w:rsidRDefault="00FC67F9" w:rsidP="002A0CD0">
      <w:pPr>
        <w:spacing w:after="0" w:line="240" w:lineRule="auto"/>
        <w:rPr>
          <w:rFonts w:ascii="Times New Roman" w:hAnsi="Times New Roman"/>
          <w:sz w:val="24"/>
          <w:szCs w:val="24"/>
        </w:rPr>
      </w:pPr>
      <w:r w:rsidRPr="00ED7E20">
        <w:rPr>
          <w:rFonts w:ascii="Times New Roman" w:hAnsi="Times New Roman"/>
          <w:sz w:val="24"/>
          <w:szCs w:val="24"/>
        </w:rPr>
        <w:t xml:space="preserve">Based on the extensive regulatory and legislative issues described above, </w:t>
      </w:r>
      <w:r w:rsidR="00B56F68">
        <w:rPr>
          <w:rFonts w:ascii="Times New Roman" w:hAnsi="Times New Roman"/>
          <w:sz w:val="24"/>
          <w:szCs w:val="24"/>
        </w:rPr>
        <w:t xml:space="preserve">Georgia Power </w:t>
      </w:r>
      <w:r w:rsidRPr="00ED7E20">
        <w:rPr>
          <w:rFonts w:ascii="Times New Roman" w:hAnsi="Times New Roman"/>
          <w:sz w:val="24"/>
          <w:szCs w:val="24"/>
        </w:rPr>
        <w:t>has developed a comprehensive compliance strategy</w:t>
      </w:r>
      <w:r w:rsidR="00B56F68">
        <w:rPr>
          <w:rFonts w:ascii="Times New Roman" w:hAnsi="Times New Roman"/>
          <w:sz w:val="24"/>
          <w:szCs w:val="24"/>
        </w:rPr>
        <w:t xml:space="preserve"> designed to provide reasonable, cost-effective plans to comply with environmental requirements</w:t>
      </w:r>
      <w:r w:rsidRPr="00ED7E20">
        <w:rPr>
          <w:rFonts w:ascii="Times New Roman" w:hAnsi="Times New Roman"/>
          <w:sz w:val="24"/>
          <w:szCs w:val="24"/>
        </w:rPr>
        <w:t xml:space="preserve">.  </w:t>
      </w:r>
      <w:r w:rsidR="00B56F68">
        <w:rPr>
          <w:rFonts w:ascii="Times New Roman" w:hAnsi="Times New Roman"/>
          <w:sz w:val="24"/>
          <w:szCs w:val="24"/>
        </w:rPr>
        <w:t xml:space="preserve">Where appropriate, Georgia Power’s strategy considers efficiencies that may be gained through strategy planning with other </w:t>
      </w:r>
      <w:r w:rsidRPr="00ED7E20">
        <w:rPr>
          <w:rFonts w:ascii="Times New Roman" w:hAnsi="Times New Roman"/>
          <w:sz w:val="24"/>
          <w:szCs w:val="24"/>
        </w:rPr>
        <w:t xml:space="preserve">Southern Company </w:t>
      </w:r>
      <w:r w:rsidR="00B56F68">
        <w:rPr>
          <w:rFonts w:ascii="Times New Roman" w:hAnsi="Times New Roman"/>
          <w:sz w:val="24"/>
          <w:szCs w:val="24"/>
        </w:rPr>
        <w:t xml:space="preserve">affiliates. Georgia Power and Southern Company </w:t>
      </w:r>
      <w:r w:rsidRPr="00ED7E20">
        <w:rPr>
          <w:rFonts w:ascii="Times New Roman" w:hAnsi="Times New Roman"/>
          <w:sz w:val="24"/>
          <w:szCs w:val="24"/>
        </w:rPr>
        <w:t>completed an initial environmental strategy following the passage of the 1990 Clean Air Act Amendments and established an annual, essentially on-going, process to develop, review, and update environmental compliance strategies using sophisticated, state-of-the-art analytical tools.  The process has evolved and been refined over the years</w:t>
      </w:r>
      <w:r w:rsidR="00B56F68">
        <w:rPr>
          <w:rFonts w:ascii="Times New Roman" w:hAnsi="Times New Roman"/>
          <w:sz w:val="24"/>
          <w:szCs w:val="24"/>
        </w:rPr>
        <w:t xml:space="preserve"> and has adapted to the changing regulations</w:t>
      </w:r>
      <w:r w:rsidRPr="00ED7E20">
        <w:rPr>
          <w:rFonts w:ascii="Times New Roman" w:hAnsi="Times New Roman"/>
          <w:sz w:val="24"/>
          <w:szCs w:val="24"/>
        </w:rPr>
        <w:t>, but the goal of this process is to produce least-cost compliance strategies that will minimize the impact on customers while achieving environmental objectives and assuring compliance with all requirements.  This strategy process is illustrated in the figure below (Fig. 3-1).  The strategy is essential for internal decision making and communication, and is documented for the public service commissions.</w:t>
      </w:r>
    </w:p>
    <w:p w:rsidR="00FC67F9" w:rsidRPr="00ED7E20" w:rsidRDefault="00FC67F9" w:rsidP="002A0CD0">
      <w:pPr>
        <w:spacing w:after="0" w:line="240" w:lineRule="auto"/>
        <w:rPr>
          <w:rFonts w:ascii="Times New Roman" w:hAnsi="Times New Roman"/>
          <w:sz w:val="24"/>
          <w:szCs w:val="24"/>
        </w:rPr>
      </w:pPr>
    </w:p>
    <w:p w:rsidR="00FC67F9" w:rsidRPr="00ED7E20" w:rsidRDefault="001D1F0E" w:rsidP="00432235">
      <w:pPr>
        <w:spacing w:after="0" w:line="240" w:lineRule="auto"/>
        <w:jc w:val="center"/>
        <w:rPr>
          <w:rFonts w:ascii="Times New Roman" w:hAnsi="Times New Roman"/>
          <w:sz w:val="24"/>
          <w:szCs w:val="24"/>
        </w:rPr>
      </w:pPr>
      <w:r>
        <w:rPr>
          <w:noProof/>
        </w:rPr>
        <w:drawing>
          <wp:inline distT="0" distB="0" distL="0" distR="0">
            <wp:extent cx="4886325" cy="3562350"/>
            <wp:effectExtent l="19050" t="0" r="9525" b="0"/>
            <wp:docPr id="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srcRect t="9492"/>
                    <a:stretch>
                      <a:fillRect/>
                    </a:stretch>
                  </pic:blipFill>
                  <pic:spPr bwMode="auto">
                    <a:xfrm>
                      <a:off x="0" y="0"/>
                      <a:ext cx="4886325" cy="3562350"/>
                    </a:xfrm>
                    <a:prstGeom prst="rect">
                      <a:avLst/>
                    </a:prstGeom>
                    <a:noFill/>
                    <a:ln w="9525">
                      <a:noFill/>
                      <a:miter lim="800000"/>
                      <a:headEnd/>
                      <a:tailEnd/>
                    </a:ln>
                  </pic:spPr>
                </pic:pic>
              </a:graphicData>
            </a:graphic>
          </wp:inline>
        </w:drawing>
      </w:r>
    </w:p>
    <w:p w:rsidR="001832A5" w:rsidRDefault="001832A5" w:rsidP="00432235">
      <w:pPr>
        <w:pStyle w:val="Caption"/>
        <w:jc w:val="center"/>
      </w:pPr>
    </w:p>
    <w:p w:rsidR="00432235" w:rsidRPr="00C42A8B" w:rsidRDefault="00432235" w:rsidP="00432235">
      <w:pPr>
        <w:pStyle w:val="Caption"/>
        <w:jc w:val="center"/>
        <w:rPr>
          <w:noProof/>
          <w:sz w:val="24"/>
          <w:szCs w:val="24"/>
        </w:rPr>
      </w:pPr>
      <w:r>
        <w:t xml:space="preserve">Figure 3-1 </w:t>
      </w:r>
      <w:r w:rsidRPr="001B2BB6">
        <w:t>Annual Environmental Strategy Development Process for Existing Generation Retrofits</w:t>
      </w:r>
    </w:p>
    <w:p w:rsidR="00FC67F9" w:rsidRPr="00ED7E20" w:rsidRDefault="00FC67F9" w:rsidP="002A0CD0">
      <w:pPr>
        <w:spacing w:after="0" w:line="240" w:lineRule="auto"/>
        <w:rPr>
          <w:rFonts w:ascii="Times New Roman" w:hAnsi="Times New Roman"/>
          <w:sz w:val="24"/>
          <w:szCs w:val="24"/>
        </w:rPr>
      </w:pPr>
    </w:p>
    <w:p w:rsidR="00FC67F9" w:rsidRPr="00ED7E20" w:rsidRDefault="00FC67F9" w:rsidP="002A0CD0">
      <w:pPr>
        <w:spacing w:after="0" w:line="240" w:lineRule="auto"/>
        <w:rPr>
          <w:rFonts w:ascii="Times New Roman" w:hAnsi="Times New Roman"/>
          <w:sz w:val="24"/>
          <w:szCs w:val="24"/>
        </w:rPr>
      </w:pPr>
    </w:p>
    <w:p w:rsidR="00FC67F9" w:rsidRPr="00ED7E20" w:rsidRDefault="00FC67F9" w:rsidP="002A0CD0">
      <w:pPr>
        <w:spacing w:after="0" w:line="240" w:lineRule="auto"/>
        <w:rPr>
          <w:rFonts w:ascii="Times New Roman" w:hAnsi="Times New Roman"/>
          <w:sz w:val="24"/>
          <w:szCs w:val="24"/>
        </w:rPr>
      </w:pPr>
    </w:p>
    <w:p w:rsidR="00FC67F9" w:rsidRPr="00ED7E20" w:rsidRDefault="00FC67F9" w:rsidP="002A0CD0">
      <w:pPr>
        <w:spacing w:after="0" w:line="240" w:lineRule="auto"/>
        <w:rPr>
          <w:rFonts w:ascii="Times New Roman" w:hAnsi="Times New Roman"/>
          <w:sz w:val="24"/>
          <w:szCs w:val="24"/>
        </w:rPr>
      </w:pPr>
    </w:p>
    <w:p w:rsidR="00FC67F9" w:rsidRPr="00ED7E20" w:rsidRDefault="00FC67F9" w:rsidP="002A0CD0">
      <w:pPr>
        <w:spacing w:after="0" w:line="240" w:lineRule="auto"/>
        <w:rPr>
          <w:rFonts w:ascii="Times New Roman" w:hAnsi="Times New Roman"/>
          <w:sz w:val="24"/>
          <w:szCs w:val="24"/>
        </w:rPr>
      </w:pPr>
    </w:p>
    <w:p w:rsidR="004651B9" w:rsidRDefault="004651B9" w:rsidP="002A0CD0">
      <w:pPr>
        <w:spacing w:after="0" w:line="240" w:lineRule="auto"/>
        <w:rPr>
          <w:rFonts w:ascii="Times New Roman" w:hAnsi="Times New Roman"/>
          <w:b/>
          <w:bCs/>
          <w:color w:val="000080"/>
          <w:sz w:val="24"/>
          <w:szCs w:val="24"/>
        </w:rPr>
      </w:pPr>
    </w:p>
    <w:p w:rsidR="00FC67F9" w:rsidRPr="00ED7E20" w:rsidRDefault="00FC67F9" w:rsidP="002A0CD0">
      <w:pPr>
        <w:autoSpaceDE w:val="0"/>
        <w:autoSpaceDN w:val="0"/>
        <w:adjustRightInd w:val="0"/>
        <w:spacing w:after="0" w:line="240" w:lineRule="auto"/>
        <w:jc w:val="both"/>
        <w:outlineLvl w:val="1"/>
        <w:rPr>
          <w:rFonts w:ascii="Times New Roman" w:hAnsi="Times New Roman"/>
          <w:b/>
          <w:bCs/>
          <w:color w:val="000080"/>
          <w:sz w:val="24"/>
          <w:szCs w:val="24"/>
        </w:rPr>
      </w:pPr>
      <w:bookmarkStart w:id="23" w:name="_Toc347314850"/>
      <w:r>
        <w:rPr>
          <w:rFonts w:ascii="Times New Roman" w:hAnsi="Times New Roman"/>
          <w:b/>
          <w:bCs/>
          <w:color w:val="000080"/>
          <w:sz w:val="24"/>
          <w:szCs w:val="24"/>
        </w:rPr>
        <w:t>3.1</w:t>
      </w:r>
      <w:r>
        <w:rPr>
          <w:rFonts w:ascii="Times New Roman" w:hAnsi="Times New Roman"/>
          <w:b/>
          <w:bCs/>
          <w:color w:val="000080"/>
          <w:sz w:val="24"/>
          <w:szCs w:val="24"/>
        </w:rPr>
        <w:tab/>
      </w:r>
      <w:r w:rsidRPr="00ED7E20">
        <w:rPr>
          <w:rFonts w:ascii="Times New Roman" w:hAnsi="Times New Roman"/>
          <w:b/>
          <w:bCs/>
          <w:color w:val="000080"/>
          <w:sz w:val="24"/>
          <w:szCs w:val="24"/>
        </w:rPr>
        <w:t>Strategy Process</w:t>
      </w:r>
      <w:bookmarkEnd w:id="23"/>
      <w:r w:rsidRPr="00ED7E20">
        <w:rPr>
          <w:rFonts w:ascii="Times New Roman" w:hAnsi="Times New Roman"/>
          <w:b/>
          <w:bCs/>
          <w:color w:val="000080"/>
          <w:sz w:val="24"/>
          <w:szCs w:val="24"/>
        </w:rPr>
        <w:t xml:space="preserve"> </w:t>
      </w:r>
    </w:p>
    <w:p w:rsidR="00FC67F9" w:rsidRPr="00ED7E20" w:rsidRDefault="00FC67F9" w:rsidP="002A0CD0">
      <w:pPr>
        <w:spacing w:after="0" w:line="240" w:lineRule="auto"/>
        <w:rPr>
          <w:rFonts w:ascii="Times New Roman" w:hAnsi="Times New Roman"/>
          <w:sz w:val="24"/>
          <w:szCs w:val="24"/>
        </w:rPr>
      </w:pPr>
    </w:p>
    <w:p w:rsidR="00FC67F9" w:rsidRPr="00ED7E20" w:rsidRDefault="00FC67F9" w:rsidP="002A0CD0">
      <w:pPr>
        <w:spacing w:after="0" w:line="240" w:lineRule="auto"/>
        <w:rPr>
          <w:rFonts w:ascii="Times New Roman" w:hAnsi="Times New Roman"/>
          <w:sz w:val="24"/>
          <w:szCs w:val="24"/>
        </w:rPr>
      </w:pPr>
      <w:r w:rsidRPr="00ED7E20">
        <w:rPr>
          <w:rFonts w:ascii="Times New Roman" w:hAnsi="Times New Roman"/>
          <w:sz w:val="24"/>
          <w:szCs w:val="24"/>
        </w:rPr>
        <w:t>The process for developing the environmental compliance plan includes the comprehensive involvement of a number of organizations within the company, including environmental, governmental affairs, planning, fuels, engineering, finance, operations, communications, generating plants, and research groups.  This integrated process includes four steps as discussed below.</w:t>
      </w:r>
    </w:p>
    <w:p w:rsidR="00FC67F9" w:rsidRPr="00ED7E20" w:rsidRDefault="00FC67F9" w:rsidP="002A0CD0">
      <w:pPr>
        <w:spacing w:after="0" w:line="240" w:lineRule="auto"/>
        <w:rPr>
          <w:rFonts w:ascii="Times New Roman" w:hAnsi="Times New Roman"/>
          <w:sz w:val="24"/>
          <w:szCs w:val="24"/>
        </w:rPr>
      </w:pPr>
    </w:p>
    <w:p w:rsidR="00FC67F9" w:rsidRPr="00ED7E20" w:rsidRDefault="00FC67F9" w:rsidP="002A0CD0">
      <w:pPr>
        <w:numPr>
          <w:ilvl w:val="0"/>
          <w:numId w:val="11"/>
        </w:numPr>
        <w:tabs>
          <w:tab w:val="num" w:pos="540"/>
        </w:tabs>
        <w:spacing w:after="0" w:line="240" w:lineRule="auto"/>
        <w:ind w:left="540" w:hanging="540"/>
        <w:rPr>
          <w:rFonts w:ascii="Times New Roman" w:hAnsi="Times New Roman"/>
          <w:sz w:val="24"/>
          <w:szCs w:val="24"/>
        </w:rPr>
      </w:pPr>
      <w:r w:rsidRPr="00ED7E20">
        <w:rPr>
          <w:rFonts w:ascii="Times New Roman" w:hAnsi="Times New Roman"/>
          <w:b/>
          <w:bCs/>
          <w:sz w:val="24"/>
          <w:szCs w:val="24"/>
        </w:rPr>
        <w:t>Predicting and integrating the outcome of new environmental requirements</w:t>
      </w:r>
      <w:r w:rsidRPr="00ED7E20">
        <w:rPr>
          <w:rFonts w:ascii="Times New Roman" w:hAnsi="Times New Roman"/>
          <w:sz w:val="24"/>
          <w:szCs w:val="24"/>
        </w:rPr>
        <w:t>.  The first step involves gathering all available knowledge about current and possible future local, state, regional, and national environmental requirements.  The future requirements may be in the form of legislation that will need future rulemakings or in the form of draft or proposed new rules that must go through the rulemaking process to become final.  Some rules may be part of an allowance-based cap and trade program over a regional or national scale and others may be local or state requirements that mandate specific requirements on specific plants.  For many rules, the possibility that litigation will result in changes to the rule creates additional uncertainty.</w:t>
      </w:r>
    </w:p>
    <w:p w:rsidR="00FC67F9" w:rsidRPr="00ED7E20" w:rsidRDefault="00FC67F9" w:rsidP="002A0CD0">
      <w:pPr>
        <w:spacing w:after="0" w:line="240" w:lineRule="auto"/>
        <w:rPr>
          <w:rFonts w:ascii="Times New Roman" w:hAnsi="Times New Roman"/>
          <w:sz w:val="24"/>
          <w:szCs w:val="24"/>
        </w:rPr>
      </w:pPr>
    </w:p>
    <w:p w:rsidR="00FC67F9" w:rsidRPr="00ED7E20" w:rsidRDefault="00FC67F9" w:rsidP="002A0CD0">
      <w:pPr>
        <w:spacing w:after="0" w:line="240" w:lineRule="auto"/>
        <w:ind w:left="540" w:hanging="540"/>
        <w:rPr>
          <w:rFonts w:ascii="Times New Roman" w:hAnsi="Times New Roman"/>
          <w:sz w:val="24"/>
          <w:szCs w:val="24"/>
        </w:rPr>
      </w:pPr>
      <w:r w:rsidRPr="00ED7E20">
        <w:rPr>
          <w:rFonts w:ascii="Times New Roman" w:hAnsi="Times New Roman"/>
          <w:sz w:val="24"/>
          <w:szCs w:val="24"/>
        </w:rPr>
        <w:t>2.</w:t>
      </w:r>
      <w:r w:rsidRPr="00ED7E20">
        <w:rPr>
          <w:rFonts w:ascii="Times New Roman" w:hAnsi="Times New Roman"/>
          <w:sz w:val="24"/>
          <w:szCs w:val="24"/>
        </w:rPr>
        <w:tab/>
      </w:r>
      <w:r w:rsidRPr="00ED7E20">
        <w:rPr>
          <w:rFonts w:ascii="Times New Roman" w:hAnsi="Times New Roman"/>
          <w:b/>
          <w:bCs/>
          <w:sz w:val="24"/>
          <w:szCs w:val="24"/>
        </w:rPr>
        <w:t xml:space="preserve">Developing assumptions on national, Southern Company, and </w:t>
      </w:r>
      <w:r w:rsidR="00B56F68">
        <w:rPr>
          <w:rFonts w:ascii="Times New Roman" w:hAnsi="Times New Roman"/>
          <w:b/>
          <w:bCs/>
          <w:sz w:val="24"/>
          <w:szCs w:val="24"/>
        </w:rPr>
        <w:t xml:space="preserve">Georgia Power </w:t>
      </w:r>
      <w:r w:rsidRPr="00ED7E20">
        <w:rPr>
          <w:rFonts w:ascii="Times New Roman" w:hAnsi="Times New Roman"/>
          <w:b/>
          <w:bCs/>
          <w:sz w:val="24"/>
          <w:szCs w:val="24"/>
        </w:rPr>
        <w:t>Company levels.</w:t>
      </w:r>
      <w:r w:rsidRPr="00ED7E20">
        <w:rPr>
          <w:rFonts w:ascii="Times New Roman" w:hAnsi="Times New Roman"/>
          <w:sz w:val="24"/>
          <w:szCs w:val="24"/>
        </w:rPr>
        <w:t xml:space="preserve">  In order to predict the impacts of the requirements on the generating plants, the company must make assumptions to predict generating unit, </w:t>
      </w:r>
      <w:r w:rsidR="00B56F68">
        <w:rPr>
          <w:rFonts w:ascii="Times New Roman" w:hAnsi="Times New Roman"/>
          <w:sz w:val="24"/>
          <w:szCs w:val="24"/>
        </w:rPr>
        <w:t xml:space="preserve">Georgia Power, </w:t>
      </w:r>
      <w:r w:rsidRPr="00ED7E20">
        <w:rPr>
          <w:rFonts w:ascii="Times New Roman" w:hAnsi="Times New Roman"/>
          <w:sz w:val="24"/>
          <w:szCs w:val="24"/>
        </w:rPr>
        <w:t>Southern Company, and national electric system responses to existing and future environmental requirements (in addition to growing demands for electricity).  These assumptions include:</w:t>
      </w:r>
    </w:p>
    <w:p w:rsidR="00FC67F9" w:rsidRPr="00ED7E20" w:rsidRDefault="00FC67F9" w:rsidP="002A0CD0">
      <w:pPr>
        <w:spacing w:after="0" w:line="240" w:lineRule="auto"/>
        <w:rPr>
          <w:rFonts w:ascii="Times New Roman" w:hAnsi="Times New Roman"/>
          <w:sz w:val="24"/>
          <w:szCs w:val="24"/>
        </w:rPr>
      </w:pPr>
    </w:p>
    <w:p w:rsidR="00FC67F9" w:rsidRPr="00ED7E20" w:rsidRDefault="00FC67F9" w:rsidP="002A0CD0">
      <w:pPr>
        <w:numPr>
          <w:ilvl w:val="0"/>
          <w:numId w:val="10"/>
        </w:numPr>
        <w:spacing w:after="0" w:line="240" w:lineRule="auto"/>
        <w:rPr>
          <w:rFonts w:ascii="Times New Roman" w:hAnsi="Times New Roman"/>
          <w:sz w:val="24"/>
          <w:szCs w:val="24"/>
        </w:rPr>
      </w:pPr>
      <w:r w:rsidRPr="00ED7E20">
        <w:rPr>
          <w:rFonts w:ascii="Times New Roman" w:hAnsi="Times New Roman"/>
          <w:sz w:val="24"/>
          <w:szCs w:val="24"/>
        </w:rPr>
        <w:t>Unit operating characteristics such as heat rates, capacity, and emission rates.</w:t>
      </w:r>
    </w:p>
    <w:p w:rsidR="00FC67F9" w:rsidRPr="00ED7E20" w:rsidRDefault="00FC67F9" w:rsidP="002A0CD0">
      <w:pPr>
        <w:numPr>
          <w:ilvl w:val="0"/>
          <w:numId w:val="10"/>
        </w:numPr>
        <w:spacing w:after="0" w:line="240" w:lineRule="auto"/>
        <w:rPr>
          <w:rFonts w:ascii="Times New Roman" w:hAnsi="Times New Roman"/>
          <w:sz w:val="24"/>
          <w:szCs w:val="24"/>
        </w:rPr>
      </w:pPr>
      <w:r w:rsidRPr="00ED7E20">
        <w:rPr>
          <w:rFonts w:ascii="Times New Roman" w:hAnsi="Times New Roman"/>
          <w:sz w:val="24"/>
          <w:szCs w:val="24"/>
        </w:rPr>
        <w:t>Fuel characteristics and costs, including natural gas, coal, and oil.</w:t>
      </w:r>
    </w:p>
    <w:p w:rsidR="00FC67F9" w:rsidRPr="00ED7E20" w:rsidRDefault="00FC67F9" w:rsidP="002A0CD0">
      <w:pPr>
        <w:numPr>
          <w:ilvl w:val="0"/>
          <w:numId w:val="10"/>
        </w:numPr>
        <w:spacing w:after="0" w:line="240" w:lineRule="auto"/>
        <w:rPr>
          <w:rFonts w:ascii="Times New Roman" w:hAnsi="Times New Roman"/>
          <w:sz w:val="24"/>
          <w:szCs w:val="24"/>
        </w:rPr>
      </w:pPr>
      <w:r w:rsidRPr="00ED7E20">
        <w:rPr>
          <w:rFonts w:ascii="Times New Roman" w:hAnsi="Times New Roman"/>
          <w:sz w:val="24"/>
          <w:szCs w:val="24"/>
        </w:rPr>
        <w:t>Allowance prices for cap and trade programs.</w:t>
      </w:r>
    </w:p>
    <w:p w:rsidR="00FC67F9" w:rsidRPr="00ED7E20" w:rsidRDefault="00FC67F9" w:rsidP="002A0CD0">
      <w:pPr>
        <w:numPr>
          <w:ilvl w:val="0"/>
          <w:numId w:val="10"/>
        </w:numPr>
        <w:spacing w:after="0" w:line="240" w:lineRule="auto"/>
        <w:rPr>
          <w:rFonts w:ascii="Times New Roman" w:hAnsi="Times New Roman"/>
          <w:sz w:val="24"/>
          <w:szCs w:val="24"/>
        </w:rPr>
      </w:pPr>
      <w:r w:rsidRPr="00ED7E20">
        <w:rPr>
          <w:rFonts w:ascii="Times New Roman" w:hAnsi="Times New Roman"/>
          <w:sz w:val="24"/>
          <w:szCs w:val="24"/>
        </w:rPr>
        <w:t>Control technology options and costs.</w:t>
      </w:r>
    </w:p>
    <w:p w:rsidR="00FC67F9" w:rsidRDefault="00FC67F9" w:rsidP="002A0CD0">
      <w:pPr>
        <w:numPr>
          <w:ilvl w:val="0"/>
          <w:numId w:val="10"/>
        </w:numPr>
        <w:spacing w:after="0" w:line="240" w:lineRule="auto"/>
        <w:rPr>
          <w:rFonts w:ascii="Times New Roman" w:hAnsi="Times New Roman"/>
          <w:sz w:val="24"/>
          <w:szCs w:val="24"/>
        </w:rPr>
      </w:pPr>
      <w:r w:rsidRPr="00ED7E20">
        <w:rPr>
          <w:rFonts w:ascii="Times New Roman" w:hAnsi="Times New Roman"/>
          <w:sz w:val="24"/>
          <w:szCs w:val="24"/>
        </w:rPr>
        <w:t>Future generation demand.</w:t>
      </w:r>
    </w:p>
    <w:p w:rsidR="00B56F68" w:rsidRPr="00ED7E20" w:rsidRDefault="00B56F68" w:rsidP="00B56F68">
      <w:pPr>
        <w:spacing w:after="0" w:line="240" w:lineRule="auto"/>
        <w:ind w:left="1440"/>
        <w:rPr>
          <w:rFonts w:ascii="Times New Roman" w:hAnsi="Times New Roman"/>
          <w:sz w:val="24"/>
          <w:szCs w:val="24"/>
        </w:rPr>
      </w:pPr>
    </w:p>
    <w:p w:rsidR="00FC67F9" w:rsidRPr="00ED7E20" w:rsidRDefault="00FC67F9" w:rsidP="002A0CD0">
      <w:pPr>
        <w:spacing w:after="0" w:line="240" w:lineRule="auto"/>
        <w:ind w:left="540"/>
        <w:rPr>
          <w:rFonts w:ascii="Times New Roman" w:hAnsi="Times New Roman"/>
          <w:sz w:val="24"/>
          <w:szCs w:val="24"/>
        </w:rPr>
      </w:pPr>
      <w:r w:rsidRPr="00ED7E20">
        <w:rPr>
          <w:rFonts w:ascii="Times New Roman" w:hAnsi="Times New Roman"/>
          <w:sz w:val="24"/>
          <w:szCs w:val="24"/>
        </w:rPr>
        <w:t xml:space="preserve">To appropriately consider future legislative and market uncertainty, a scenario planning process was employed for long-term resource planning.  A range of planning scenarios were developed and modeled as a part of the company’s IRP Process.  This range was established through the work of a coordinated planning team consisting of internal and external subject matter experts and company planning managers.  The planning scenarios identify two fundamental dimensions that affect the range of potential futures for the electric utility industry – fuel market supply fundamentals and </w:t>
      </w:r>
      <w:r w:rsidR="00343745">
        <w:rPr>
          <w:rFonts w:ascii="Times New Roman" w:hAnsi="Times New Roman"/>
          <w:sz w:val="24"/>
          <w:szCs w:val="24"/>
        </w:rPr>
        <w:t>GHG</w:t>
      </w:r>
      <w:r w:rsidR="00432235">
        <w:rPr>
          <w:rFonts w:ascii="Times New Roman" w:hAnsi="Times New Roman"/>
          <w:sz w:val="24"/>
          <w:szCs w:val="24"/>
        </w:rPr>
        <w:t xml:space="preserve"> </w:t>
      </w:r>
      <w:r w:rsidR="00483A06">
        <w:rPr>
          <w:rFonts w:ascii="Times New Roman" w:hAnsi="Times New Roman"/>
          <w:sz w:val="24"/>
          <w:szCs w:val="24"/>
        </w:rPr>
        <w:t>policy</w:t>
      </w:r>
      <w:r w:rsidRPr="00ED7E20">
        <w:rPr>
          <w:rFonts w:ascii="Times New Roman" w:hAnsi="Times New Roman"/>
          <w:sz w:val="24"/>
          <w:szCs w:val="24"/>
        </w:rPr>
        <w:t xml:space="preserve">.  </w:t>
      </w:r>
    </w:p>
    <w:p w:rsidR="00FC67F9" w:rsidRPr="00ED7E20" w:rsidRDefault="00FC67F9" w:rsidP="002A0CD0">
      <w:pPr>
        <w:spacing w:after="0" w:line="240" w:lineRule="auto"/>
        <w:ind w:left="540" w:hanging="540"/>
        <w:rPr>
          <w:rFonts w:ascii="Times New Roman" w:hAnsi="Times New Roman"/>
          <w:sz w:val="24"/>
          <w:szCs w:val="24"/>
        </w:rPr>
      </w:pPr>
    </w:p>
    <w:p w:rsidR="00FC67F9" w:rsidRPr="00ED7E20" w:rsidRDefault="00FC67F9" w:rsidP="002A0CD0">
      <w:pPr>
        <w:spacing w:after="0" w:line="240" w:lineRule="auto"/>
        <w:ind w:left="540" w:hanging="540"/>
        <w:rPr>
          <w:rFonts w:ascii="Times New Roman" w:hAnsi="Times New Roman"/>
          <w:sz w:val="24"/>
          <w:szCs w:val="24"/>
        </w:rPr>
      </w:pPr>
      <w:r w:rsidRPr="00ED7E20">
        <w:rPr>
          <w:rFonts w:ascii="Times New Roman" w:hAnsi="Times New Roman"/>
          <w:sz w:val="24"/>
          <w:szCs w:val="24"/>
        </w:rPr>
        <w:t>3.</w:t>
      </w:r>
      <w:r w:rsidRPr="00ED7E20">
        <w:rPr>
          <w:rFonts w:ascii="Times New Roman" w:hAnsi="Times New Roman"/>
          <w:sz w:val="24"/>
          <w:szCs w:val="24"/>
        </w:rPr>
        <w:tab/>
      </w:r>
      <w:r w:rsidRPr="00ED7E20">
        <w:rPr>
          <w:rFonts w:ascii="Times New Roman" w:hAnsi="Times New Roman"/>
          <w:b/>
          <w:bCs/>
          <w:sz w:val="24"/>
          <w:szCs w:val="24"/>
        </w:rPr>
        <w:t>Application of generating unit-specific cost-effective control technology options.</w:t>
      </w:r>
      <w:r w:rsidRPr="00ED7E20">
        <w:rPr>
          <w:rFonts w:ascii="Times New Roman" w:hAnsi="Times New Roman"/>
          <w:sz w:val="24"/>
          <w:szCs w:val="24"/>
        </w:rPr>
        <w:t xml:space="preserve">  The application of control technology is dictated initially by the anticipated environmental requirements for each specific generating plant and/or unit.  In some cases, the plant or unit’s emission control requirements are mandated, such as a plant-specific limit to meet local air quality requirements.  In some cases, such as the cap and trade program for </w:t>
      </w:r>
      <w:r w:rsidRPr="00ED7E20">
        <w:rPr>
          <w:rFonts w:ascii="Times New Roman" w:hAnsi="Times New Roman" w:cs="Arial"/>
          <w:sz w:val="24"/>
          <w:szCs w:val="24"/>
        </w:rPr>
        <w:t>SO</w:t>
      </w:r>
      <w:r w:rsidRPr="00ED7E20">
        <w:rPr>
          <w:rFonts w:ascii="Times New Roman" w:hAnsi="Times New Roman" w:cs="Arial"/>
          <w:sz w:val="24"/>
          <w:szCs w:val="24"/>
          <w:vertAlign w:val="subscript"/>
        </w:rPr>
        <w:t>2</w:t>
      </w:r>
      <w:r w:rsidRPr="00ED7E20">
        <w:rPr>
          <w:rFonts w:ascii="Times New Roman" w:hAnsi="Times New Roman"/>
          <w:sz w:val="24"/>
          <w:szCs w:val="24"/>
        </w:rPr>
        <w:t xml:space="preserve"> established to address acid rain, utilities can choose the most cost-effective option:  fuel switching, applying control technology, or purchasing emission allowances.  The decision process reviews the cost-effectiveness of each of these options for each unit.  Several of the most important emission control technologies for Southern Company compliance are described in the technology review discussion below.</w:t>
      </w:r>
    </w:p>
    <w:p w:rsidR="00FC67F9" w:rsidRPr="00ED7E20" w:rsidRDefault="00FC67F9" w:rsidP="002A0CD0">
      <w:pPr>
        <w:spacing w:after="0" w:line="240" w:lineRule="auto"/>
        <w:rPr>
          <w:rFonts w:ascii="Times New Roman" w:hAnsi="Times New Roman"/>
          <w:sz w:val="24"/>
          <w:szCs w:val="24"/>
        </w:rPr>
      </w:pPr>
    </w:p>
    <w:p w:rsidR="00FC67F9" w:rsidRPr="00ED7E20" w:rsidRDefault="00FC67F9" w:rsidP="002A0CD0">
      <w:pPr>
        <w:spacing w:after="0" w:line="240" w:lineRule="auto"/>
        <w:ind w:left="540"/>
        <w:rPr>
          <w:rFonts w:ascii="Times New Roman" w:hAnsi="Times New Roman"/>
          <w:sz w:val="24"/>
          <w:szCs w:val="24"/>
        </w:rPr>
      </w:pPr>
      <w:r w:rsidRPr="00ED7E20">
        <w:rPr>
          <w:rFonts w:ascii="Times New Roman" w:hAnsi="Times New Roman"/>
          <w:sz w:val="24"/>
          <w:szCs w:val="24"/>
        </w:rPr>
        <w:t xml:space="preserve">The availability of control technology options varies by pollutant, as well.  For example, when complying with </w:t>
      </w:r>
      <w:r w:rsidRPr="00ED7E20">
        <w:rPr>
          <w:rFonts w:ascii="Times New Roman" w:hAnsi="Times New Roman" w:cs="Arial"/>
          <w:sz w:val="24"/>
          <w:szCs w:val="24"/>
        </w:rPr>
        <w:t>SO</w:t>
      </w:r>
      <w:r w:rsidRPr="00ED7E20">
        <w:rPr>
          <w:rFonts w:ascii="Times New Roman" w:hAnsi="Times New Roman" w:cs="Arial"/>
          <w:sz w:val="24"/>
          <w:szCs w:val="24"/>
          <w:vertAlign w:val="subscript"/>
        </w:rPr>
        <w:t>2</w:t>
      </w:r>
      <w:r w:rsidRPr="00ED7E20">
        <w:rPr>
          <w:rFonts w:ascii="Times New Roman" w:hAnsi="Times New Roman"/>
          <w:sz w:val="24"/>
          <w:szCs w:val="24"/>
        </w:rPr>
        <w:t xml:space="preserve"> reduction requirements, the choices are basically fuel switching to lower sulfur coal, installing scrubbers, or buying allowances.  Scrubbers are also effective for the reduction of fine particulates</w:t>
      </w:r>
      <w:r w:rsidR="00532D16">
        <w:rPr>
          <w:rFonts w:ascii="Times New Roman" w:hAnsi="Times New Roman"/>
          <w:sz w:val="24"/>
          <w:szCs w:val="24"/>
        </w:rPr>
        <w:t xml:space="preserve"> and mercury</w:t>
      </w:r>
      <w:r w:rsidRPr="00ED7E20">
        <w:rPr>
          <w:rFonts w:ascii="Times New Roman" w:hAnsi="Times New Roman"/>
          <w:sz w:val="24"/>
          <w:szCs w:val="24"/>
        </w:rPr>
        <w:t>.  For NO</w:t>
      </w:r>
      <w:r w:rsidRPr="00ED7E20">
        <w:rPr>
          <w:rFonts w:ascii="Times New Roman" w:hAnsi="Times New Roman"/>
          <w:sz w:val="24"/>
          <w:szCs w:val="24"/>
          <w:vertAlign w:val="subscript"/>
        </w:rPr>
        <w:t>X</w:t>
      </w:r>
      <w:r w:rsidRPr="00ED7E20">
        <w:rPr>
          <w:rFonts w:ascii="Times New Roman" w:hAnsi="Times New Roman"/>
          <w:sz w:val="24"/>
          <w:szCs w:val="24"/>
        </w:rPr>
        <w:t xml:space="preserve"> control, there are more control technology options available, such as low-NO</w:t>
      </w:r>
      <w:r w:rsidRPr="00ED7E20">
        <w:rPr>
          <w:rFonts w:ascii="Times New Roman" w:hAnsi="Times New Roman"/>
          <w:sz w:val="24"/>
          <w:szCs w:val="24"/>
          <w:vertAlign w:val="subscript"/>
        </w:rPr>
        <w:t>X</w:t>
      </w:r>
      <w:r w:rsidRPr="00ED7E20">
        <w:rPr>
          <w:rFonts w:ascii="Times New Roman" w:hAnsi="Times New Roman"/>
          <w:sz w:val="24"/>
          <w:szCs w:val="24"/>
        </w:rPr>
        <w:t xml:space="preserve"> burners, selective catalytic reduction, and selective noncatalytic reduction.  Mercury emissions can be reduced through co-benefits from the combined operation of an SCR and a scrubber</w:t>
      </w:r>
      <w:r w:rsidR="00483A06">
        <w:rPr>
          <w:rFonts w:ascii="Times New Roman" w:hAnsi="Times New Roman"/>
          <w:sz w:val="24"/>
          <w:szCs w:val="24"/>
        </w:rPr>
        <w:t>,</w:t>
      </w:r>
      <w:r w:rsidRPr="00ED7E20">
        <w:rPr>
          <w:rFonts w:ascii="Times New Roman" w:hAnsi="Times New Roman"/>
          <w:sz w:val="24"/>
          <w:szCs w:val="24"/>
        </w:rPr>
        <w:t xml:space="preserve"> injection of activated carbon </w:t>
      </w:r>
      <w:r w:rsidR="00483A06">
        <w:rPr>
          <w:rFonts w:ascii="Times New Roman" w:hAnsi="Times New Roman"/>
          <w:sz w:val="24"/>
          <w:szCs w:val="24"/>
        </w:rPr>
        <w:t>with or without</w:t>
      </w:r>
      <w:r w:rsidRPr="00ED7E20">
        <w:rPr>
          <w:rFonts w:ascii="Times New Roman" w:hAnsi="Times New Roman"/>
          <w:sz w:val="24"/>
          <w:szCs w:val="24"/>
        </w:rPr>
        <w:t xml:space="preserve"> </w:t>
      </w:r>
      <w:r w:rsidR="00483A06">
        <w:rPr>
          <w:rFonts w:ascii="Times New Roman" w:hAnsi="Times New Roman"/>
          <w:sz w:val="24"/>
          <w:szCs w:val="24"/>
        </w:rPr>
        <w:t>alkali sorbents, and injection of chemical additives to the coal upstream of the boiler</w:t>
      </w:r>
      <w:r w:rsidRPr="00ED7E20">
        <w:rPr>
          <w:rFonts w:ascii="Times New Roman" w:hAnsi="Times New Roman"/>
          <w:sz w:val="24"/>
          <w:szCs w:val="24"/>
        </w:rPr>
        <w:t xml:space="preserve">.  A fabric filter technology such as COHPAC or a baghouse may be necessary for fine particulate and/or mercury reduction at </w:t>
      </w:r>
      <w:r w:rsidR="00483A06">
        <w:rPr>
          <w:rFonts w:ascii="Times New Roman" w:hAnsi="Times New Roman"/>
          <w:sz w:val="24"/>
          <w:szCs w:val="24"/>
        </w:rPr>
        <w:t xml:space="preserve">some </w:t>
      </w:r>
      <w:r w:rsidRPr="00ED7E20">
        <w:rPr>
          <w:rFonts w:ascii="Times New Roman" w:hAnsi="Times New Roman"/>
          <w:sz w:val="24"/>
          <w:szCs w:val="24"/>
        </w:rPr>
        <w:t xml:space="preserve">units.  The cost, control effectiveness, and </w:t>
      </w:r>
      <w:r w:rsidR="00483A06">
        <w:rPr>
          <w:rFonts w:ascii="Times New Roman" w:hAnsi="Times New Roman"/>
          <w:sz w:val="24"/>
          <w:szCs w:val="24"/>
        </w:rPr>
        <w:t>operational issues</w:t>
      </w:r>
      <w:r w:rsidR="00483A06" w:rsidRPr="00ED7E20">
        <w:rPr>
          <w:rFonts w:ascii="Times New Roman" w:hAnsi="Times New Roman"/>
          <w:sz w:val="24"/>
          <w:szCs w:val="24"/>
        </w:rPr>
        <w:t xml:space="preserve"> </w:t>
      </w:r>
      <w:r w:rsidRPr="00ED7E20">
        <w:rPr>
          <w:rFonts w:ascii="Times New Roman" w:hAnsi="Times New Roman"/>
          <w:sz w:val="24"/>
          <w:szCs w:val="24"/>
        </w:rPr>
        <w:t xml:space="preserve">of each technology for each generating unit must be considered.  The figure below (Fig. 3.1-1) illustrates various control technologies and applications.  </w:t>
      </w:r>
    </w:p>
    <w:p w:rsidR="00FC67F9" w:rsidRPr="00ED7E20" w:rsidRDefault="00C650CE" w:rsidP="002A0CD0">
      <w:pPr>
        <w:spacing w:after="0" w:line="240" w:lineRule="auto"/>
        <w:rPr>
          <w:rFonts w:ascii="Times New Roman" w:hAnsi="Times New Roman"/>
          <w:sz w:val="24"/>
          <w:szCs w:val="24"/>
        </w:rPr>
      </w:pPr>
      <w:r>
        <w:rPr>
          <w:rFonts w:ascii="Times New Roman" w:hAnsi="Times New Roman"/>
          <w:noProof/>
          <w:sz w:val="24"/>
          <w:szCs w:val="24"/>
        </w:rPr>
        <w:pict>
          <v:shapetype id="_x0000_t202" coordsize="21600,21600" o:spt="202" path="m,l,21600r21600,l21600,xe">
            <v:stroke joinstyle="miter"/>
            <v:path gradientshapeok="t" o:connecttype="rect"/>
          </v:shapetype>
          <v:shape id="_x0000_s1026" type="#_x0000_t202" style="position:absolute;margin-left:-414pt;margin-top:12.05pt;width:351.75pt;height:18pt;z-index:251653120" stroked="f">
            <v:textbox style="mso-next-textbox:#_x0000_s1026" inset="7.5pt,3.75pt,7.5pt,3.75pt">
              <w:txbxContent>
                <w:p w:rsidR="009C366D" w:rsidRPr="008D0C3C" w:rsidRDefault="009C366D" w:rsidP="00FC67F9">
                  <w:pPr>
                    <w:jc w:val="center"/>
                    <w:rPr>
                      <w:rFonts w:ascii="Arial" w:hAnsi="Arial" w:cs="Arial"/>
                      <w:b/>
                    </w:rPr>
                  </w:pPr>
                  <w:r w:rsidRPr="008D0C3C">
                    <w:rPr>
                      <w:rFonts w:ascii="Arial" w:hAnsi="Arial" w:cs="Arial"/>
                      <w:b/>
                    </w:rPr>
                    <w:t>Emission Control Technologies for Coal-Fired Boilers</w:t>
                  </w:r>
                </w:p>
              </w:txbxContent>
            </v:textbox>
          </v:shape>
        </w:pict>
      </w:r>
    </w:p>
    <w:p w:rsidR="00FC67F9" w:rsidRPr="00ED7E20" w:rsidRDefault="00FC67F9" w:rsidP="002A0CD0">
      <w:pPr>
        <w:spacing w:after="0" w:line="240" w:lineRule="auto"/>
        <w:jc w:val="center"/>
        <w:rPr>
          <w:rFonts w:ascii="Times New Roman" w:hAnsi="Times New Roman"/>
          <w:sz w:val="24"/>
          <w:szCs w:val="24"/>
        </w:rPr>
      </w:pPr>
    </w:p>
    <w:p w:rsidR="00313111" w:rsidRDefault="00313111" w:rsidP="002A0CD0">
      <w:pPr>
        <w:pStyle w:val="Caption"/>
        <w:tabs>
          <w:tab w:val="left" w:pos="720"/>
        </w:tabs>
        <w:ind w:left="630"/>
      </w:pPr>
    </w:p>
    <w:p w:rsidR="00FC67F9" w:rsidRPr="00ED7E20" w:rsidRDefault="00FC67F9" w:rsidP="002A0CD0">
      <w:pPr>
        <w:spacing w:after="0" w:line="240" w:lineRule="auto"/>
        <w:rPr>
          <w:rFonts w:ascii="Times New Roman" w:hAnsi="Times New Roman"/>
          <w:sz w:val="24"/>
          <w:szCs w:val="24"/>
        </w:rPr>
      </w:pPr>
    </w:p>
    <w:p w:rsidR="00FC67F9" w:rsidRPr="00ED7E20" w:rsidRDefault="00FC67F9" w:rsidP="002A0CD0">
      <w:pPr>
        <w:spacing w:after="0" w:line="240" w:lineRule="auto"/>
        <w:rPr>
          <w:rFonts w:ascii="Times New Roman" w:hAnsi="Times New Roman"/>
          <w:sz w:val="24"/>
          <w:szCs w:val="24"/>
        </w:rPr>
      </w:pPr>
    </w:p>
    <w:p w:rsidR="00313111" w:rsidRDefault="00313111" w:rsidP="002A0CD0">
      <w:pPr>
        <w:pStyle w:val="Caption"/>
        <w:tabs>
          <w:tab w:val="left" w:pos="720"/>
        </w:tabs>
        <w:ind w:left="630"/>
      </w:pPr>
    </w:p>
    <w:p w:rsidR="00313111" w:rsidRDefault="00313111" w:rsidP="002A0CD0">
      <w:pPr>
        <w:pStyle w:val="Caption"/>
        <w:tabs>
          <w:tab w:val="left" w:pos="720"/>
        </w:tabs>
        <w:ind w:left="630"/>
      </w:pPr>
    </w:p>
    <w:p w:rsidR="00313111" w:rsidRDefault="00313111" w:rsidP="002A0CD0">
      <w:pPr>
        <w:pStyle w:val="Caption"/>
        <w:tabs>
          <w:tab w:val="left" w:pos="720"/>
        </w:tabs>
        <w:ind w:left="630"/>
      </w:pPr>
    </w:p>
    <w:p w:rsidR="00313111" w:rsidRDefault="00313111" w:rsidP="002A0CD0">
      <w:pPr>
        <w:pStyle w:val="Caption"/>
        <w:tabs>
          <w:tab w:val="left" w:pos="720"/>
        </w:tabs>
        <w:ind w:left="630"/>
      </w:pPr>
    </w:p>
    <w:p w:rsidR="00313111" w:rsidRDefault="00313111" w:rsidP="002A0CD0">
      <w:pPr>
        <w:pStyle w:val="Caption"/>
        <w:tabs>
          <w:tab w:val="left" w:pos="720"/>
        </w:tabs>
        <w:ind w:left="630"/>
      </w:pPr>
    </w:p>
    <w:p w:rsidR="00313111" w:rsidRDefault="00313111" w:rsidP="002A0CD0">
      <w:pPr>
        <w:pStyle w:val="Caption"/>
        <w:tabs>
          <w:tab w:val="left" w:pos="720"/>
        </w:tabs>
        <w:ind w:left="630"/>
      </w:pPr>
    </w:p>
    <w:p w:rsidR="00313111" w:rsidRDefault="00313111" w:rsidP="002A0CD0">
      <w:pPr>
        <w:pStyle w:val="Caption"/>
        <w:tabs>
          <w:tab w:val="left" w:pos="720"/>
        </w:tabs>
        <w:ind w:left="630"/>
      </w:pPr>
    </w:p>
    <w:p w:rsidR="00313111" w:rsidRDefault="00313111" w:rsidP="002A0CD0">
      <w:pPr>
        <w:pStyle w:val="Caption"/>
        <w:tabs>
          <w:tab w:val="left" w:pos="720"/>
        </w:tabs>
        <w:ind w:left="630"/>
      </w:pPr>
    </w:p>
    <w:p w:rsidR="00313111" w:rsidRDefault="00313111" w:rsidP="002A0CD0">
      <w:pPr>
        <w:pStyle w:val="Caption"/>
        <w:tabs>
          <w:tab w:val="left" w:pos="720"/>
        </w:tabs>
        <w:ind w:left="630"/>
      </w:pPr>
    </w:p>
    <w:p w:rsidR="00313111" w:rsidRDefault="00313111" w:rsidP="002A0CD0">
      <w:pPr>
        <w:pStyle w:val="Caption"/>
        <w:tabs>
          <w:tab w:val="left" w:pos="720"/>
        </w:tabs>
        <w:ind w:left="630"/>
      </w:pPr>
    </w:p>
    <w:p w:rsidR="00313111" w:rsidRDefault="00313111" w:rsidP="002A0CD0">
      <w:pPr>
        <w:pStyle w:val="Caption"/>
        <w:tabs>
          <w:tab w:val="left" w:pos="720"/>
        </w:tabs>
        <w:ind w:left="630"/>
      </w:pPr>
    </w:p>
    <w:p w:rsidR="00313111" w:rsidRDefault="00313111" w:rsidP="002A0CD0">
      <w:pPr>
        <w:pStyle w:val="Caption"/>
        <w:tabs>
          <w:tab w:val="left" w:pos="720"/>
        </w:tabs>
        <w:ind w:left="630"/>
      </w:pPr>
    </w:p>
    <w:p w:rsidR="00313111" w:rsidRDefault="00313111" w:rsidP="002A0CD0">
      <w:pPr>
        <w:pStyle w:val="Caption"/>
        <w:tabs>
          <w:tab w:val="left" w:pos="720"/>
        </w:tabs>
        <w:ind w:left="630"/>
      </w:pPr>
    </w:p>
    <w:p w:rsidR="00313111" w:rsidRDefault="00313111" w:rsidP="002A0CD0">
      <w:pPr>
        <w:pStyle w:val="Caption"/>
        <w:tabs>
          <w:tab w:val="left" w:pos="720"/>
        </w:tabs>
        <w:ind w:left="630"/>
      </w:pPr>
    </w:p>
    <w:p w:rsidR="00313111" w:rsidRDefault="00313111" w:rsidP="002A0CD0">
      <w:pPr>
        <w:pStyle w:val="Caption"/>
        <w:tabs>
          <w:tab w:val="left" w:pos="720"/>
        </w:tabs>
        <w:ind w:left="630"/>
      </w:pPr>
    </w:p>
    <w:p w:rsidR="00313111" w:rsidRDefault="00313111" w:rsidP="002A0CD0">
      <w:pPr>
        <w:pStyle w:val="Caption"/>
        <w:tabs>
          <w:tab w:val="left" w:pos="720"/>
        </w:tabs>
        <w:ind w:left="630"/>
      </w:pPr>
    </w:p>
    <w:p w:rsidR="00313111" w:rsidRDefault="00313111" w:rsidP="002A0CD0">
      <w:pPr>
        <w:pStyle w:val="Caption"/>
        <w:tabs>
          <w:tab w:val="left" w:pos="720"/>
        </w:tabs>
        <w:ind w:left="630"/>
      </w:pPr>
    </w:p>
    <w:p w:rsidR="00752263" w:rsidRDefault="00752263" w:rsidP="002A0CD0">
      <w:pPr>
        <w:pStyle w:val="Caption"/>
        <w:tabs>
          <w:tab w:val="left" w:pos="720"/>
        </w:tabs>
        <w:ind w:left="630"/>
        <w:sectPr w:rsidR="00752263" w:rsidSect="00111EC6">
          <w:headerReference w:type="even" r:id="rId26"/>
          <w:headerReference w:type="default" r:id="rId27"/>
          <w:footerReference w:type="default" r:id="rId28"/>
          <w:headerReference w:type="first" r:id="rId29"/>
          <w:type w:val="nextColumn"/>
          <w:pgSz w:w="12240" w:h="15840" w:code="1"/>
          <w:pgMar w:top="1440" w:right="1440" w:bottom="1440" w:left="1440" w:header="720" w:footer="720" w:gutter="0"/>
          <w:pgNumType w:start="1"/>
          <w:cols w:space="720"/>
        </w:sectPr>
      </w:pPr>
    </w:p>
    <w:p w:rsidR="00313111" w:rsidRDefault="00313111" w:rsidP="002A0CD0">
      <w:pPr>
        <w:pStyle w:val="Caption"/>
        <w:tabs>
          <w:tab w:val="left" w:pos="720"/>
        </w:tabs>
        <w:ind w:left="630"/>
      </w:pPr>
    </w:p>
    <w:p w:rsidR="00313111" w:rsidRDefault="00C650CE" w:rsidP="00752263">
      <w:pPr>
        <w:pStyle w:val="Caption"/>
        <w:tabs>
          <w:tab w:val="left" w:pos="720"/>
        </w:tabs>
        <w:jc w:val="center"/>
        <w:rPr>
          <w:noProof/>
          <w:sz w:val="24"/>
          <w:szCs w:val="24"/>
        </w:rPr>
      </w:pPr>
      <w:r>
        <w:rPr>
          <w:noProof/>
          <w:sz w:val="24"/>
          <w:szCs w:val="24"/>
        </w:rPr>
        <w:pict>
          <v:rect id="_x0000_s1033" style="position:absolute;left:0;text-align:left;margin-left:501.75pt;margin-top:41.35pt;width:73.5pt;height:29.25pt;z-index:251661312" strokecolor="white">
            <v:textbox style="mso-next-textbox:#_x0000_s1033">
              <w:txbxContent>
                <w:p w:rsidR="009C366D" w:rsidRDefault="009C366D"/>
              </w:txbxContent>
            </v:textbox>
          </v:rect>
        </w:pict>
      </w:r>
    </w:p>
    <w:p w:rsidR="00ED0EBC" w:rsidRDefault="009C366D" w:rsidP="00752263">
      <w:pPr>
        <w:pStyle w:val="Caption"/>
        <w:tabs>
          <w:tab w:val="left" w:pos="720"/>
        </w:tabs>
        <w:ind w:left="630"/>
        <w:jc w:val="center"/>
      </w:pPr>
      <w:r w:rsidRPr="009C366D">
        <w:rPr>
          <w:noProof/>
        </w:rPr>
        <w:drawing>
          <wp:inline distT="0" distB="0" distL="0" distR="0">
            <wp:extent cx="8029575" cy="4429125"/>
            <wp:effectExtent l="19050" t="0" r="9525" b="0"/>
            <wp:docPr id="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srcRect/>
                    <a:stretch>
                      <a:fillRect/>
                    </a:stretch>
                  </pic:blipFill>
                  <pic:spPr bwMode="auto">
                    <a:xfrm>
                      <a:off x="0" y="0"/>
                      <a:ext cx="8029575" cy="4429125"/>
                    </a:xfrm>
                    <a:prstGeom prst="rect">
                      <a:avLst/>
                    </a:prstGeom>
                    <a:solidFill>
                      <a:schemeClr val="bg1"/>
                    </a:solidFill>
                    <a:ln w="9525">
                      <a:noFill/>
                      <a:miter lim="800000"/>
                      <a:headEnd/>
                      <a:tailEnd/>
                    </a:ln>
                  </pic:spPr>
                </pic:pic>
              </a:graphicData>
            </a:graphic>
          </wp:inline>
        </w:drawing>
      </w:r>
    </w:p>
    <w:p w:rsidR="00752263" w:rsidRDefault="00752263" w:rsidP="00752263">
      <w:pPr>
        <w:pStyle w:val="Caption"/>
        <w:tabs>
          <w:tab w:val="left" w:pos="720"/>
        </w:tabs>
        <w:ind w:left="630"/>
        <w:jc w:val="center"/>
        <w:rPr>
          <w:noProof/>
          <w:sz w:val="24"/>
          <w:szCs w:val="24"/>
        </w:rPr>
      </w:pPr>
      <w:r>
        <w:t xml:space="preserve">Figure 3.1-1 </w:t>
      </w:r>
      <w:r w:rsidR="00096535">
        <w:t xml:space="preserve">Possible </w:t>
      </w:r>
      <w:r>
        <w:t>Emission Control Technologies for Coal-Fired Boilers</w:t>
      </w:r>
    </w:p>
    <w:p w:rsidR="00752263" w:rsidRDefault="00752263" w:rsidP="00752263"/>
    <w:p w:rsidR="00752263" w:rsidRDefault="00752263" w:rsidP="00752263">
      <w:pPr>
        <w:sectPr w:rsidR="00752263" w:rsidSect="00E07104">
          <w:headerReference w:type="even" r:id="rId31"/>
          <w:headerReference w:type="default" r:id="rId32"/>
          <w:footerReference w:type="default" r:id="rId33"/>
          <w:headerReference w:type="first" r:id="rId34"/>
          <w:pgSz w:w="15840" w:h="12240" w:orient="landscape" w:code="1"/>
          <w:pgMar w:top="1440" w:right="1440" w:bottom="1440" w:left="1440" w:header="720" w:footer="720" w:gutter="0"/>
          <w:cols w:space="720"/>
          <w:docGrid w:linePitch="299"/>
        </w:sectPr>
      </w:pPr>
    </w:p>
    <w:p w:rsidR="00752263" w:rsidRDefault="00752263" w:rsidP="00752263">
      <w:pPr>
        <w:spacing w:after="0" w:line="240" w:lineRule="auto"/>
        <w:rPr>
          <w:rFonts w:ascii="Times New Roman" w:hAnsi="Times New Roman"/>
          <w:sz w:val="24"/>
          <w:szCs w:val="24"/>
        </w:rPr>
      </w:pPr>
      <w:r w:rsidRPr="00ED7E20">
        <w:rPr>
          <w:rFonts w:ascii="Times New Roman" w:hAnsi="Times New Roman"/>
          <w:sz w:val="24"/>
          <w:szCs w:val="24"/>
        </w:rPr>
        <w:t>All of these considerations are taken into account in developing a unit-specific decision on the application of emissions control technologies.  The figure below (Fig. 3.1-2) illustrates this decision process.</w:t>
      </w:r>
    </w:p>
    <w:p w:rsidR="00752263" w:rsidRPr="00ED7E20" w:rsidRDefault="00752263" w:rsidP="00752263">
      <w:pPr>
        <w:spacing w:after="0" w:line="240" w:lineRule="auto"/>
        <w:rPr>
          <w:rFonts w:ascii="Times New Roman" w:hAnsi="Times New Roman"/>
          <w:sz w:val="24"/>
          <w:szCs w:val="24"/>
        </w:rPr>
      </w:pPr>
    </w:p>
    <w:p w:rsidR="00752263" w:rsidRPr="00ED7E20" w:rsidRDefault="00244CD4" w:rsidP="00244CD4">
      <w:pPr>
        <w:spacing w:after="0" w:line="240" w:lineRule="auto"/>
        <w:rPr>
          <w:rFonts w:ascii="Arial" w:hAnsi="Arial" w:cs="Arial"/>
          <w:b/>
          <w:bCs/>
          <w:color w:val="000080"/>
          <w:sz w:val="24"/>
          <w:szCs w:val="24"/>
        </w:rPr>
      </w:pPr>
      <w:r w:rsidRPr="00244CD4">
        <w:rPr>
          <w:rFonts w:ascii="Times New Roman" w:hAnsi="Times New Roman"/>
          <w:noProof/>
          <w:sz w:val="24"/>
          <w:szCs w:val="24"/>
        </w:rPr>
        <w:drawing>
          <wp:inline distT="0" distB="0" distL="0" distR="0">
            <wp:extent cx="5495925" cy="3171825"/>
            <wp:effectExtent l="19050" t="0" r="0" b="0"/>
            <wp:docPr id="3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cstate="print"/>
                    <a:srcRect/>
                    <a:stretch>
                      <a:fillRect/>
                    </a:stretch>
                  </pic:blipFill>
                  <pic:spPr bwMode="auto">
                    <a:xfrm>
                      <a:off x="0" y="0"/>
                      <a:ext cx="5495925" cy="3171825"/>
                    </a:xfrm>
                    <a:prstGeom prst="rect">
                      <a:avLst/>
                    </a:prstGeom>
                    <a:noFill/>
                    <a:ln w="9525">
                      <a:noFill/>
                      <a:miter lim="800000"/>
                      <a:headEnd/>
                      <a:tailEnd/>
                    </a:ln>
                  </pic:spPr>
                </pic:pic>
              </a:graphicData>
            </a:graphic>
          </wp:inline>
        </w:drawing>
      </w:r>
    </w:p>
    <w:p w:rsidR="00752263" w:rsidRPr="00ED7E20" w:rsidRDefault="00C650CE" w:rsidP="00752263">
      <w:pPr>
        <w:spacing w:after="0" w:line="240" w:lineRule="auto"/>
        <w:jc w:val="center"/>
        <w:rPr>
          <w:rFonts w:ascii="Arial" w:hAnsi="Arial" w:cs="Arial"/>
          <w:b/>
          <w:bCs/>
          <w:color w:val="000080"/>
          <w:sz w:val="24"/>
          <w:szCs w:val="24"/>
        </w:rPr>
      </w:pPr>
      <w:r w:rsidRPr="00C650CE">
        <w:rPr>
          <w:rFonts w:ascii="Times New Roman" w:hAnsi="Times New Roman"/>
          <w:noProof/>
          <w:sz w:val="24"/>
          <w:szCs w:val="24"/>
        </w:rPr>
        <w:pict>
          <v:shape id="_x0000_s1027" type="#_x0000_t202" style="position:absolute;left:0;text-align:left;margin-left:0;margin-top:7.6pt;width:431.9pt;height:11.5pt;z-index:251655168" stroked="f">
            <v:textbox style="mso-next-textbox:#_x0000_s1027;mso-fit-shape-to-text:t" inset="0,0,0,0">
              <w:txbxContent>
                <w:p w:rsidR="009C366D" w:rsidRPr="00FD74D6" w:rsidRDefault="009C366D" w:rsidP="001832A5">
                  <w:pPr>
                    <w:pStyle w:val="Caption"/>
                    <w:jc w:val="center"/>
                    <w:rPr>
                      <w:noProof/>
                      <w:sz w:val="24"/>
                      <w:szCs w:val="24"/>
                    </w:rPr>
                  </w:pPr>
                  <w:r>
                    <w:t>Figure 3.1-2 Visual Representation of the Decision to Control Process</w:t>
                  </w:r>
                </w:p>
              </w:txbxContent>
            </v:textbox>
          </v:shape>
        </w:pict>
      </w:r>
    </w:p>
    <w:p w:rsidR="00752263" w:rsidRPr="00ED7E20" w:rsidRDefault="00752263" w:rsidP="00752263">
      <w:pPr>
        <w:spacing w:after="0" w:line="240" w:lineRule="auto"/>
        <w:jc w:val="center"/>
        <w:rPr>
          <w:rFonts w:ascii="Arial" w:hAnsi="Arial" w:cs="Arial"/>
          <w:b/>
          <w:bCs/>
          <w:color w:val="000080"/>
          <w:sz w:val="24"/>
          <w:szCs w:val="24"/>
        </w:rPr>
      </w:pPr>
    </w:p>
    <w:p w:rsidR="00752263" w:rsidRPr="00ED7E20" w:rsidRDefault="00752263" w:rsidP="00752263">
      <w:pPr>
        <w:numPr>
          <w:ilvl w:val="0"/>
          <w:numId w:val="20"/>
        </w:numPr>
        <w:tabs>
          <w:tab w:val="num" w:pos="360"/>
          <w:tab w:val="left" w:pos="540"/>
        </w:tabs>
        <w:spacing w:after="0" w:line="240" w:lineRule="auto"/>
        <w:ind w:left="360"/>
        <w:rPr>
          <w:rFonts w:ascii="Times New Roman" w:hAnsi="Times New Roman"/>
          <w:sz w:val="24"/>
          <w:szCs w:val="24"/>
          <w:u w:val="single"/>
        </w:rPr>
      </w:pPr>
      <w:r w:rsidRPr="00ED7E20">
        <w:rPr>
          <w:rFonts w:ascii="Times New Roman" w:hAnsi="Times New Roman"/>
          <w:b/>
          <w:bCs/>
          <w:sz w:val="24"/>
          <w:szCs w:val="24"/>
        </w:rPr>
        <w:t>Determining and evaluating the financial impacts of the strategy.</w:t>
      </w:r>
      <w:r w:rsidRPr="00ED7E20">
        <w:rPr>
          <w:rFonts w:ascii="Times New Roman" w:hAnsi="Times New Roman"/>
          <w:sz w:val="24"/>
          <w:szCs w:val="24"/>
        </w:rPr>
        <w:t xml:space="preserve">  The final step is to make sure that the right economic decision is being made on a plant, GPC, and Southern Company basis for Georgia Power Company and its customers.  Some units and plants may not be able to achieve the required emission reductions in a cost-effective manner and would need to acquire additional allowances</w:t>
      </w:r>
      <w:r>
        <w:rPr>
          <w:rFonts w:ascii="Times New Roman" w:hAnsi="Times New Roman"/>
          <w:sz w:val="24"/>
          <w:szCs w:val="24"/>
        </w:rPr>
        <w:t>, switch fuels, or retire to comply</w:t>
      </w:r>
      <w:r w:rsidRPr="00ED7E20">
        <w:rPr>
          <w:rFonts w:ascii="Times New Roman" w:hAnsi="Times New Roman"/>
          <w:sz w:val="24"/>
          <w:szCs w:val="24"/>
        </w:rPr>
        <w:t>.  If emission controls are mandated for a specific unit, then the economic value of the generating asset including future operating costs must be considered before application of the technology.</w:t>
      </w:r>
    </w:p>
    <w:p w:rsidR="00752263" w:rsidRPr="00ED7E20" w:rsidRDefault="00752263" w:rsidP="00752263">
      <w:pPr>
        <w:tabs>
          <w:tab w:val="left" w:pos="540"/>
        </w:tabs>
        <w:spacing w:after="0" w:line="240" w:lineRule="auto"/>
        <w:rPr>
          <w:rFonts w:ascii="Times New Roman" w:hAnsi="Times New Roman"/>
          <w:sz w:val="24"/>
          <w:szCs w:val="24"/>
          <w:u w:val="single"/>
        </w:rPr>
      </w:pPr>
    </w:p>
    <w:p w:rsidR="00752263" w:rsidRPr="00ED7E20" w:rsidRDefault="00752263" w:rsidP="00752263">
      <w:pPr>
        <w:spacing w:after="0" w:line="240" w:lineRule="auto"/>
        <w:rPr>
          <w:rFonts w:ascii="Times New Roman" w:hAnsi="Times New Roman"/>
          <w:sz w:val="24"/>
          <w:szCs w:val="24"/>
        </w:rPr>
      </w:pPr>
      <w:r w:rsidRPr="00ED7E20">
        <w:rPr>
          <w:rFonts w:ascii="Times New Roman" w:hAnsi="Times New Roman"/>
          <w:sz w:val="24"/>
          <w:szCs w:val="24"/>
        </w:rPr>
        <w:t xml:space="preserve">After the process is completed and analyzed across the various planning scenarios, a strategy is compiled on a unit level and reviewed annually based on the most current information.  One major goal of the environmental strategy process is to maintain flexibility </w:t>
      </w:r>
      <w:r w:rsidR="00B06467">
        <w:rPr>
          <w:rFonts w:ascii="Times New Roman" w:hAnsi="Times New Roman"/>
          <w:sz w:val="24"/>
          <w:szCs w:val="24"/>
        </w:rPr>
        <w:t>across the generating fl</w:t>
      </w:r>
      <w:r w:rsidR="00550560">
        <w:rPr>
          <w:rFonts w:ascii="Times New Roman" w:hAnsi="Times New Roman"/>
          <w:sz w:val="24"/>
          <w:szCs w:val="24"/>
        </w:rPr>
        <w:t>e</w:t>
      </w:r>
      <w:r w:rsidR="00B06467">
        <w:rPr>
          <w:rFonts w:ascii="Times New Roman" w:hAnsi="Times New Roman"/>
          <w:sz w:val="24"/>
          <w:szCs w:val="24"/>
        </w:rPr>
        <w:t>et</w:t>
      </w:r>
      <w:r w:rsidRPr="00ED7E20">
        <w:rPr>
          <w:rFonts w:ascii="Times New Roman" w:hAnsi="Times New Roman"/>
          <w:sz w:val="24"/>
          <w:szCs w:val="24"/>
        </w:rPr>
        <w:t>.  If allowed by the regulations, controls are applied to the most cost-effective units</w:t>
      </w:r>
      <w:r w:rsidR="00B56F68">
        <w:rPr>
          <w:rFonts w:ascii="Times New Roman" w:hAnsi="Times New Roman"/>
          <w:sz w:val="24"/>
          <w:szCs w:val="24"/>
        </w:rPr>
        <w:t>, generally the larger units,</w:t>
      </w:r>
      <w:r w:rsidRPr="00ED7E20">
        <w:rPr>
          <w:rFonts w:ascii="Times New Roman" w:hAnsi="Times New Roman"/>
          <w:sz w:val="24"/>
          <w:szCs w:val="24"/>
        </w:rPr>
        <w:t xml:space="preserve"> first.  </w:t>
      </w:r>
    </w:p>
    <w:p w:rsidR="00752263" w:rsidRPr="00ED7E20" w:rsidRDefault="00752263" w:rsidP="00752263">
      <w:pPr>
        <w:spacing w:after="0" w:line="240" w:lineRule="auto"/>
        <w:ind w:hanging="540"/>
        <w:rPr>
          <w:rFonts w:ascii="Times New Roman" w:hAnsi="Times New Roman"/>
          <w:sz w:val="24"/>
          <w:szCs w:val="24"/>
        </w:rPr>
      </w:pPr>
    </w:p>
    <w:p w:rsidR="00752263" w:rsidRPr="00ED7E20" w:rsidRDefault="00752263" w:rsidP="00752263">
      <w:pPr>
        <w:spacing w:after="0" w:line="240" w:lineRule="auto"/>
        <w:rPr>
          <w:rFonts w:ascii="Times New Roman" w:hAnsi="Times New Roman"/>
          <w:sz w:val="24"/>
          <w:szCs w:val="24"/>
        </w:rPr>
      </w:pPr>
      <w:r w:rsidRPr="00ED7E20">
        <w:rPr>
          <w:rFonts w:ascii="Times New Roman" w:hAnsi="Times New Roman"/>
          <w:sz w:val="24"/>
          <w:szCs w:val="24"/>
        </w:rPr>
        <w:t>A key advantage of this process is that it allows decision making on an incremental basis.  While the strategy includes emission control plans for the next 10 years, final decisions on specific pollution control projects are not made until commitments are required so that construction can commence.  That is, while controls may be “planned”  on a particular unit in 2016, no firm commitment to that plan will be made until necessary to assure that the emission control equipment is in place and operational when needed.  This flexibil</w:t>
      </w:r>
      <w:r>
        <w:rPr>
          <w:rFonts w:ascii="Times New Roman" w:hAnsi="Times New Roman"/>
          <w:sz w:val="24"/>
          <w:szCs w:val="24"/>
        </w:rPr>
        <w:t xml:space="preserve">ity allows the company to adapt </w:t>
      </w:r>
      <w:r w:rsidRPr="00ED7E20">
        <w:rPr>
          <w:rFonts w:ascii="Times New Roman" w:hAnsi="Times New Roman"/>
          <w:sz w:val="24"/>
          <w:szCs w:val="24"/>
        </w:rPr>
        <w:t xml:space="preserve">to changing requirements </w:t>
      </w:r>
      <w:r w:rsidR="00B06467">
        <w:rPr>
          <w:rFonts w:ascii="Times New Roman" w:hAnsi="Times New Roman"/>
          <w:sz w:val="24"/>
          <w:szCs w:val="24"/>
        </w:rPr>
        <w:t xml:space="preserve">(such as the delay or change in scope of a final rule) </w:t>
      </w:r>
      <w:r w:rsidRPr="00ED7E20">
        <w:rPr>
          <w:rFonts w:ascii="Times New Roman" w:hAnsi="Times New Roman"/>
          <w:sz w:val="24"/>
          <w:szCs w:val="24"/>
        </w:rPr>
        <w:t xml:space="preserve">and </w:t>
      </w:r>
      <w:r w:rsidR="00B06467">
        <w:rPr>
          <w:rFonts w:ascii="Times New Roman" w:hAnsi="Times New Roman"/>
          <w:sz w:val="24"/>
          <w:szCs w:val="24"/>
        </w:rPr>
        <w:t xml:space="preserve">thus </w:t>
      </w:r>
      <w:r w:rsidRPr="00ED7E20">
        <w:rPr>
          <w:rFonts w:ascii="Times New Roman" w:hAnsi="Times New Roman"/>
          <w:sz w:val="24"/>
          <w:szCs w:val="24"/>
        </w:rPr>
        <w:t>reduce costs to the customer.</w:t>
      </w:r>
    </w:p>
    <w:p w:rsidR="00752263" w:rsidRDefault="00752263" w:rsidP="00752263">
      <w:pPr>
        <w:spacing w:after="0" w:line="240" w:lineRule="auto"/>
      </w:pPr>
    </w:p>
    <w:p w:rsidR="00752263" w:rsidRPr="00ED7E20" w:rsidRDefault="00752263" w:rsidP="00752263">
      <w:pPr>
        <w:spacing w:after="0" w:line="240" w:lineRule="auto"/>
        <w:rPr>
          <w:rFonts w:ascii="Times New Roman" w:hAnsi="Times New Roman"/>
          <w:sz w:val="24"/>
          <w:szCs w:val="24"/>
        </w:rPr>
      </w:pPr>
      <w:r w:rsidRPr="00ED7E20">
        <w:rPr>
          <w:rFonts w:ascii="Times New Roman" w:hAnsi="Times New Roman"/>
          <w:sz w:val="24"/>
          <w:szCs w:val="24"/>
        </w:rPr>
        <w:t>Future regulatory and legislative requirements that could significantly impact both the scope and the cost of compliance over the next decade are being incorporated into the strategy.  Southern Company will continue its involvement in emerging regulations, and these requirements will be incorporated into future strategy updates, as appropriate.</w:t>
      </w:r>
    </w:p>
    <w:p w:rsidR="00752263" w:rsidRPr="00ED7E20" w:rsidRDefault="00752263" w:rsidP="00752263">
      <w:pPr>
        <w:spacing w:after="0" w:line="240" w:lineRule="auto"/>
        <w:rPr>
          <w:rFonts w:ascii="Times New Roman" w:hAnsi="Times New Roman"/>
          <w:b/>
          <w:color w:val="000080"/>
          <w:sz w:val="24"/>
          <w:szCs w:val="24"/>
        </w:rPr>
      </w:pPr>
    </w:p>
    <w:p w:rsidR="00752263" w:rsidRPr="00ED7E20" w:rsidRDefault="00752263" w:rsidP="00752263">
      <w:pPr>
        <w:spacing w:after="0" w:line="240" w:lineRule="auto"/>
        <w:rPr>
          <w:rFonts w:ascii="Times New Roman" w:hAnsi="Times New Roman"/>
          <w:b/>
          <w:color w:val="000080"/>
          <w:sz w:val="24"/>
          <w:szCs w:val="24"/>
        </w:rPr>
      </w:pPr>
      <w:r>
        <w:rPr>
          <w:rFonts w:ascii="Times New Roman" w:hAnsi="Times New Roman"/>
          <w:sz w:val="24"/>
          <w:szCs w:val="24"/>
        </w:rPr>
        <w:t>The</w:t>
      </w:r>
      <w:r w:rsidRPr="00ED7E20">
        <w:rPr>
          <w:rFonts w:ascii="Times New Roman" w:hAnsi="Times New Roman"/>
          <w:sz w:val="24"/>
          <w:szCs w:val="24"/>
        </w:rPr>
        <w:t xml:space="preserve"> uncertainty</w:t>
      </w:r>
      <w:r>
        <w:rPr>
          <w:rFonts w:ascii="Times New Roman" w:hAnsi="Times New Roman"/>
          <w:sz w:val="24"/>
          <w:szCs w:val="24"/>
        </w:rPr>
        <w:t xml:space="preserve"> surrounding the legislative and regulatory environment</w:t>
      </w:r>
      <w:r w:rsidRPr="00ED7E20">
        <w:rPr>
          <w:rFonts w:ascii="Times New Roman" w:hAnsi="Times New Roman"/>
          <w:sz w:val="24"/>
          <w:szCs w:val="24"/>
        </w:rPr>
        <w:t xml:space="preserve"> reinforces the need for a flexible, robust compliance plan.  Accordingly, as decision dates for fuel</w:t>
      </w:r>
      <w:r>
        <w:rPr>
          <w:rFonts w:ascii="Times New Roman" w:hAnsi="Times New Roman"/>
          <w:sz w:val="24"/>
          <w:szCs w:val="24"/>
        </w:rPr>
        <w:t xml:space="preserve">, </w:t>
      </w:r>
      <w:r w:rsidRPr="00ED7E20">
        <w:rPr>
          <w:rFonts w:ascii="Times New Roman" w:hAnsi="Times New Roman"/>
          <w:sz w:val="24"/>
          <w:szCs w:val="24"/>
        </w:rPr>
        <w:t>equipment purchases</w:t>
      </w:r>
      <w:r>
        <w:rPr>
          <w:rFonts w:ascii="Times New Roman" w:hAnsi="Times New Roman"/>
          <w:sz w:val="24"/>
          <w:szCs w:val="24"/>
        </w:rPr>
        <w:t>,</w:t>
      </w:r>
      <w:r w:rsidRPr="00ED7E20">
        <w:rPr>
          <w:rFonts w:ascii="Times New Roman" w:hAnsi="Times New Roman"/>
          <w:sz w:val="24"/>
          <w:szCs w:val="24"/>
        </w:rPr>
        <w:t xml:space="preserve"> or as better information relative to regulatory and economic drivers becomes available, the analysis will be updated to determine the most cost-effective compliance decisions while maintaining future flexibility in the strategy.  Additional expenses associated with these regulations are anticipated to be incurred each year to maintain current and future compliance.  Because the Company’s compliance strategy is impacted by factors such as new regulations, </w:t>
      </w:r>
      <w:r>
        <w:rPr>
          <w:rFonts w:ascii="Times New Roman" w:hAnsi="Times New Roman"/>
          <w:sz w:val="24"/>
          <w:szCs w:val="24"/>
        </w:rPr>
        <w:t xml:space="preserve">new legislation, </w:t>
      </w:r>
      <w:r w:rsidRPr="00ED7E20">
        <w:rPr>
          <w:rFonts w:ascii="Times New Roman" w:hAnsi="Times New Roman"/>
          <w:sz w:val="24"/>
          <w:szCs w:val="24"/>
        </w:rPr>
        <w:t xml:space="preserve">changes to existing environmental laws and regulations, the cost of emissions allowances, </w:t>
      </w:r>
      <w:r>
        <w:rPr>
          <w:rFonts w:ascii="Times New Roman" w:hAnsi="Times New Roman"/>
          <w:sz w:val="24"/>
          <w:szCs w:val="24"/>
        </w:rPr>
        <w:t xml:space="preserve">technology advances, </w:t>
      </w:r>
      <w:r w:rsidRPr="00ED7E20">
        <w:rPr>
          <w:rFonts w:ascii="Times New Roman" w:hAnsi="Times New Roman"/>
          <w:sz w:val="24"/>
          <w:szCs w:val="24"/>
        </w:rPr>
        <w:t>and changes in fuel use, future environmental compliance costs will continue to be incurred.</w:t>
      </w:r>
    </w:p>
    <w:p w:rsidR="00752263" w:rsidRPr="00ED7E20" w:rsidRDefault="00752263" w:rsidP="00752263">
      <w:pPr>
        <w:spacing w:after="0" w:line="240" w:lineRule="auto"/>
        <w:rPr>
          <w:rFonts w:ascii="Times New Roman" w:hAnsi="Times New Roman"/>
          <w:b/>
          <w:color w:val="000080"/>
          <w:sz w:val="24"/>
          <w:szCs w:val="24"/>
        </w:rPr>
      </w:pPr>
    </w:p>
    <w:p w:rsidR="00752263" w:rsidRPr="00ED7E20" w:rsidRDefault="00752263" w:rsidP="00752263">
      <w:pPr>
        <w:autoSpaceDE w:val="0"/>
        <w:autoSpaceDN w:val="0"/>
        <w:adjustRightInd w:val="0"/>
        <w:spacing w:after="0" w:line="240" w:lineRule="auto"/>
        <w:jc w:val="both"/>
        <w:outlineLvl w:val="1"/>
        <w:rPr>
          <w:rFonts w:ascii="Times New Roman" w:hAnsi="Times New Roman"/>
          <w:b/>
          <w:bCs/>
          <w:color w:val="000080"/>
          <w:sz w:val="24"/>
          <w:szCs w:val="24"/>
        </w:rPr>
      </w:pPr>
      <w:bookmarkStart w:id="24" w:name="_Toc347314851"/>
      <w:r>
        <w:rPr>
          <w:rFonts w:ascii="Times New Roman" w:hAnsi="Times New Roman"/>
          <w:b/>
          <w:bCs/>
          <w:color w:val="000080"/>
          <w:sz w:val="24"/>
          <w:szCs w:val="24"/>
        </w:rPr>
        <w:t>3.2</w:t>
      </w:r>
      <w:r>
        <w:rPr>
          <w:rFonts w:ascii="Times New Roman" w:hAnsi="Times New Roman"/>
          <w:b/>
          <w:bCs/>
          <w:color w:val="000080"/>
          <w:sz w:val="24"/>
          <w:szCs w:val="24"/>
        </w:rPr>
        <w:tab/>
      </w:r>
      <w:r w:rsidRPr="00ED7E20">
        <w:rPr>
          <w:rFonts w:ascii="Times New Roman" w:hAnsi="Times New Roman"/>
          <w:b/>
          <w:bCs/>
          <w:color w:val="000080"/>
          <w:sz w:val="24"/>
          <w:szCs w:val="24"/>
        </w:rPr>
        <w:t>Strategy Assumptions</w:t>
      </w:r>
      <w:bookmarkEnd w:id="24"/>
      <w:r w:rsidRPr="00ED7E20">
        <w:rPr>
          <w:rFonts w:ascii="Times New Roman" w:hAnsi="Times New Roman"/>
          <w:b/>
          <w:bCs/>
          <w:color w:val="000080"/>
          <w:sz w:val="24"/>
          <w:szCs w:val="24"/>
        </w:rPr>
        <w:t xml:space="preserve"> </w:t>
      </w:r>
    </w:p>
    <w:p w:rsidR="00752263" w:rsidRPr="00ED7E20" w:rsidRDefault="00752263" w:rsidP="00752263">
      <w:pPr>
        <w:spacing w:after="0" w:line="240" w:lineRule="auto"/>
        <w:rPr>
          <w:rFonts w:ascii="Times New Roman" w:hAnsi="Times New Roman"/>
          <w:sz w:val="24"/>
          <w:szCs w:val="24"/>
        </w:rPr>
      </w:pPr>
    </w:p>
    <w:p w:rsidR="00752263" w:rsidRPr="00ED7E20" w:rsidRDefault="00752263" w:rsidP="00752263">
      <w:pPr>
        <w:spacing w:after="0" w:line="240" w:lineRule="auto"/>
        <w:rPr>
          <w:rFonts w:ascii="Times New Roman" w:hAnsi="Times New Roman"/>
          <w:b/>
          <w:i/>
          <w:color w:val="FF0000"/>
          <w:sz w:val="24"/>
          <w:szCs w:val="24"/>
        </w:rPr>
      </w:pPr>
      <w:r w:rsidRPr="00ED7E20">
        <w:rPr>
          <w:rFonts w:ascii="Times New Roman" w:hAnsi="Times New Roman"/>
          <w:sz w:val="24"/>
          <w:szCs w:val="24"/>
        </w:rPr>
        <w:t xml:space="preserve">Based on this extensive strategy process and the regulatory and legislative requirements discussed in Section 2.0, the </w:t>
      </w:r>
      <w:r w:rsidR="00550560">
        <w:rPr>
          <w:rFonts w:ascii="Times New Roman" w:hAnsi="Times New Roman"/>
          <w:sz w:val="24"/>
          <w:szCs w:val="24"/>
        </w:rPr>
        <w:t xml:space="preserve">Georgia Power </w:t>
      </w:r>
      <w:r w:rsidRPr="00ED7E20">
        <w:rPr>
          <w:rFonts w:ascii="Times New Roman" w:hAnsi="Times New Roman"/>
          <w:sz w:val="24"/>
          <w:szCs w:val="24"/>
        </w:rPr>
        <w:t xml:space="preserve">environmental strategy is reviewed and updated each year.  </w:t>
      </w:r>
    </w:p>
    <w:p w:rsidR="00752263" w:rsidRPr="00ED7E20" w:rsidRDefault="00752263" w:rsidP="00752263">
      <w:pPr>
        <w:spacing w:after="0" w:line="240" w:lineRule="auto"/>
        <w:rPr>
          <w:rFonts w:ascii="Times New Roman" w:hAnsi="Times New Roman"/>
          <w:sz w:val="24"/>
          <w:szCs w:val="24"/>
        </w:rPr>
      </w:pPr>
    </w:p>
    <w:p w:rsidR="00752263" w:rsidRPr="00ED7E20" w:rsidRDefault="00752263" w:rsidP="00752263">
      <w:pPr>
        <w:spacing w:after="0" w:line="240" w:lineRule="auto"/>
        <w:rPr>
          <w:rFonts w:ascii="Times New Roman" w:hAnsi="Times New Roman"/>
          <w:sz w:val="24"/>
          <w:szCs w:val="24"/>
        </w:rPr>
      </w:pPr>
      <w:r w:rsidRPr="00ED7E20">
        <w:rPr>
          <w:rFonts w:ascii="Times New Roman" w:hAnsi="Times New Roman"/>
          <w:sz w:val="24"/>
          <w:szCs w:val="24"/>
        </w:rPr>
        <w:t xml:space="preserve">The current </w:t>
      </w:r>
      <w:r w:rsidR="002801CA">
        <w:rPr>
          <w:rFonts w:ascii="Times New Roman" w:hAnsi="Times New Roman"/>
          <w:sz w:val="24"/>
          <w:szCs w:val="24"/>
        </w:rPr>
        <w:t xml:space="preserve">and expected </w:t>
      </w:r>
      <w:r w:rsidRPr="00ED7E20">
        <w:rPr>
          <w:rFonts w:ascii="Times New Roman" w:hAnsi="Times New Roman"/>
          <w:sz w:val="24"/>
          <w:szCs w:val="24"/>
        </w:rPr>
        <w:t>requirements underlying the current system strategy include:</w:t>
      </w:r>
    </w:p>
    <w:p w:rsidR="00752263" w:rsidRPr="00ED7E20" w:rsidRDefault="00752263" w:rsidP="00752263">
      <w:pPr>
        <w:spacing w:after="0" w:line="240" w:lineRule="auto"/>
        <w:rPr>
          <w:rFonts w:ascii="Times New Roman" w:hAnsi="Times New Roman"/>
          <w:sz w:val="24"/>
          <w:szCs w:val="24"/>
        </w:rPr>
      </w:pPr>
    </w:p>
    <w:p w:rsidR="002F423A" w:rsidRPr="00913813" w:rsidRDefault="002F423A" w:rsidP="00752263">
      <w:pPr>
        <w:numPr>
          <w:ilvl w:val="0"/>
          <w:numId w:val="18"/>
        </w:numPr>
        <w:spacing w:after="0" w:line="240" w:lineRule="auto"/>
        <w:rPr>
          <w:rFonts w:ascii="Times New Roman" w:hAnsi="Times New Roman"/>
          <w:b/>
          <w:sz w:val="24"/>
          <w:szCs w:val="24"/>
        </w:rPr>
      </w:pPr>
      <w:r w:rsidRPr="00913813">
        <w:rPr>
          <w:rFonts w:ascii="Times New Roman" w:hAnsi="Times New Roman"/>
          <w:b/>
          <w:sz w:val="24"/>
          <w:szCs w:val="24"/>
        </w:rPr>
        <w:t>REDACTED REDACTED REDACTED REDACTED REDACTED REDACTED REDACTED REDACTED REDACTED REDACTED REDACTED REDACTED REDACTED REDACTED REDACTED REDACTED REDACTED REDACTED</w:t>
      </w:r>
    </w:p>
    <w:p w:rsidR="002F423A" w:rsidRPr="00913813" w:rsidRDefault="002F423A" w:rsidP="00752263">
      <w:pPr>
        <w:numPr>
          <w:ilvl w:val="0"/>
          <w:numId w:val="18"/>
        </w:numPr>
        <w:spacing w:after="0" w:line="240" w:lineRule="auto"/>
        <w:rPr>
          <w:rFonts w:ascii="Times New Roman" w:hAnsi="Times New Roman"/>
          <w:b/>
          <w:sz w:val="24"/>
          <w:szCs w:val="24"/>
        </w:rPr>
      </w:pPr>
      <w:r w:rsidRPr="00913813">
        <w:rPr>
          <w:rFonts w:ascii="Times New Roman" w:hAnsi="Times New Roman"/>
          <w:b/>
          <w:sz w:val="24"/>
          <w:szCs w:val="24"/>
        </w:rPr>
        <w:t xml:space="preserve">REDACTED REDACTED REDACTED REDACTED REDACTED REDACTED REDACTED REDACTED REDACTED REDACTED REDACTED REDACTED REDACTED REDACTED  </w:t>
      </w:r>
    </w:p>
    <w:p w:rsidR="002F423A" w:rsidRPr="00913813" w:rsidRDefault="002F423A" w:rsidP="00752263">
      <w:pPr>
        <w:numPr>
          <w:ilvl w:val="0"/>
          <w:numId w:val="18"/>
        </w:numPr>
        <w:spacing w:after="0" w:line="240" w:lineRule="auto"/>
        <w:rPr>
          <w:rFonts w:ascii="Times New Roman" w:hAnsi="Times New Roman"/>
          <w:b/>
          <w:sz w:val="24"/>
          <w:szCs w:val="24"/>
        </w:rPr>
      </w:pPr>
      <w:r w:rsidRPr="00913813">
        <w:rPr>
          <w:rFonts w:ascii="Times New Roman" w:hAnsi="Times New Roman"/>
          <w:b/>
          <w:sz w:val="24"/>
          <w:szCs w:val="24"/>
        </w:rPr>
        <w:t>REDACTED REDACTED REDACTED REDACTED REDACTED REDACTED REDACTED REDACTED REDACTED REDACTED</w:t>
      </w:r>
    </w:p>
    <w:p w:rsidR="002F423A" w:rsidRPr="00913813" w:rsidRDefault="002F423A" w:rsidP="00752263">
      <w:pPr>
        <w:numPr>
          <w:ilvl w:val="0"/>
          <w:numId w:val="18"/>
        </w:numPr>
        <w:spacing w:after="0" w:line="240" w:lineRule="auto"/>
        <w:rPr>
          <w:rFonts w:ascii="Times New Roman" w:hAnsi="Times New Roman"/>
          <w:b/>
          <w:sz w:val="24"/>
          <w:szCs w:val="24"/>
        </w:rPr>
      </w:pPr>
      <w:r w:rsidRPr="00913813">
        <w:rPr>
          <w:rFonts w:ascii="Times New Roman" w:hAnsi="Times New Roman"/>
          <w:b/>
          <w:sz w:val="24"/>
          <w:szCs w:val="24"/>
        </w:rPr>
        <w:t>REDACTED REDACTED REDACTED REDACTED REDACTED REDACTED REDACTED REDACTED REDACTED REDACTED REDACTED REDACTED REDACTED</w:t>
      </w:r>
    </w:p>
    <w:p w:rsidR="002F423A" w:rsidRPr="00913813" w:rsidRDefault="002F423A" w:rsidP="00752263">
      <w:pPr>
        <w:numPr>
          <w:ilvl w:val="0"/>
          <w:numId w:val="18"/>
        </w:numPr>
        <w:spacing w:after="0" w:line="240" w:lineRule="auto"/>
        <w:rPr>
          <w:rFonts w:ascii="Times New Roman" w:hAnsi="Times New Roman"/>
          <w:b/>
          <w:sz w:val="24"/>
          <w:szCs w:val="24"/>
        </w:rPr>
      </w:pPr>
      <w:r w:rsidRPr="00913813">
        <w:rPr>
          <w:rFonts w:ascii="Times New Roman" w:hAnsi="Times New Roman"/>
          <w:b/>
          <w:sz w:val="24"/>
          <w:szCs w:val="24"/>
        </w:rPr>
        <w:t>REDACTED REDACTED REDACTED REDACTED REDACTED REDACTED REDACTED REDACTED REDACTED REDACTED REDACTED</w:t>
      </w:r>
    </w:p>
    <w:p w:rsidR="002F423A" w:rsidRPr="00913813" w:rsidRDefault="002F423A" w:rsidP="00752263">
      <w:pPr>
        <w:numPr>
          <w:ilvl w:val="0"/>
          <w:numId w:val="18"/>
        </w:numPr>
        <w:spacing w:after="0" w:line="240" w:lineRule="auto"/>
        <w:rPr>
          <w:rFonts w:ascii="Times New Roman" w:hAnsi="Times New Roman"/>
          <w:b/>
          <w:sz w:val="24"/>
          <w:szCs w:val="24"/>
        </w:rPr>
      </w:pPr>
      <w:r w:rsidRPr="00913813">
        <w:rPr>
          <w:rFonts w:ascii="Times New Roman" w:hAnsi="Times New Roman"/>
          <w:b/>
          <w:sz w:val="24"/>
          <w:szCs w:val="24"/>
        </w:rPr>
        <w:t>REDACTED REDACTED REDACTED REDACTED REDACTED REDACTED REDACTED REDACTED REDACTED REDACTED REDACTED REDACTED REDACTED REDACTED REDACTED REDACTED REDACTED REDACTED</w:t>
      </w:r>
    </w:p>
    <w:p w:rsidR="002F423A" w:rsidRPr="00913813" w:rsidRDefault="002F423A" w:rsidP="00752263">
      <w:pPr>
        <w:numPr>
          <w:ilvl w:val="0"/>
          <w:numId w:val="18"/>
        </w:numPr>
        <w:spacing w:after="0" w:line="240" w:lineRule="auto"/>
        <w:rPr>
          <w:rFonts w:ascii="Times New Roman" w:hAnsi="Times New Roman"/>
          <w:b/>
          <w:sz w:val="24"/>
          <w:szCs w:val="24"/>
        </w:rPr>
      </w:pPr>
      <w:r w:rsidRPr="00913813">
        <w:rPr>
          <w:rFonts w:ascii="Times New Roman" w:hAnsi="Times New Roman"/>
          <w:b/>
          <w:sz w:val="24"/>
          <w:szCs w:val="24"/>
        </w:rPr>
        <w:t>REDACTED REDACTED REDACTED REDACTED REDACTED REDACTED REDACTED REDACTED</w:t>
      </w:r>
    </w:p>
    <w:p w:rsidR="002F423A" w:rsidRPr="00913813" w:rsidRDefault="002F423A" w:rsidP="00752263">
      <w:pPr>
        <w:numPr>
          <w:ilvl w:val="0"/>
          <w:numId w:val="18"/>
        </w:numPr>
        <w:spacing w:after="0" w:line="240" w:lineRule="auto"/>
        <w:rPr>
          <w:rFonts w:ascii="Times New Roman" w:hAnsi="Times New Roman"/>
          <w:b/>
          <w:sz w:val="24"/>
          <w:szCs w:val="24"/>
        </w:rPr>
      </w:pPr>
      <w:r w:rsidRPr="00913813">
        <w:rPr>
          <w:rFonts w:ascii="Times New Roman" w:hAnsi="Times New Roman"/>
          <w:b/>
          <w:sz w:val="24"/>
          <w:szCs w:val="24"/>
        </w:rPr>
        <w:t>REDACTED REDACTED REDACTED REDACTED REDACTED REDACTED REDACTED REDACTED REDACTED REDACTED REDACTED REDACTED REDACTED</w:t>
      </w:r>
    </w:p>
    <w:p w:rsidR="002F423A" w:rsidRPr="00913813" w:rsidRDefault="002F423A" w:rsidP="00752263">
      <w:pPr>
        <w:numPr>
          <w:ilvl w:val="0"/>
          <w:numId w:val="18"/>
        </w:numPr>
        <w:spacing w:after="0" w:line="240" w:lineRule="auto"/>
        <w:rPr>
          <w:rFonts w:ascii="Times New Roman" w:hAnsi="Times New Roman"/>
          <w:b/>
          <w:sz w:val="24"/>
          <w:szCs w:val="24"/>
        </w:rPr>
      </w:pPr>
      <w:r w:rsidRPr="00913813">
        <w:rPr>
          <w:rFonts w:ascii="Times New Roman" w:hAnsi="Times New Roman"/>
          <w:b/>
          <w:sz w:val="24"/>
          <w:szCs w:val="24"/>
        </w:rPr>
        <w:t>REDACTED REDACTED REDACTED REDACTED REDACTED REDACTED REDACTED REDACTED REDACTED</w:t>
      </w:r>
    </w:p>
    <w:p w:rsidR="002F423A" w:rsidRPr="00913813" w:rsidRDefault="002F423A" w:rsidP="000572B2">
      <w:pPr>
        <w:numPr>
          <w:ilvl w:val="0"/>
          <w:numId w:val="18"/>
        </w:numPr>
        <w:spacing w:after="0" w:line="240" w:lineRule="auto"/>
        <w:rPr>
          <w:rFonts w:ascii="Times New Roman" w:hAnsi="Times New Roman"/>
          <w:b/>
          <w:sz w:val="24"/>
          <w:szCs w:val="24"/>
        </w:rPr>
      </w:pPr>
      <w:r w:rsidRPr="00913813">
        <w:rPr>
          <w:rFonts w:ascii="Times New Roman" w:hAnsi="Times New Roman"/>
          <w:b/>
          <w:sz w:val="24"/>
          <w:szCs w:val="24"/>
        </w:rPr>
        <w:t>REDACTED REDACTED REDACTED</w:t>
      </w:r>
    </w:p>
    <w:p w:rsidR="00752263" w:rsidRPr="00ED7E20" w:rsidRDefault="00752263" w:rsidP="00752263">
      <w:pPr>
        <w:spacing w:after="0" w:line="240" w:lineRule="auto"/>
        <w:ind w:left="720"/>
        <w:rPr>
          <w:rFonts w:ascii="Times New Roman" w:hAnsi="Times New Roman"/>
          <w:sz w:val="24"/>
          <w:szCs w:val="24"/>
        </w:rPr>
      </w:pPr>
    </w:p>
    <w:p w:rsidR="00752263" w:rsidRPr="00ED7E20" w:rsidRDefault="00752263" w:rsidP="00752263">
      <w:pPr>
        <w:spacing w:after="0" w:line="240" w:lineRule="auto"/>
        <w:rPr>
          <w:rFonts w:ascii="Times New Roman" w:hAnsi="Times New Roman"/>
          <w:sz w:val="24"/>
          <w:szCs w:val="24"/>
        </w:rPr>
      </w:pPr>
      <w:r w:rsidRPr="00ED7E20">
        <w:rPr>
          <w:rFonts w:ascii="Times New Roman" w:hAnsi="Times New Roman"/>
          <w:sz w:val="24"/>
          <w:szCs w:val="24"/>
        </w:rPr>
        <w:t xml:space="preserve">As </w:t>
      </w:r>
      <w:r>
        <w:rPr>
          <w:rFonts w:ascii="Times New Roman" w:hAnsi="Times New Roman"/>
          <w:sz w:val="24"/>
          <w:szCs w:val="24"/>
        </w:rPr>
        <w:t>new and future clean air requirements are implemented</w:t>
      </w:r>
      <w:r w:rsidRPr="00ED7E20">
        <w:rPr>
          <w:rFonts w:ascii="Times New Roman" w:hAnsi="Times New Roman"/>
          <w:sz w:val="24"/>
          <w:szCs w:val="24"/>
        </w:rPr>
        <w:t>, more stringent clean water and solid waste requirements are expected to replace and/or supplement the current rules surrounding water intake, thermal discharge, wastewater, and coal combustion byproduct management.  While there is uncertainty surrounding the stringency and timing of these requirements, they must also be considered in the development of the environmental strategy.</w:t>
      </w:r>
    </w:p>
    <w:p w:rsidR="00752263" w:rsidRPr="00ED7E20" w:rsidRDefault="00752263" w:rsidP="00752263">
      <w:pPr>
        <w:spacing w:after="0" w:line="240" w:lineRule="auto"/>
        <w:rPr>
          <w:rFonts w:ascii="Times New Roman" w:hAnsi="Times New Roman"/>
          <w:sz w:val="24"/>
          <w:szCs w:val="24"/>
        </w:rPr>
      </w:pPr>
    </w:p>
    <w:p w:rsidR="00752263" w:rsidRPr="00ED7E20" w:rsidRDefault="00752263" w:rsidP="00752263">
      <w:pPr>
        <w:spacing w:after="0" w:line="240" w:lineRule="auto"/>
        <w:rPr>
          <w:rFonts w:ascii="Times New Roman" w:hAnsi="Times New Roman"/>
          <w:sz w:val="24"/>
          <w:szCs w:val="24"/>
        </w:rPr>
      </w:pPr>
      <w:r w:rsidRPr="00ED7E20">
        <w:rPr>
          <w:rFonts w:ascii="Times New Roman" w:hAnsi="Times New Roman"/>
          <w:sz w:val="24"/>
          <w:szCs w:val="24"/>
        </w:rPr>
        <w:t xml:space="preserve">The strategy combines the assumptions surrounding the regulatory requirements with the </w:t>
      </w:r>
      <w:r>
        <w:rPr>
          <w:rFonts w:ascii="Times New Roman" w:hAnsi="Times New Roman"/>
          <w:sz w:val="24"/>
          <w:szCs w:val="24"/>
        </w:rPr>
        <w:t xml:space="preserve">least-cost </w:t>
      </w:r>
      <w:r w:rsidRPr="00ED7E20">
        <w:rPr>
          <w:rFonts w:ascii="Times New Roman" w:hAnsi="Times New Roman"/>
          <w:sz w:val="24"/>
          <w:szCs w:val="24"/>
        </w:rPr>
        <w:t xml:space="preserve">environmental control technology that is commercially available and results in specific emission control applications across </w:t>
      </w:r>
      <w:r w:rsidR="00550560">
        <w:rPr>
          <w:rFonts w:ascii="Times New Roman" w:hAnsi="Times New Roman"/>
          <w:sz w:val="24"/>
          <w:szCs w:val="24"/>
        </w:rPr>
        <w:t>Georgia Power</w:t>
      </w:r>
      <w:r w:rsidRPr="00ED7E20">
        <w:rPr>
          <w:rFonts w:ascii="Times New Roman" w:hAnsi="Times New Roman"/>
          <w:sz w:val="24"/>
          <w:szCs w:val="24"/>
        </w:rPr>
        <w:t xml:space="preserve">.  </w:t>
      </w:r>
    </w:p>
    <w:p w:rsidR="00752263" w:rsidRPr="00ED7E20" w:rsidRDefault="00752263" w:rsidP="00752263">
      <w:pPr>
        <w:spacing w:after="0" w:line="240" w:lineRule="auto"/>
        <w:rPr>
          <w:rFonts w:ascii="Times New Roman" w:hAnsi="Times New Roman"/>
          <w:sz w:val="24"/>
          <w:szCs w:val="24"/>
        </w:rPr>
      </w:pPr>
    </w:p>
    <w:p w:rsidR="00752263" w:rsidRPr="00ED7E20" w:rsidRDefault="00752263" w:rsidP="00752263">
      <w:pPr>
        <w:autoSpaceDE w:val="0"/>
        <w:autoSpaceDN w:val="0"/>
        <w:adjustRightInd w:val="0"/>
        <w:spacing w:after="0" w:line="240" w:lineRule="auto"/>
        <w:jc w:val="both"/>
        <w:outlineLvl w:val="1"/>
        <w:rPr>
          <w:rFonts w:ascii="Times New Roman" w:hAnsi="Times New Roman"/>
          <w:b/>
          <w:bCs/>
          <w:color w:val="000080"/>
          <w:sz w:val="24"/>
          <w:szCs w:val="24"/>
        </w:rPr>
      </w:pPr>
      <w:bookmarkStart w:id="25" w:name="_Toc347314852"/>
      <w:r>
        <w:rPr>
          <w:rFonts w:ascii="Times New Roman" w:hAnsi="Times New Roman"/>
          <w:b/>
          <w:bCs/>
          <w:color w:val="000080"/>
          <w:sz w:val="24"/>
          <w:szCs w:val="24"/>
        </w:rPr>
        <w:t>3.3</w:t>
      </w:r>
      <w:r>
        <w:rPr>
          <w:rFonts w:ascii="Times New Roman" w:hAnsi="Times New Roman"/>
          <w:b/>
          <w:bCs/>
          <w:color w:val="000080"/>
          <w:sz w:val="24"/>
          <w:szCs w:val="24"/>
        </w:rPr>
        <w:tab/>
      </w:r>
      <w:r w:rsidRPr="00ED7E20">
        <w:rPr>
          <w:rFonts w:ascii="Times New Roman" w:hAnsi="Times New Roman"/>
          <w:b/>
          <w:bCs/>
          <w:color w:val="000080"/>
          <w:sz w:val="24"/>
          <w:szCs w:val="24"/>
        </w:rPr>
        <w:t>Emission Control Technologies</w:t>
      </w:r>
      <w:bookmarkEnd w:id="25"/>
    </w:p>
    <w:p w:rsidR="00752263" w:rsidRPr="00ED7E20" w:rsidRDefault="00752263" w:rsidP="00752263">
      <w:pPr>
        <w:keepNext/>
        <w:spacing w:after="0" w:line="240" w:lineRule="auto"/>
        <w:rPr>
          <w:rFonts w:ascii="Times New Roman" w:hAnsi="Times New Roman"/>
          <w:sz w:val="24"/>
          <w:szCs w:val="24"/>
          <w:u w:val="single"/>
        </w:rPr>
      </w:pPr>
    </w:p>
    <w:p w:rsidR="00752263" w:rsidRPr="00ED7E20" w:rsidRDefault="00752263" w:rsidP="00752263">
      <w:pPr>
        <w:keepNext/>
        <w:spacing w:after="0" w:line="240" w:lineRule="auto"/>
        <w:rPr>
          <w:rFonts w:ascii="Times New Roman" w:hAnsi="Times New Roman"/>
          <w:sz w:val="24"/>
          <w:szCs w:val="24"/>
        </w:rPr>
      </w:pPr>
      <w:r w:rsidRPr="00ED7E20">
        <w:rPr>
          <w:rFonts w:ascii="Times New Roman" w:hAnsi="Times New Roman"/>
          <w:sz w:val="24"/>
          <w:szCs w:val="24"/>
        </w:rPr>
        <w:t xml:space="preserve">Research and development are an integral part of the overall Southern Company environmental strategy and compliance plan.  Through research, technologies are considered, evaluated, developed, and selected for possible implementation to meet compliance with federal and state regulatory requirements.  Technology-related decisions are made based on compliance alternatives, technical review (often following actual testing), schedules, </w:t>
      </w:r>
      <w:proofErr w:type="gramStart"/>
      <w:r w:rsidRPr="00ED7E20">
        <w:rPr>
          <w:rFonts w:ascii="Times New Roman" w:hAnsi="Times New Roman"/>
          <w:sz w:val="24"/>
          <w:szCs w:val="24"/>
        </w:rPr>
        <w:t>equipment</w:t>
      </w:r>
      <w:proofErr w:type="gramEnd"/>
      <w:r w:rsidRPr="00ED7E20">
        <w:rPr>
          <w:rFonts w:ascii="Times New Roman" w:hAnsi="Times New Roman"/>
          <w:sz w:val="24"/>
          <w:szCs w:val="24"/>
        </w:rPr>
        <w:t xml:space="preserve">-vendor price quotes, total costs over the useful life, specific unit issues, and performance guarantees.  Operational, maintenance, and economic feasibility are an important part of the decision-making process.  </w:t>
      </w:r>
    </w:p>
    <w:p w:rsidR="00752263" w:rsidRPr="00ED7E20" w:rsidRDefault="00752263" w:rsidP="00752263">
      <w:pPr>
        <w:spacing w:after="0" w:line="240" w:lineRule="auto"/>
        <w:rPr>
          <w:rFonts w:ascii="Times New Roman" w:hAnsi="Times New Roman"/>
          <w:sz w:val="24"/>
          <w:szCs w:val="24"/>
        </w:rPr>
      </w:pPr>
    </w:p>
    <w:p w:rsidR="00752263" w:rsidRPr="00ED7E20" w:rsidRDefault="00752263" w:rsidP="00752263">
      <w:pPr>
        <w:spacing w:after="0" w:line="240" w:lineRule="auto"/>
        <w:rPr>
          <w:rFonts w:ascii="Times New Roman" w:hAnsi="Times New Roman"/>
          <w:sz w:val="24"/>
          <w:szCs w:val="24"/>
        </w:rPr>
      </w:pPr>
      <w:r w:rsidRPr="00ED7E20">
        <w:rPr>
          <w:rFonts w:ascii="Times New Roman" w:hAnsi="Times New Roman"/>
          <w:sz w:val="24"/>
          <w:szCs w:val="24"/>
        </w:rPr>
        <w:t xml:space="preserve">Since the Clean Air Act Amendments of 1990 were implemented, research and development have been crucial for Southern Company in assuring that the best possible strategies are selected for implementation.  </w:t>
      </w:r>
      <w:r w:rsidR="0097787F">
        <w:rPr>
          <w:rFonts w:ascii="Times New Roman" w:hAnsi="Times New Roman"/>
          <w:sz w:val="24"/>
          <w:szCs w:val="24"/>
        </w:rPr>
        <w:t>ECS-</w:t>
      </w:r>
      <w:r w:rsidRPr="00ED7E20">
        <w:rPr>
          <w:rFonts w:ascii="Times New Roman" w:hAnsi="Times New Roman"/>
          <w:sz w:val="24"/>
          <w:szCs w:val="24"/>
        </w:rPr>
        <w:t>Appendix B provides a list of technologies considered in an ongoing effort to lower emissions, meet mandated requirements in a timely manner, maintain system reliability, and assure low-cost energy for customers.</w:t>
      </w:r>
    </w:p>
    <w:p w:rsidR="00752263" w:rsidRPr="00ED7E20" w:rsidRDefault="00752263" w:rsidP="00752263">
      <w:pPr>
        <w:spacing w:after="0" w:line="240" w:lineRule="auto"/>
        <w:rPr>
          <w:rFonts w:ascii="Times New Roman" w:hAnsi="Times New Roman"/>
          <w:sz w:val="24"/>
          <w:szCs w:val="24"/>
        </w:rPr>
      </w:pPr>
    </w:p>
    <w:p w:rsidR="00752263" w:rsidRPr="00ED7E20" w:rsidRDefault="00752263" w:rsidP="00752263">
      <w:pPr>
        <w:spacing w:after="0" w:line="240" w:lineRule="auto"/>
        <w:rPr>
          <w:rFonts w:ascii="Times New Roman" w:hAnsi="Times New Roman"/>
          <w:sz w:val="24"/>
          <w:szCs w:val="24"/>
        </w:rPr>
      </w:pPr>
      <w:r w:rsidRPr="00ED7E20">
        <w:rPr>
          <w:rFonts w:ascii="Times New Roman" w:hAnsi="Times New Roman"/>
          <w:sz w:val="24"/>
          <w:szCs w:val="24"/>
        </w:rPr>
        <w:t>Research programs are conducted at GPC plants, at other Southern Company plants across the Southeast, and through industry affiliations at plants across the U.S. and around the world.  To minimize cost and risk, only proven technologies should be implemented commercially.  Past programs to test low-NO</w:t>
      </w:r>
      <w:r w:rsidRPr="00ED7E20">
        <w:rPr>
          <w:rFonts w:ascii="Times New Roman" w:hAnsi="Times New Roman"/>
          <w:sz w:val="24"/>
          <w:szCs w:val="24"/>
          <w:vertAlign w:val="subscript"/>
        </w:rPr>
        <w:t>X</w:t>
      </w:r>
      <w:r w:rsidRPr="00ED7E20">
        <w:rPr>
          <w:rFonts w:ascii="Times New Roman" w:hAnsi="Times New Roman"/>
          <w:sz w:val="24"/>
          <w:szCs w:val="24"/>
        </w:rPr>
        <w:t xml:space="preserve"> burners, precipitators, catalyst materials for Selective Catalytic Reduction (SCR) systems, flue gas desulfurization systems</w:t>
      </w:r>
      <w:r>
        <w:rPr>
          <w:rFonts w:ascii="Times New Roman" w:hAnsi="Times New Roman"/>
          <w:sz w:val="24"/>
          <w:szCs w:val="24"/>
        </w:rPr>
        <w:t>, mercury reduction systems,</w:t>
      </w:r>
      <w:r w:rsidRPr="00ED7E20">
        <w:rPr>
          <w:rFonts w:ascii="Times New Roman" w:hAnsi="Times New Roman"/>
          <w:sz w:val="24"/>
          <w:szCs w:val="24"/>
        </w:rPr>
        <w:t xml:space="preserve"> </w:t>
      </w:r>
      <w:r w:rsidR="00B06467">
        <w:rPr>
          <w:rFonts w:ascii="Times New Roman" w:hAnsi="Times New Roman"/>
          <w:sz w:val="24"/>
          <w:szCs w:val="24"/>
        </w:rPr>
        <w:t xml:space="preserve">carbon capture and sequestration (CCS), </w:t>
      </w:r>
      <w:r w:rsidRPr="00ED7E20">
        <w:rPr>
          <w:rFonts w:ascii="Times New Roman" w:hAnsi="Times New Roman"/>
          <w:sz w:val="24"/>
          <w:szCs w:val="24"/>
        </w:rPr>
        <w:t>and other equipment have contributed to Southern Company’s ability to meet stringent requirements while enabling GPC to remain a low-cost energy provider for Georgia.</w:t>
      </w:r>
    </w:p>
    <w:p w:rsidR="00752263" w:rsidRDefault="00752263" w:rsidP="00752263">
      <w:pPr>
        <w:spacing w:after="0" w:line="240" w:lineRule="auto"/>
        <w:rPr>
          <w:rFonts w:ascii="Times New Roman" w:hAnsi="Times New Roman"/>
          <w:b/>
          <w:bCs/>
          <w:color w:val="000080"/>
          <w:sz w:val="24"/>
          <w:szCs w:val="24"/>
        </w:rPr>
      </w:pPr>
    </w:p>
    <w:p w:rsidR="00752263" w:rsidRPr="00ED7E20" w:rsidRDefault="00752263" w:rsidP="001954D3">
      <w:pPr>
        <w:spacing w:after="0" w:line="240" w:lineRule="auto"/>
        <w:outlineLvl w:val="1"/>
        <w:rPr>
          <w:rFonts w:ascii="Times New Roman" w:hAnsi="Times New Roman"/>
          <w:b/>
          <w:bCs/>
          <w:color w:val="000080"/>
          <w:sz w:val="24"/>
          <w:szCs w:val="24"/>
        </w:rPr>
      </w:pPr>
      <w:bookmarkStart w:id="26" w:name="_Toc347314853"/>
      <w:r>
        <w:rPr>
          <w:rFonts w:ascii="Times New Roman" w:hAnsi="Times New Roman"/>
          <w:b/>
          <w:bCs/>
          <w:color w:val="000080"/>
          <w:sz w:val="24"/>
          <w:szCs w:val="24"/>
        </w:rPr>
        <w:t>3.4</w:t>
      </w:r>
      <w:r>
        <w:rPr>
          <w:rFonts w:ascii="Times New Roman" w:hAnsi="Times New Roman"/>
          <w:b/>
          <w:bCs/>
          <w:color w:val="000080"/>
          <w:sz w:val="24"/>
          <w:szCs w:val="24"/>
        </w:rPr>
        <w:tab/>
      </w:r>
      <w:r w:rsidRPr="00ED7E20">
        <w:rPr>
          <w:rFonts w:ascii="Times New Roman" w:hAnsi="Times New Roman"/>
          <w:b/>
          <w:bCs/>
          <w:color w:val="000080"/>
          <w:sz w:val="24"/>
          <w:szCs w:val="24"/>
        </w:rPr>
        <w:t>Other Environmental Issues</w:t>
      </w:r>
      <w:bookmarkEnd w:id="26"/>
    </w:p>
    <w:p w:rsidR="00752263" w:rsidRPr="00ED7E20" w:rsidRDefault="00752263" w:rsidP="00752263">
      <w:pPr>
        <w:spacing w:after="0" w:line="240" w:lineRule="auto"/>
        <w:rPr>
          <w:rFonts w:ascii="Times New Roman" w:hAnsi="Times New Roman"/>
          <w:sz w:val="24"/>
          <w:szCs w:val="24"/>
        </w:rPr>
      </w:pPr>
    </w:p>
    <w:p w:rsidR="00752263" w:rsidRPr="00ED7E20" w:rsidRDefault="002C527D" w:rsidP="000572B2">
      <w:pPr>
        <w:spacing w:after="0" w:line="240" w:lineRule="auto"/>
        <w:rPr>
          <w:rFonts w:ascii="Times New Roman" w:hAnsi="Times New Roman"/>
          <w:sz w:val="24"/>
          <w:szCs w:val="24"/>
        </w:rPr>
      </w:pPr>
      <w:r>
        <w:rPr>
          <w:rFonts w:ascii="Times New Roman" w:hAnsi="Times New Roman"/>
          <w:sz w:val="24"/>
          <w:szCs w:val="24"/>
        </w:rPr>
        <w:t xml:space="preserve">Georgia Power and </w:t>
      </w:r>
      <w:r w:rsidR="00752263" w:rsidRPr="00ED7E20">
        <w:rPr>
          <w:rFonts w:ascii="Times New Roman" w:hAnsi="Times New Roman"/>
          <w:sz w:val="24"/>
          <w:szCs w:val="24"/>
        </w:rPr>
        <w:t xml:space="preserve">Southern Company </w:t>
      </w:r>
      <w:r w:rsidR="00C82751">
        <w:rPr>
          <w:rFonts w:ascii="Times New Roman" w:hAnsi="Times New Roman"/>
          <w:sz w:val="24"/>
          <w:szCs w:val="24"/>
        </w:rPr>
        <w:t>are</w:t>
      </w:r>
      <w:r w:rsidR="00C82751" w:rsidRPr="00ED7E20">
        <w:rPr>
          <w:rFonts w:ascii="Times New Roman" w:hAnsi="Times New Roman"/>
          <w:sz w:val="24"/>
          <w:szCs w:val="24"/>
        </w:rPr>
        <w:t xml:space="preserve"> </w:t>
      </w:r>
      <w:r w:rsidR="00752263" w:rsidRPr="00ED7E20">
        <w:rPr>
          <w:rFonts w:ascii="Times New Roman" w:hAnsi="Times New Roman"/>
          <w:sz w:val="24"/>
          <w:szCs w:val="24"/>
        </w:rPr>
        <w:t xml:space="preserve">actively involved in the research, evaluation, and development of renewable resources and energy efficiency initiatives.  </w:t>
      </w:r>
      <w:r w:rsidR="00E938C5">
        <w:rPr>
          <w:rFonts w:ascii="Times New Roman" w:hAnsi="Times New Roman"/>
          <w:sz w:val="24"/>
          <w:szCs w:val="24"/>
        </w:rPr>
        <w:t xml:space="preserve">Current efforts related to renewable and energy efficiency at Georgia Power </w:t>
      </w:r>
      <w:proofErr w:type="gramStart"/>
      <w:r w:rsidR="00E938C5">
        <w:rPr>
          <w:rFonts w:ascii="Times New Roman" w:hAnsi="Times New Roman"/>
          <w:sz w:val="24"/>
          <w:szCs w:val="24"/>
        </w:rPr>
        <w:t>are</w:t>
      </w:r>
      <w:proofErr w:type="gramEnd"/>
      <w:r w:rsidR="00E938C5">
        <w:rPr>
          <w:rFonts w:ascii="Times New Roman" w:hAnsi="Times New Roman"/>
          <w:sz w:val="24"/>
          <w:szCs w:val="24"/>
        </w:rPr>
        <w:t xml:space="preserve"> detailed in </w:t>
      </w:r>
      <w:r>
        <w:rPr>
          <w:rFonts w:ascii="Times New Roman" w:hAnsi="Times New Roman"/>
          <w:sz w:val="24"/>
          <w:szCs w:val="24"/>
        </w:rPr>
        <w:t xml:space="preserve">the 2013 IRP Main Document, </w:t>
      </w:r>
      <w:r w:rsidR="00263EB6" w:rsidRPr="00263EB6">
        <w:rPr>
          <w:rFonts w:ascii="Times New Roman" w:hAnsi="Times New Roman"/>
          <w:sz w:val="24"/>
          <w:szCs w:val="24"/>
        </w:rPr>
        <w:t xml:space="preserve">Sections </w:t>
      </w:r>
      <w:r>
        <w:rPr>
          <w:rFonts w:ascii="Times New Roman" w:hAnsi="Times New Roman"/>
          <w:sz w:val="24"/>
          <w:szCs w:val="24"/>
        </w:rPr>
        <w:t>10 and 5, respectively</w:t>
      </w:r>
      <w:r w:rsidR="00E938C5">
        <w:rPr>
          <w:rFonts w:ascii="Times New Roman" w:hAnsi="Times New Roman"/>
          <w:sz w:val="24"/>
          <w:szCs w:val="24"/>
        </w:rPr>
        <w:t xml:space="preserve">.  </w:t>
      </w:r>
    </w:p>
    <w:p w:rsidR="00752263" w:rsidRPr="00ED7E20" w:rsidRDefault="00752263" w:rsidP="00752263">
      <w:pPr>
        <w:keepNext/>
        <w:widowControl w:val="0"/>
        <w:spacing w:after="0" w:line="240" w:lineRule="auto"/>
        <w:ind w:left="90"/>
        <w:jc w:val="center"/>
        <w:outlineLvl w:val="0"/>
        <w:rPr>
          <w:rFonts w:ascii="Arial" w:hAnsi="Arial" w:cs="Arial"/>
          <w:b/>
          <w:bCs/>
          <w:color w:val="000080"/>
          <w:kern w:val="28"/>
          <w:sz w:val="28"/>
          <w:szCs w:val="28"/>
        </w:rPr>
      </w:pPr>
      <w:r w:rsidRPr="00ED7E20">
        <w:rPr>
          <w:rFonts w:ascii="Arial" w:hAnsi="Arial" w:cs="Arial"/>
          <w:b/>
          <w:bCs/>
          <w:color w:val="FF0000"/>
          <w:kern w:val="28"/>
          <w:sz w:val="28"/>
          <w:szCs w:val="28"/>
          <w:u w:val="single"/>
        </w:rPr>
        <w:br w:type="page"/>
      </w:r>
      <w:bookmarkStart w:id="27" w:name="_Toc347314854"/>
      <w:r>
        <w:rPr>
          <w:rFonts w:ascii="Arial" w:hAnsi="Arial" w:cs="Arial"/>
          <w:b/>
          <w:bCs/>
          <w:color w:val="000080"/>
          <w:kern w:val="28"/>
          <w:sz w:val="28"/>
          <w:szCs w:val="28"/>
        </w:rPr>
        <w:t>4.0 S</w:t>
      </w:r>
      <w:r w:rsidRPr="00ED7E20">
        <w:rPr>
          <w:rFonts w:ascii="Arial" w:hAnsi="Arial" w:cs="Arial"/>
          <w:b/>
          <w:bCs/>
          <w:color w:val="000080"/>
          <w:kern w:val="28"/>
          <w:sz w:val="28"/>
          <w:szCs w:val="28"/>
        </w:rPr>
        <w:t>trategy Results and Financial Summary</w:t>
      </w:r>
      <w:bookmarkEnd w:id="27"/>
    </w:p>
    <w:p w:rsidR="00752263" w:rsidRPr="00ED7E20" w:rsidRDefault="00752263" w:rsidP="00752263">
      <w:pPr>
        <w:spacing w:after="0" w:line="240" w:lineRule="auto"/>
        <w:rPr>
          <w:rFonts w:ascii="Times New Roman" w:hAnsi="Times New Roman"/>
          <w:sz w:val="28"/>
          <w:szCs w:val="28"/>
          <w:u w:val="single"/>
        </w:rPr>
      </w:pPr>
    </w:p>
    <w:p w:rsidR="00752263" w:rsidRPr="00ED7E20" w:rsidRDefault="00752263" w:rsidP="00752263">
      <w:pPr>
        <w:spacing w:after="0" w:line="240" w:lineRule="auto"/>
        <w:rPr>
          <w:rFonts w:ascii="Times New Roman" w:hAnsi="Times New Roman"/>
          <w:sz w:val="24"/>
          <w:szCs w:val="24"/>
        </w:rPr>
      </w:pPr>
      <w:r w:rsidRPr="00ED7E20">
        <w:rPr>
          <w:rFonts w:ascii="Times New Roman" w:hAnsi="Times New Roman"/>
          <w:sz w:val="24"/>
          <w:szCs w:val="24"/>
        </w:rPr>
        <w:t xml:space="preserve">This section summarizes </w:t>
      </w:r>
      <w:r w:rsidR="000572B2">
        <w:rPr>
          <w:rFonts w:ascii="Times New Roman" w:hAnsi="Times New Roman"/>
          <w:sz w:val="24"/>
          <w:szCs w:val="24"/>
        </w:rPr>
        <w:t>Georgia Power</w:t>
      </w:r>
      <w:r w:rsidRPr="00ED7E20">
        <w:rPr>
          <w:rFonts w:ascii="Times New Roman" w:hAnsi="Times New Roman"/>
          <w:sz w:val="24"/>
          <w:szCs w:val="24"/>
        </w:rPr>
        <w:t>’s compliance strategy for environmental requirements.  Since the Clean Air Act Amendments were passed in 1990, Southern Company and its operating companies have been challenged by a host of new environmental regulations and requirements as described in Section 2.0.  The company has consistently responded with a timely, cost-effective strategy that has either met or exceeded the new clean air requirements, as well as other existing and new environmental regulations.</w:t>
      </w:r>
    </w:p>
    <w:p w:rsidR="00752263" w:rsidRPr="00ED7E20" w:rsidRDefault="00752263" w:rsidP="00752263">
      <w:pPr>
        <w:spacing w:after="0" w:line="240" w:lineRule="auto"/>
        <w:rPr>
          <w:rFonts w:ascii="Times New Roman" w:hAnsi="Times New Roman"/>
          <w:sz w:val="24"/>
          <w:szCs w:val="24"/>
        </w:rPr>
      </w:pPr>
    </w:p>
    <w:p w:rsidR="00752263" w:rsidRPr="00ED7E20" w:rsidRDefault="00752263" w:rsidP="00752263">
      <w:pPr>
        <w:spacing w:after="0" w:line="240" w:lineRule="auto"/>
        <w:rPr>
          <w:rFonts w:ascii="Times New Roman" w:hAnsi="Times New Roman" w:cs="Arial"/>
          <w:sz w:val="24"/>
          <w:szCs w:val="24"/>
        </w:rPr>
      </w:pPr>
      <w:r>
        <w:rPr>
          <w:rFonts w:ascii="Times New Roman" w:hAnsi="Times New Roman" w:cs="Arial"/>
          <w:sz w:val="24"/>
          <w:szCs w:val="24"/>
        </w:rPr>
        <w:t xml:space="preserve">To date, the applicable regulations and the </w:t>
      </w:r>
      <w:r w:rsidR="000572B2">
        <w:rPr>
          <w:rFonts w:ascii="Times New Roman" w:hAnsi="Times New Roman" w:cs="Arial"/>
          <w:sz w:val="24"/>
          <w:szCs w:val="24"/>
        </w:rPr>
        <w:t>Georgia Power</w:t>
      </w:r>
      <w:r w:rsidRPr="00ED7E20">
        <w:rPr>
          <w:rFonts w:ascii="Times New Roman" w:hAnsi="Times New Roman" w:cs="Arial"/>
          <w:sz w:val="24"/>
          <w:szCs w:val="24"/>
        </w:rPr>
        <w:t xml:space="preserve"> compliance plan ha</w:t>
      </w:r>
      <w:r>
        <w:rPr>
          <w:rFonts w:ascii="Times New Roman" w:hAnsi="Times New Roman" w:cs="Arial"/>
          <w:sz w:val="24"/>
          <w:szCs w:val="24"/>
        </w:rPr>
        <w:t>ve</w:t>
      </w:r>
      <w:r w:rsidRPr="00ED7E20">
        <w:rPr>
          <w:rFonts w:ascii="Times New Roman" w:hAnsi="Times New Roman" w:cs="Arial"/>
          <w:sz w:val="24"/>
          <w:szCs w:val="24"/>
        </w:rPr>
        <w:t xml:space="preserve"> focused largely on reduction of </w:t>
      </w:r>
      <w:r>
        <w:rPr>
          <w:rFonts w:ascii="Times New Roman" w:hAnsi="Times New Roman" w:cs="Arial"/>
          <w:sz w:val="24"/>
          <w:szCs w:val="24"/>
        </w:rPr>
        <w:t>SO</w:t>
      </w:r>
      <w:r w:rsidRPr="00606903">
        <w:rPr>
          <w:rFonts w:ascii="Times New Roman" w:hAnsi="Times New Roman" w:cs="Arial"/>
          <w:sz w:val="24"/>
          <w:szCs w:val="24"/>
          <w:vertAlign w:val="subscript"/>
        </w:rPr>
        <w:t>2</w:t>
      </w:r>
      <w:r>
        <w:rPr>
          <w:rFonts w:ascii="Times New Roman" w:hAnsi="Times New Roman" w:cs="Arial"/>
          <w:sz w:val="24"/>
          <w:szCs w:val="24"/>
        </w:rPr>
        <w:t xml:space="preserve"> and NO</w:t>
      </w:r>
      <w:r w:rsidRPr="002751F9">
        <w:rPr>
          <w:rFonts w:ascii="Times New Roman" w:hAnsi="Times New Roman"/>
          <w:sz w:val="24"/>
          <w:szCs w:val="24"/>
          <w:vertAlign w:val="subscript"/>
        </w:rPr>
        <w:t>x</w:t>
      </w:r>
      <w:r>
        <w:rPr>
          <w:rFonts w:ascii="Times New Roman" w:hAnsi="Times New Roman" w:cs="Arial"/>
          <w:sz w:val="24"/>
          <w:szCs w:val="24"/>
        </w:rPr>
        <w:t xml:space="preserve"> </w:t>
      </w:r>
      <w:r w:rsidRPr="00ED7E20">
        <w:rPr>
          <w:rFonts w:ascii="Times New Roman" w:hAnsi="Times New Roman" w:cs="Arial"/>
          <w:sz w:val="24"/>
          <w:szCs w:val="24"/>
        </w:rPr>
        <w:t>emissions</w:t>
      </w:r>
      <w:r w:rsidR="000572B2">
        <w:rPr>
          <w:rFonts w:ascii="Times New Roman" w:hAnsi="Times New Roman" w:cs="Arial"/>
          <w:sz w:val="24"/>
          <w:szCs w:val="24"/>
        </w:rPr>
        <w:t xml:space="preserve">, with a more recent focus on mercury </w:t>
      </w:r>
      <w:r w:rsidR="00F30D2D">
        <w:rPr>
          <w:rFonts w:ascii="Times New Roman" w:hAnsi="Times New Roman" w:cs="Arial"/>
          <w:sz w:val="24"/>
          <w:szCs w:val="24"/>
        </w:rPr>
        <w:t xml:space="preserve">and other hazardous air pollutant </w:t>
      </w:r>
      <w:r w:rsidR="000572B2">
        <w:rPr>
          <w:rFonts w:ascii="Times New Roman" w:hAnsi="Times New Roman" w:cs="Arial"/>
          <w:sz w:val="24"/>
          <w:szCs w:val="24"/>
        </w:rPr>
        <w:t>emissions</w:t>
      </w:r>
      <w:r>
        <w:rPr>
          <w:rFonts w:ascii="Times New Roman" w:hAnsi="Times New Roman" w:cs="Arial"/>
          <w:sz w:val="24"/>
          <w:szCs w:val="24"/>
        </w:rPr>
        <w:t>.  Since 1990</w:t>
      </w:r>
      <w:r w:rsidRPr="00ED7E20">
        <w:rPr>
          <w:rFonts w:ascii="Times New Roman" w:hAnsi="Times New Roman" w:cs="Arial"/>
          <w:sz w:val="24"/>
          <w:szCs w:val="24"/>
        </w:rPr>
        <w:t xml:space="preserve">, </w:t>
      </w:r>
      <w:r w:rsidR="000572B2" w:rsidRPr="00ED7E20">
        <w:rPr>
          <w:rFonts w:ascii="Times New Roman" w:hAnsi="Times New Roman"/>
          <w:sz w:val="24"/>
          <w:szCs w:val="24"/>
        </w:rPr>
        <w:t>G</w:t>
      </w:r>
      <w:r w:rsidR="000572B2">
        <w:rPr>
          <w:rFonts w:ascii="Times New Roman" w:hAnsi="Times New Roman"/>
          <w:sz w:val="24"/>
          <w:szCs w:val="24"/>
        </w:rPr>
        <w:t>eorgia Power</w:t>
      </w:r>
      <w:r w:rsidR="000572B2" w:rsidRPr="00ED7E20">
        <w:rPr>
          <w:rFonts w:ascii="Times New Roman" w:hAnsi="Times New Roman"/>
          <w:sz w:val="24"/>
          <w:szCs w:val="24"/>
        </w:rPr>
        <w:t xml:space="preserve"> ha</w:t>
      </w:r>
      <w:r w:rsidR="000572B2">
        <w:rPr>
          <w:rFonts w:ascii="Times New Roman" w:hAnsi="Times New Roman"/>
          <w:sz w:val="24"/>
          <w:szCs w:val="24"/>
        </w:rPr>
        <w:t>s</w:t>
      </w:r>
      <w:r w:rsidR="000572B2" w:rsidRPr="00ED7E20">
        <w:rPr>
          <w:rFonts w:ascii="Times New Roman" w:hAnsi="Times New Roman"/>
          <w:sz w:val="24"/>
          <w:szCs w:val="24"/>
        </w:rPr>
        <w:t xml:space="preserve"> reduced NO</w:t>
      </w:r>
      <w:r w:rsidR="000572B2" w:rsidRPr="00ED7E20">
        <w:rPr>
          <w:rFonts w:ascii="Times New Roman" w:hAnsi="Times New Roman"/>
          <w:sz w:val="24"/>
          <w:szCs w:val="24"/>
          <w:vertAlign w:val="subscript"/>
        </w:rPr>
        <w:t>X</w:t>
      </w:r>
      <w:r w:rsidR="000572B2" w:rsidRPr="00ED7E20">
        <w:rPr>
          <w:rFonts w:ascii="Times New Roman" w:hAnsi="Times New Roman"/>
          <w:sz w:val="24"/>
          <w:szCs w:val="24"/>
        </w:rPr>
        <w:t xml:space="preserve"> </w:t>
      </w:r>
      <w:r w:rsidR="000572B2">
        <w:rPr>
          <w:rFonts w:ascii="Times New Roman" w:hAnsi="Times New Roman"/>
          <w:sz w:val="24"/>
          <w:szCs w:val="24"/>
        </w:rPr>
        <w:t>emissions by approximately 7</w:t>
      </w:r>
      <w:r w:rsidR="00513491">
        <w:rPr>
          <w:rFonts w:ascii="Times New Roman" w:hAnsi="Times New Roman"/>
          <w:sz w:val="24"/>
          <w:szCs w:val="24"/>
        </w:rPr>
        <w:t>6</w:t>
      </w:r>
      <w:r w:rsidR="000572B2">
        <w:rPr>
          <w:rFonts w:ascii="Times New Roman" w:hAnsi="Times New Roman"/>
          <w:sz w:val="24"/>
          <w:szCs w:val="24"/>
        </w:rPr>
        <w:t xml:space="preserve"> percent </w:t>
      </w:r>
      <w:r w:rsidR="000572B2" w:rsidRPr="00ED7E20">
        <w:rPr>
          <w:rFonts w:ascii="Times New Roman" w:hAnsi="Times New Roman"/>
          <w:sz w:val="24"/>
          <w:szCs w:val="24"/>
        </w:rPr>
        <w:t>and SO</w:t>
      </w:r>
      <w:r w:rsidR="000572B2" w:rsidRPr="00ED7E20">
        <w:rPr>
          <w:rFonts w:ascii="Times New Roman" w:hAnsi="Times New Roman"/>
          <w:sz w:val="24"/>
          <w:szCs w:val="24"/>
          <w:vertAlign w:val="subscript"/>
        </w:rPr>
        <w:t>2</w:t>
      </w:r>
      <w:r w:rsidR="000572B2" w:rsidRPr="00ED7E20">
        <w:rPr>
          <w:rFonts w:ascii="Times New Roman" w:hAnsi="Times New Roman"/>
          <w:sz w:val="24"/>
          <w:szCs w:val="24"/>
        </w:rPr>
        <w:t xml:space="preserve"> emissions by approximately </w:t>
      </w:r>
      <w:r w:rsidR="000572B2">
        <w:rPr>
          <w:rFonts w:ascii="Times New Roman" w:hAnsi="Times New Roman"/>
          <w:sz w:val="24"/>
          <w:szCs w:val="24"/>
        </w:rPr>
        <w:t>7</w:t>
      </w:r>
      <w:r w:rsidR="00513491">
        <w:rPr>
          <w:rFonts w:ascii="Times New Roman" w:hAnsi="Times New Roman"/>
          <w:sz w:val="24"/>
          <w:szCs w:val="24"/>
        </w:rPr>
        <w:t>7</w:t>
      </w:r>
      <w:r w:rsidR="000572B2" w:rsidRPr="00ED7E20">
        <w:rPr>
          <w:rFonts w:ascii="Times New Roman" w:hAnsi="Times New Roman"/>
          <w:sz w:val="24"/>
          <w:szCs w:val="24"/>
        </w:rPr>
        <w:t xml:space="preserve"> percent</w:t>
      </w:r>
      <w:r w:rsidR="000572B2">
        <w:rPr>
          <w:rFonts w:ascii="Times New Roman" w:hAnsi="Times New Roman"/>
          <w:sz w:val="24"/>
          <w:szCs w:val="24"/>
        </w:rPr>
        <w:t xml:space="preserve"> (including Georgia Power’s share of SEGCO)</w:t>
      </w:r>
      <w:r w:rsidRPr="00ED7E20">
        <w:rPr>
          <w:rFonts w:ascii="Times New Roman" w:hAnsi="Times New Roman" w:cs="Arial"/>
          <w:sz w:val="24"/>
          <w:szCs w:val="24"/>
        </w:rPr>
        <w:t xml:space="preserve">.  These reductions were achieved by fuel switching to lower sulfur coals and the </w:t>
      </w:r>
      <w:r>
        <w:rPr>
          <w:rFonts w:ascii="Times New Roman" w:hAnsi="Times New Roman" w:cs="Arial"/>
          <w:sz w:val="24"/>
          <w:szCs w:val="24"/>
        </w:rPr>
        <w:t xml:space="preserve">installation of </w:t>
      </w:r>
      <w:r w:rsidRPr="00ED7E20">
        <w:rPr>
          <w:rFonts w:ascii="Times New Roman" w:hAnsi="Times New Roman" w:cs="Arial"/>
          <w:sz w:val="24"/>
          <w:szCs w:val="24"/>
        </w:rPr>
        <w:t xml:space="preserve"> low-</w:t>
      </w:r>
      <w:r w:rsidRPr="00ED7E20">
        <w:rPr>
          <w:rFonts w:ascii="Times New Roman" w:hAnsi="Times New Roman"/>
          <w:sz w:val="24"/>
          <w:szCs w:val="24"/>
        </w:rPr>
        <w:t>NO</w:t>
      </w:r>
      <w:r w:rsidRPr="00ED7E20">
        <w:rPr>
          <w:rFonts w:ascii="Times New Roman" w:hAnsi="Times New Roman"/>
          <w:sz w:val="24"/>
          <w:szCs w:val="24"/>
          <w:vertAlign w:val="subscript"/>
        </w:rPr>
        <w:t>X</w:t>
      </w:r>
      <w:r w:rsidRPr="00ED7E20">
        <w:rPr>
          <w:rFonts w:ascii="Times New Roman" w:hAnsi="Times New Roman"/>
          <w:sz w:val="24"/>
          <w:szCs w:val="24"/>
        </w:rPr>
        <w:t xml:space="preserve"> </w:t>
      </w:r>
      <w:r w:rsidRPr="00ED7E20">
        <w:rPr>
          <w:rFonts w:ascii="Times New Roman" w:hAnsi="Times New Roman" w:cs="Arial"/>
          <w:sz w:val="24"/>
          <w:szCs w:val="24"/>
        </w:rPr>
        <w:t>burners</w:t>
      </w:r>
      <w:r>
        <w:rPr>
          <w:rFonts w:ascii="Times New Roman" w:hAnsi="Times New Roman" w:cs="Arial"/>
          <w:sz w:val="24"/>
          <w:szCs w:val="24"/>
        </w:rPr>
        <w:t>,</w:t>
      </w:r>
      <w:r w:rsidRPr="00ED7E20">
        <w:rPr>
          <w:rFonts w:ascii="Times New Roman" w:hAnsi="Times New Roman" w:cs="Arial"/>
          <w:sz w:val="24"/>
          <w:szCs w:val="24"/>
        </w:rPr>
        <w:t xml:space="preserve"> selective catalytic reduction (SCR) systems</w:t>
      </w:r>
      <w:r>
        <w:rPr>
          <w:rFonts w:ascii="Times New Roman" w:hAnsi="Times New Roman" w:cs="Arial"/>
          <w:sz w:val="24"/>
          <w:szCs w:val="24"/>
        </w:rPr>
        <w:t>,</w:t>
      </w:r>
      <w:r w:rsidRPr="00ED7E20">
        <w:rPr>
          <w:rFonts w:ascii="Times New Roman" w:hAnsi="Times New Roman" w:cs="Arial"/>
          <w:sz w:val="24"/>
          <w:szCs w:val="24"/>
        </w:rPr>
        <w:t xml:space="preserve"> and flue gas desulfurization (FGD</w:t>
      </w:r>
      <w:r>
        <w:rPr>
          <w:rFonts w:ascii="Times New Roman" w:hAnsi="Times New Roman" w:cs="Arial"/>
          <w:sz w:val="24"/>
          <w:szCs w:val="24"/>
        </w:rPr>
        <w:t xml:space="preserve"> or scrubbers</w:t>
      </w:r>
      <w:r w:rsidRPr="00ED7E20">
        <w:rPr>
          <w:rFonts w:ascii="Times New Roman" w:hAnsi="Times New Roman" w:cs="Arial"/>
          <w:sz w:val="24"/>
          <w:szCs w:val="24"/>
        </w:rPr>
        <w:t xml:space="preserve">) at plants across the system.  </w:t>
      </w:r>
      <w:r w:rsidR="000572B2">
        <w:rPr>
          <w:rFonts w:ascii="Times New Roman" w:hAnsi="Times New Roman" w:cs="Arial"/>
          <w:sz w:val="24"/>
          <w:szCs w:val="24"/>
        </w:rPr>
        <w:t xml:space="preserve">In addition, more recent state regulations have required the reduction of mercury emissions in Georgia.  </w:t>
      </w:r>
      <w:r w:rsidR="000572B2" w:rsidRPr="000572B2">
        <w:rPr>
          <w:rFonts w:ascii="Times New Roman" w:hAnsi="Times New Roman" w:cs="Arial"/>
          <w:sz w:val="24"/>
          <w:szCs w:val="24"/>
        </w:rPr>
        <w:t xml:space="preserve">The combination of baghouses, SCRs, and scrubbers </w:t>
      </w:r>
      <w:r w:rsidR="000572B2">
        <w:rPr>
          <w:rFonts w:ascii="Times New Roman" w:hAnsi="Times New Roman" w:cs="Arial"/>
          <w:sz w:val="24"/>
          <w:szCs w:val="24"/>
        </w:rPr>
        <w:t xml:space="preserve">installed at select units </w:t>
      </w:r>
      <w:r w:rsidR="000572B2" w:rsidRPr="000572B2">
        <w:rPr>
          <w:rFonts w:ascii="Times New Roman" w:hAnsi="Times New Roman" w:cs="Arial"/>
          <w:sz w:val="24"/>
          <w:szCs w:val="24"/>
        </w:rPr>
        <w:t xml:space="preserve">has reduced Georgia Power’s 2011 mercury emissions by </w:t>
      </w:r>
      <w:r w:rsidR="000572B2">
        <w:rPr>
          <w:rFonts w:ascii="Times New Roman" w:hAnsi="Times New Roman" w:cs="Arial"/>
          <w:sz w:val="24"/>
          <w:szCs w:val="24"/>
        </w:rPr>
        <w:t>approximately 56%</w:t>
      </w:r>
      <w:r w:rsidR="000572B2" w:rsidRPr="000572B2">
        <w:rPr>
          <w:rFonts w:ascii="Times New Roman" w:hAnsi="Times New Roman" w:cs="Arial"/>
          <w:sz w:val="24"/>
          <w:szCs w:val="24"/>
        </w:rPr>
        <w:t xml:space="preserve"> from 2005 levels (including Georgia Power’s share of SEGCO).</w:t>
      </w:r>
    </w:p>
    <w:p w:rsidR="00752263" w:rsidRPr="00ED7E20" w:rsidRDefault="00752263" w:rsidP="00752263">
      <w:pPr>
        <w:spacing w:after="0" w:line="240" w:lineRule="auto"/>
        <w:rPr>
          <w:rFonts w:ascii="Times New Roman" w:hAnsi="Times New Roman" w:cs="Arial"/>
          <w:sz w:val="24"/>
          <w:szCs w:val="24"/>
        </w:rPr>
      </w:pPr>
    </w:p>
    <w:p w:rsidR="00752263" w:rsidRPr="00ED7E20" w:rsidRDefault="00752263" w:rsidP="00752263">
      <w:pPr>
        <w:spacing w:after="0" w:line="240" w:lineRule="auto"/>
        <w:rPr>
          <w:rFonts w:ascii="Times New Roman" w:hAnsi="Times New Roman"/>
          <w:sz w:val="24"/>
          <w:szCs w:val="24"/>
        </w:rPr>
      </w:pPr>
      <w:r w:rsidRPr="00ED7E20">
        <w:rPr>
          <w:rFonts w:ascii="Times New Roman" w:hAnsi="Times New Roman"/>
          <w:sz w:val="24"/>
          <w:szCs w:val="24"/>
        </w:rPr>
        <w:t xml:space="preserve">Numerous additional federal and state regulations are requiring further reductions in power plant </w:t>
      </w:r>
      <w:r>
        <w:rPr>
          <w:rFonts w:ascii="Times New Roman" w:hAnsi="Times New Roman"/>
          <w:sz w:val="24"/>
          <w:szCs w:val="24"/>
        </w:rPr>
        <w:t xml:space="preserve">air </w:t>
      </w:r>
      <w:r w:rsidRPr="00ED7E20">
        <w:rPr>
          <w:rFonts w:ascii="Times New Roman" w:hAnsi="Times New Roman"/>
          <w:sz w:val="24"/>
          <w:szCs w:val="24"/>
        </w:rPr>
        <w:t>emissions</w:t>
      </w:r>
      <w:r>
        <w:rPr>
          <w:rFonts w:ascii="Times New Roman" w:hAnsi="Times New Roman"/>
          <w:sz w:val="24"/>
          <w:szCs w:val="24"/>
        </w:rPr>
        <w:t>.</w:t>
      </w:r>
      <w:r w:rsidRPr="00ED7E20">
        <w:rPr>
          <w:rFonts w:ascii="Times New Roman" w:hAnsi="Times New Roman"/>
          <w:sz w:val="24"/>
          <w:szCs w:val="24"/>
        </w:rPr>
        <w:t xml:space="preserve"> </w:t>
      </w:r>
      <w:r>
        <w:rPr>
          <w:rFonts w:ascii="Times New Roman" w:hAnsi="Times New Roman"/>
          <w:sz w:val="24"/>
          <w:szCs w:val="24"/>
        </w:rPr>
        <w:t>A</w:t>
      </w:r>
      <w:r w:rsidRPr="00ED7E20">
        <w:rPr>
          <w:rFonts w:ascii="Times New Roman" w:hAnsi="Times New Roman"/>
          <w:sz w:val="24"/>
          <w:szCs w:val="24"/>
        </w:rPr>
        <w:t xml:space="preserve">t the same time, EPA is developing significant new regulations governing water resources and waste management at power plants.  The new rules will require reductions in pollutants not regulated to date and will present new challenges.  This section reviews the company’s </w:t>
      </w:r>
      <w:r>
        <w:rPr>
          <w:rFonts w:ascii="Times New Roman" w:hAnsi="Times New Roman"/>
          <w:sz w:val="24"/>
          <w:szCs w:val="24"/>
        </w:rPr>
        <w:t>compliance</w:t>
      </w:r>
      <w:r w:rsidRPr="00ED7E20">
        <w:rPr>
          <w:rFonts w:ascii="Times New Roman" w:hAnsi="Times New Roman"/>
          <w:sz w:val="24"/>
          <w:szCs w:val="24"/>
        </w:rPr>
        <w:t xml:space="preserve"> strategy </w:t>
      </w:r>
      <w:r>
        <w:rPr>
          <w:rFonts w:ascii="Times New Roman" w:hAnsi="Times New Roman"/>
          <w:sz w:val="24"/>
          <w:szCs w:val="24"/>
        </w:rPr>
        <w:t>for air, solid waste management, and water</w:t>
      </w:r>
      <w:r w:rsidR="00513491">
        <w:rPr>
          <w:rFonts w:ascii="Times New Roman" w:hAnsi="Times New Roman"/>
          <w:sz w:val="24"/>
          <w:szCs w:val="24"/>
        </w:rPr>
        <w:t xml:space="preserve"> requirements</w:t>
      </w:r>
      <w:r w:rsidRPr="00ED7E20">
        <w:rPr>
          <w:rFonts w:ascii="Times New Roman" w:hAnsi="Times New Roman"/>
          <w:sz w:val="24"/>
          <w:szCs w:val="24"/>
        </w:rPr>
        <w:t xml:space="preserve">. </w:t>
      </w:r>
    </w:p>
    <w:p w:rsidR="00752263" w:rsidRDefault="00752263" w:rsidP="00752263">
      <w:pPr>
        <w:spacing w:after="0" w:line="240" w:lineRule="auto"/>
        <w:rPr>
          <w:rFonts w:ascii="Times New Roman" w:hAnsi="Times New Roman"/>
          <w:b/>
          <w:bCs/>
          <w:color w:val="000080"/>
          <w:sz w:val="24"/>
          <w:szCs w:val="24"/>
        </w:rPr>
      </w:pPr>
    </w:p>
    <w:p w:rsidR="00752263" w:rsidRPr="00ED7E20" w:rsidRDefault="00752263" w:rsidP="001954D3">
      <w:pPr>
        <w:spacing w:after="0" w:line="240" w:lineRule="auto"/>
        <w:outlineLvl w:val="1"/>
        <w:rPr>
          <w:rFonts w:ascii="Times New Roman" w:hAnsi="Times New Roman"/>
          <w:b/>
          <w:bCs/>
          <w:color w:val="000080"/>
          <w:sz w:val="24"/>
          <w:szCs w:val="24"/>
        </w:rPr>
      </w:pPr>
      <w:bookmarkStart w:id="28" w:name="_Toc347314855"/>
      <w:r>
        <w:rPr>
          <w:rFonts w:ascii="Times New Roman" w:hAnsi="Times New Roman"/>
          <w:b/>
          <w:bCs/>
          <w:color w:val="000080"/>
          <w:sz w:val="24"/>
          <w:szCs w:val="24"/>
        </w:rPr>
        <w:t>4.1</w:t>
      </w:r>
      <w:r>
        <w:rPr>
          <w:rFonts w:ascii="Times New Roman" w:hAnsi="Times New Roman"/>
          <w:b/>
          <w:bCs/>
          <w:color w:val="000080"/>
          <w:sz w:val="24"/>
          <w:szCs w:val="24"/>
        </w:rPr>
        <w:tab/>
      </w:r>
      <w:r w:rsidRPr="00ED7E20">
        <w:rPr>
          <w:rFonts w:ascii="Times New Roman" w:hAnsi="Times New Roman"/>
          <w:b/>
          <w:bCs/>
          <w:color w:val="000080"/>
          <w:sz w:val="24"/>
          <w:szCs w:val="24"/>
        </w:rPr>
        <w:t>Air</w:t>
      </w:r>
      <w:r w:rsidR="00513491">
        <w:rPr>
          <w:rFonts w:ascii="Times New Roman" w:hAnsi="Times New Roman"/>
          <w:b/>
          <w:bCs/>
          <w:color w:val="000080"/>
          <w:sz w:val="24"/>
          <w:szCs w:val="24"/>
        </w:rPr>
        <w:t xml:space="preserve"> Compliance</w:t>
      </w:r>
      <w:r w:rsidRPr="00ED7E20">
        <w:rPr>
          <w:rFonts w:ascii="Times New Roman" w:hAnsi="Times New Roman"/>
          <w:b/>
          <w:bCs/>
          <w:color w:val="000080"/>
          <w:sz w:val="24"/>
          <w:szCs w:val="24"/>
        </w:rPr>
        <w:t xml:space="preserve"> Strategy Review</w:t>
      </w:r>
      <w:bookmarkEnd w:id="28"/>
    </w:p>
    <w:p w:rsidR="00752263" w:rsidRDefault="00752263" w:rsidP="00752263">
      <w:pPr>
        <w:spacing w:after="0" w:line="240" w:lineRule="auto"/>
        <w:rPr>
          <w:rFonts w:ascii="Times New Roman" w:hAnsi="Times New Roman"/>
          <w:sz w:val="24"/>
          <w:szCs w:val="24"/>
        </w:rPr>
      </w:pPr>
    </w:p>
    <w:p w:rsidR="005D137B" w:rsidRDefault="0065317A" w:rsidP="003D3A9F">
      <w:pPr>
        <w:spacing w:after="0" w:line="240" w:lineRule="auto"/>
        <w:rPr>
          <w:rFonts w:ascii="Times New Roman" w:hAnsi="Times New Roman"/>
          <w:sz w:val="24"/>
          <w:szCs w:val="24"/>
        </w:rPr>
      </w:pPr>
      <w:r>
        <w:rPr>
          <w:rFonts w:ascii="Times New Roman" w:hAnsi="Times New Roman"/>
          <w:sz w:val="24"/>
          <w:szCs w:val="24"/>
        </w:rPr>
        <w:t xml:space="preserve">The emission reductions that Georgia Power has achieved to date have been driven by the need to </w:t>
      </w:r>
      <w:r w:rsidR="00752263" w:rsidRPr="00ED7E20">
        <w:rPr>
          <w:rFonts w:ascii="Times New Roman" w:hAnsi="Times New Roman"/>
          <w:sz w:val="24"/>
          <w:szCs w:val="24"/>
        </w:rPr>
        <w:t>compl</w:t>
      </w:r>
      <w:r>
        <w:rPr>
          <w:rFonts w:ascii="Times New Roman" w:hAnsi="Times New Roman"/>
          <w:sz w:val="24"/>
          <w:szCs w:val="24"/>
        </w:rPr>
        <w:t>y</w:t>
      </w:r>
      <w:r w:rsidR="00752263" w:rsidRPr="00ED7E20">
        <w:rPr>
          <w:rFonts w:ascii="Times New Roman" w:hAnsi="Times New Roman"/>
          <w:sz w:val="24"/>
          <w:szCs w:val="24"/>
        </w:rPr>
        <w:t xml:space="preserve"> with many </w:t>
      </w:r>
      <w:r w:rsidR="00752263">
        <w:rPr>
          <w:rFonts w:ascii="Times New Roman" w:hAnsi="Times New Roman"/>
          <w:sz w:val="24"/>
          <w:szCs w:val="24"/>
        </w:rPr>
        <w:t>CAA</w:t>
      </w:r>
      <w:r w:rsidR="00752263" w:rsidRPr="00ED7E20">
        <w:rPr>
          <w:rFonts w:ascii="Times New Roman" w:hAnsi="Times New Roman"/>
          <w:sz w:val="24"/>
          <w:szCs w:val="24"/>
        </w:rPr>
        <w:t xml:space="preserve"> regulations </w:t>
      </w:r>
      <w:r>
        <w:rPr>
          <w:rFonts w:ascii="Times New Roman" w:hAnsi="Times New Roman"/>
          <w:sz w:val="24"/>
          <w:szCs w:val="24"/>
        </w:rPr>
        <w:t xml:space="preserve">focused on </w:t>
      </w:r>
      <w:r w:rsidR="00752263" w:rsidRPr="00ED7E20">
        <w:rPr>
          <w:rFonts w:ascii="Times New Roman" w:hAnsi="Times New Roman"/>
          <w:sz w:val="24"/>
          <w:szCs w:val="24"/>
        </w:rPr>
        <w:t>SO</w:t>
      </w:r>
      <w:r w:rsidR="00752263" w:rsidRPr="00ED7E20">
        <w:rPr>
          <w:rFonts w:ascii="Times New Roman" w:hAnsi="Times New Roman"/>
          <w:sz w:val="24"/>
          <w:szCs w:val="24"/>
          <w:vertAlign w:val="subscript"/>
        </w:rPr>
        <w:t>2</w:t>
      </w:r>
      <w:r w:rsidR="00752263" w:rsidRPr="00ED7E20">
        <w:rPr>
          <w:rFonts w:ascii="Times New Roman" w:hAnsi="Times New Roman"/>
          <w:sz w:val="24"/>
          <w:szCs w:val="24"/>
        </w:rPr>
        <w:t xml:space="preserve"> and NO</w:t>
      </w:r>
      <w:r w:rsidR="00752263" w:rsidRPr="00ED7E20">
        <w:rPr>
          <w:rFonts w:ascii="Times New Roman" w:hAnsi="Times New Roman"/>
          <w:sz w:val="24"/>
          <w:szCs w:val="24"/>
          <w:vertAlign w:val="subscript"/>
        </w:rPr>
        <w:t>X</w:t>
      </w:r>
      <w:r w:rsidR="00752263" w:rsidRPr="00ED7E20">
        <w:rPr>
          <w:rFonts w:ascii="Times New Roman" w:hAnsi="Times New Roman"/>
          <w:sz w:val="24"/>
          <w:szCs w:val="24"/>
        </w:rPr>
        <w:t xml:space="preserve"> emissions from power plants, including the </w:t>
      </w:r>
      <w:r w:rsidR="003D3A9F">
        <w:rPr>
          <w:rFonts w:ascii="Times New Roman" w:hAnsi="Times New Roman"/>
          <w:sz w:val="24"/>
          <w:szCs w:val="24"/>
        </w:rPr>
        <w:t xml:space="preserve">Acid Rain Program, </w:t>
      </w:r>
      <w:r w:rsidR="00752263" w:rsidRPr="00ED7E20">
        <w:rPr>
          <w:rFonts w:ascii="Times New Roman" w:hAnsi="Times New Roman"/>
          <w:sz w:val="24"/>
          <w:szCs w:val="24"/>
        </w:rPr>
        <w:t>Clean Air Interstate Rule</w:t>
      </w:r>
      <w:r w:rsidR="005D137B">
        <w:rPr>
          <w:rFonts w:ascii="Times New Roman" w:hAnsi="Times New Roman"/>
          <w:sz w:val="24"/>
          <w:szCs w:val="24"/>
        </w:rPr>
        <w:t>, Clean Air Visibility Rule,</w:t>
      </w:r>
      <w:r w:rsidR="00752263" w:rsidRPr="00ED7E20">
        <w:rPr>
          <w:rFonts w:ascii="Times New Roman" w:hAnsi="Times New Roman"/>
          <w:sz w:val="24"/>
          <w:szCs w:val="24"/>
        </w:rPr>
        <w:t xml:space="preserve"> and state regulations designed to achieve attainment with the ozone and PM NAAQS.</w:t>
      </w:r>
      <w:r w:rsidR="003D3A9F">
        <w:rPr>
          <w:rFonts w:ascii="Times New Roman" w:hAnsi="Times New Roman"/>
          <w:sz w:val="24"/>
          <w:szCs w:val="24"/>
        </w:rPr>
        <w:t xml:space="preserve">  More recently, state regulations have also </w:t>
      </w:r>
      <w:r w:rsidR="008739DA">
        <w:rPr>
          <w:rFonts w:ascii="Times New Roman" w:hAnsi="Times New Roman"/>
          <w:sz w:val="24"/>
          <w:szCs w:val="24"/>
        </w:rPr>
        <w:t xml:space="preserve">brought </w:t>
      </w:r>
      <w:r w:rsidR="003D3A9F">
        <w:rPr>
          <w:rFonts w:ascii="Times New Roman" w:hAnsi="Times New Roman"/>
          <w:sz w:val="24"/>
          <w:szCs w:val="24"/>
        </w:rPr>
        <w:t xml:space="preserve">focus </w:t>
      </w:r>
      <w:r w:rsidR="008739DA">
        <w:rPr>
          <w:rFonts w:ascii="Times New Roman" w:hAnsi="Times New Roman"/>
          <w:sz w:val="24"/>
          <w:szCs w:val="24"/>
        </w:rPr>
        <w:t>to</w:t>
      </w:r>
      <w:r w:rsidR="003D3A9F">
        <w:rPr>
          <w:rFonts w:ascii="Times New Roman" w:hAnsi="Times New Roman"/>
          <w:sz w:val="24"/>
          <w:szCs w:val="24"/>
        </w:rPr>
        <w:t xml:space="preserve"> mercury reductions from coal-fired power plants</w:t>
      </w:r>
      <w:r w:rsidR="005B596C">
        <w:rPr>
          <w:rFonts w:ascii="Times New Roman" w:hAnsi="Times New Roman"/>
          <w:sz w:val="24"/>
          <w:szCs w:val="24"/>
        </w:rPr>
        <w:t xml:space="preserve"> and the new MATS rule sets requirements for a range of hazardous air pollutants</w:t>
      </w:r>
      <w:r>
        <w:rPr>
          <w:rFonts w:ascii="Times New Roman" w:hAnsi="Times New Roman"/>
          <w:sz w:val="24"/>
          <w:szCs w:val="24"/>
        </w:rPr>
        <w:t xml:space="preserve">, including </w:t>
      </w:r>
      <w:proofErr w:type="gramStart"/>
      <w:r>
        <w:rPr>
          <w:rFonts w:ascii="Times New Roman" w:hAnsi="Times New Roman"/>
          <w:sz w:val="24"/>
          <w:szCs w:val="24"/>
        </w:rPr>
        <w:t xml:space="preserve">mercury </w:t>
      </w:r>
      <w:r w:rsidR="003D3A9F">
        <w:rPr>
          <w:rFonts w:ascii="Times New Roman" w:hAnsi="Times New Roman"/>
          <w:sz w:val="24"/>
          <w:szCs w:val="24"/>
        </w:rPr>
        <w:t>.</w:t>
      </w:r>
      <w:proofErr w:type="gramEnd"/>
    </w:p>
    <w:p w:rsidR="005D137B" w:rsidRDefault="005D137B" w:rsidP="00752263">
      <w:pPr>
        <w:spacing w:after="0" w:line="240" w:lineRule="auto"/>
        <w:rPr>
          <w:rFonts w:ascii="Times New Roman" w:hAnsi="Times New Roman"/>
          <w:sz w:val="24"/>
          <w:szCs w:val="24"/>
        </w:rPr>
      </w:pPr>
    </w:p>
    <w:p w:rsidR="000767A6" w:rsidRPr="00ED7E20" w:rsidRDefault="000767A6" w:rsidP="000767A6">
      <w:pPr>
        <w:tabs>
          <w:tab w:val="left" w:pos="720"/>
          <w:tab w:val="left" w:pos="1428"/>
          <w:tab w:val="left" w:pos="4716"/>
          <w:tab w:val="left" w:pos="4896"/>
          <w:tab w:val="left" w:pos="6718"/>
        </w:tabs>
        <w:suppressAutoHyphens/>
        <w:spacing w:after="0" w:line="240" w:lineRule="auto"/>
        <w:rPr>
          <w:rFonts w:ascii="Times New Roman" w:hAnsi="Times New Roman"/>
          <w:sz w:val="24"/>
          <w:szCs w:val="24"/>
        </w:rPr>
      </w:pPr>
      <w:r w:rsidRPr="00ED7E20">
        <w:rPr>
          <w:rFonts w:ascii="Times New Roman" w:hAnsi="Times New Roman"/>
          <w:sz w:val="24"/>
          <w:szCs w:val="24"/>
        </w:rPr>
        <w:t xml:space="preserve">The table </w:t>
      </w:r>
      <w:r>
        <w:rPr>
          <w:rFonts w:ascii="Times New Roman" w:hAnsi="Times New Roman"/>
          <w:sz w:val="24"/>
          <w:szCs w:val="24"/>
        </w:rPr>
        <w:t>below</w:t>
      </w:r>
      <w:r w:rsidRPr="00ED7E20">
        <w:rPr>
          <w:rFonts w:ascii="Times New Roman" w:hAnsi="Times New Roman"/>
          <w:sz w:val="24"/>
          <w:szCs w:val="24"/>
        </w:rPr>
        <w:t xml:space="preserve"> (Table 4.1-1) summarizes the </w:t>
      </w:r>
      <w:r w:rsidR="0065317A">
        <w:rPr>
          <w:rFonts w:ascii="Times New Roman" w:hAnsi="Times New Roman"/>
          <w:sz w:val="24"/>
          <w:szCs w:val="24"/>
        </w:rPr>
        <w:t xml:space="preserve">emissions </w:t>
      </w:r>
      <w:r w:rsidRPr="00ED7E20">
        <w:rPr>
          <w:rFonts w:ascii="Times New Roman" w:hAnsi="Times New Roman"/>
          <w:sz w:val="24"/>
          <w:szCs w:val="24"/>
        </w:rPr>
        <w:t xml:space="preserve">control </w:t>
      </w:r>
      <w:r w:rsidR="0065317A">
        <w:rPr>
          <w:rFonts w:ascii="Times New Roman" w:hAnsi="Times New Roman"/>
          <w:sz w:val="24"/>
          <w:szCs w:val="24"/>
        </w:rPr>
        <w:t xml:space="preserve">equipment installed at Georgia Power units </w:t>
      </w:r>
      <w:r>
        <w:rPr>
          <w:rFonts w:ascii="Times New Roman" w:hAnsi="Times New Roman"/>
          <w:sz w:val="24"/>
          <w:szCs w:val="24"/>
        </w:rPr>
        <w:t>since the 1990 Clean Air Act Amendments</w:t>
      </w:r>
      <w:r w:rsidRPr="00ED7E20">
        <w:rPr>
          <w:rFonts w:ascii="Times New Roman" w:hAnsi="Times New Roman"/>
          <w:sz w:val="24"/>
          <w:szCs w:val="24"/>
        </w:rPr>
        <w:t xml:space="preserve">.  </w:t>
      </w:r>
      <w:r w:rsidR="0097787F">
        <w:rPr>
          <w:rFonts w:ascii="Times New Roman" w:hAnsi="Times New Roman"/>
          <w:sz w:val="24"/>
          <w:szCs w:val="24"/>
        </w:rPr>
        <w:t>ECS-</w:t>
      </w:r>
      <w:r w:rsidRPr="00ED7E20">
        <w:rPr>
          <w:rFonts w:ascii="Times New Roman" w:hAnsi="Times New Roman"/>
          <w:sz w:val="24"/>
          <w:szCs w:val="24"/>
        </w:rPr>
        <w:t>Appendix A</w:t>
      </w:r>
      <w:r w:rsidRPr="00ED7E20">
        <w:rPr>
          <w:rFonts w:ascii="Times New Roman" w:hAnsi="Times New Roman"/>
          <w:b/>
          <w:sz w:val="24"/>
          <w:szCs w:val="24"/>
        </w:rPr>
        <w:t xml:space="preserve"> </w:t>
      </w:r>
      <w:r w:rsidRPr="00ED7E20">
        <w:rPr>
          <w:rFonts w:ascii="Times New Roman" w:hAnsi="Times New Roman"/>
          <w:sz w:val="24"/>
          <w:szCs w:val="24"/>
        </w:rPr>
        <w:t xml:space="preserve">provides a reference list of the acronyms/abbreviations used in the table for both controls and vendor names.  See </w:t>
      </w:r>
      <w:r w:rsidR="00B67C6E">
        <w:rPr>
          <w:rFonts w:ascii="Times New Roman" w:hAnsi="Times New Roman"/>
          <w:sz w:val="24"/>
          <w:szCs w:val="24"/>
        </w:rPr>
        <w:t>ECS-</w:t>
      </w:r>
      <w:r w:rsidRPr="00ED7E20">
        <w:rPr>
          <w:rFonts w:ascii="Times New Roman" w:hAnsi="Times New Roman"/>
          <w:sz w:val="24"/>
          <w:szCs w:val="24"/>
        </w:rPr>
        <w:t>Appendix B for additional technical summaries on emission control technologies.</w:t>
      </w:r>
      <w:r w:rsidR="008739DA">
        <w:rPr>
          <w:rFonts w:ascii="Times New Roman" w:hAnsi="Times New Roman"/>
          <w:sz w:val="24"/>
          <w:szCs w:val="24"/>
        </w:rPr>
        <w:t xml:space="preserve"> </w:t>
      </w:r>
    </w:p>
    <w:p w:rsidR="000767A6" w:rsidRDefault="000767A6" w:rsidP="000767A6">
      <w:pPr>
        <w:tabs>
          <w:tab w:val="left" w:pos="450"/>
        </w:tabs>
        <w:spacing w:after="0" w:line="240" w:lineRule="auto"/>
        <w:rPr>
          <w:rFonts w:ascii="Times New Roman" w:hAnsi="Times New Roman"/>
          <w:b/>
          <w:bCs/>
          <w:sz w:val="20"/>
          <w:szCs w:val="20"/>
        </w:rPr>
      </w:pPr>
    </w:p>
    <w:p w:rsidR="000767A6" w:rsidRDefault="000767A6" w:rsidP="000767A6">
      <w:pPr>
        <w:tabs>
          <w:tab w:val="left" w:pos="450"/>
        </w:tabs>
        <w:spacing w:after="0" w:line="240" w:lineRule="auto"/>
        <w:rPr>
          <w:rFonts w:ascii="Times New Roman" w:hAnsi="Times New Roman"/>
          <w:b/>
          <w:bCs/>
          <w:sz w:val="20"/>
          <w:szCs w:val="20"/>
        </w:rPr>
      </w:pPr>
    </w:p>
    <w:p w:rsidR="000767A6" w:rsidRDefault="000767A6" w:rsidP="000767A6">
      <w:pPr>
        <w:tabs>
          <w:tab w:val="left" w:pos="450"/>
        </w:tabs>
        <w:spacing w:after="0" w:line="240" w:lineRule="auto"/>
        <w:rPr>
          <w:rFonts w:ascii="Times New Roman" w:hAnsi="Times New Roman"/>
          <w:b/>
          <w:bCs/>
          <w:sz w:val="20"/>
          <w:szCs w:val="20"/>
        </w:rPr>
      </w:pPr>
    </w:p>
    <w:p w:rsidR="000767A6" w:rsidRDefault="000767A6" w:rsidP="000767A6">
      <w:pPr>
        <w:tabs>
          <w:tab w:val="left" w:pos="450"/>
        </w:tabs>
        <w:spacing w:after="0" w:line="240" w:lineRule="auto"/>
        <w:rPr>
          <w:rFonts w:ascii="Times New Roman" w:hAnsi="Times New Roman"/>
          <w:b/>
          <w:bCs/>
          <w:sz w:val="20"/>
          <w:szCs w:val="20"/>
        </w:rPr>
      </w:pPr>
    </w:p>
    <w:p w:rsidR="000767A6" w:rsidRPr="00ED7E20" w:rsidRDefault="000767A6" w:rsidP="000767A6">
      <w:pPr>
        <w:tabs>
          <w:tab w:val="left" w:pos="450"/>
        </w:tabs>
        <w:spacing w:after="0" w:line="240" w:lineRule="auto"/>
        <w:jc w:val="center"/>
        <w:rPr>
          <w:rFonts w:ascii="Times New Roman" w:hAnsi="Times New Roman"/>
          <w:b/>
          <w:bCs/>
          <w:sz w:val="20"/>
          <w:szCs w:val="20"/>
        </w:rPr>
      </w:pPr>
      <w:r w:rsidRPr="00ED7E20">
        <w:rPr>
          <w:rFonts w:ascii="Times New Roman" w:hAnsi="Times New Roman"/>
          <w:b/>
          <w:bCs/>
          <w:sz w:val="20"/>
          <w:szCs w:val="20"/>
        </w:rPr>
        <w:t xml:space="preserve">Table </w:t>
      </w:r>
      <w:r>
        <w:rPr>
          <w:rFonts w:ascii="Times New Roman" w:hAnsi="Times New Roman"/>
          <w:b/>
          <w:bCs/>
          <w:sz w:val="20"/>
          <w:szCs w:val="20"/>
        </w:rPr>
        <w:t>4.1-1</w:t>
      </w:r>
      <w:r w:rsidRPr="00ED7E20">
        <w:rPr>
          <w:rFonts w:ascii="Times New Roman" w:hAnsi="Times New Roman"/>
          <w:b/>
          <w:bCs/>
          <w:sz w:val="20"/>
          <w:szCs w:val="20"/>
        </w:rPr>
        <w:t xml:space="preserve"> </w:t>
      </w:r>
      <w:r>
        <w:rPr>
          <w:rFonts w:ascii="Times New Roman" w:hAnsi="Times New Roman"/>
          <w:b/>
          <w:bCs/>
          <w:sz w:val="20"/>
          <w:szCs w:val="20"/>
        </w:rPr>
        <w:t xml:space="preserve">Current </w:t>
      </w:r>
      <w:r w:rsidRPr="00ED7E20">
        <w:rPr>
          <w:rFonts w:ascii="Times New Roman" w:hAnsi="Times New Roman"/>
          <w:b/>
          <w:bCs/>
          <w:sz w:val="20"/>
          <w:szCs w:val="20"/>
        </w:rPr>
        <w:t>Equipment Installation Status</w:t>
      </w:r>
    </w:p>
    <w:tbl>
      <w:tblPr>
        <w:tblW w:w="10215" w:type="dxa"/>
        <w:jc w:val="center"/>
        <w:tblInd w:w="-288" w:type="dxa"/>
        <w:tblLayout w:type="fixed"/>
        <w:tblLook w:val="0000"/>
      </w:tblPr>
      <w:tblGrid>
        <w:gridCol w:w="1410"/>
        <w:gridCol w:w="765"/>
        <w:gridCol w:w="3510"/>
        <w:gridCol w:w="2265"/>
        <w:gridCol w:w="2265"/>
      </w:tblGrid>
      <w:tr w:rsidR="00BF7831" w:rsidRPr="00625463" w:rsidTr="00BF7831">
        <w:trPr>
          <w:trHeight w:val="225"/>
          <w:jc w:val="center"/>
        </w:trPr>
        <w:tc>
          <w:tcPr>
            <w:tcW w:w="1410" w:type="dxa"/>
            <w:tcBorders>
              <w:top w:val="single" w:sz="8" w:space="0" w:color="auto"/>
              <w:left w:val="single" w:sz="8" w:space="0" w:color="auto"/>
              <w:bottom w:val="double" w:sz="6" w:space="0" w:color="auto"/>
              <w:right w:val="single" w:sz="8" w:space="0" w:color="auto"/>
            </w:tcBorders>
            <w:shd w:val="clear" w:color="auto" w:fill="CCFFCC"/>
          </w:tcPr>
          <w:p w:rsidR="00BF7831" w:rsidRPr="00625463" w:rsidRDefault="00BF7831" w:rsidP="00493C82">
            <w:pPr>
              <w:tabs>
                <w:tab w:val="left" w:pos="720"/>
                <w:tab w:val="left" w:pos="1080"/>
              </w:tabs>
              <w:spacing w:after="0" w:line="240" w:lineRule="auto"/>
              <w:rPr>
                <w:rFonts w:ascii="Times New Roman" w:hAnsi="Times New Roman"/>
                <w:b/>
                <w:color w:val="000080"/>
                <w:sz w:val="20"/>
                <w:szCs w:val="20"/>
              </w:rPr>
            </w:pPr>
            <w:r w:rsidRPr="00625463">
              <w:rPr>
                <w:rFonts w:ascii="Times New Roman" w:hAnsi="Times New Roman"/>
                <w:b/>
                <w:color w:val="000080"/>
                <w:sz w:val="20"/>
                <w:szCs w:val="20"/>
              </w:rPr>
              <w:t>Unit</w:t>
            </w:r>
          </w:p>
        </w:tc>
        <w:tc>
          <w:tcPr>
            <w:tcW w:w="765" w:type="dxa"/>
            <w:tcBorders>
              <w:top w:val="single" w:sz="8" w:space="0" w:color="auto"/>
              <w:left w:val="single" w:sz="8" w:space="0" w:color="auto"/>
              <w:bottom w:val="double" w:sz="6" w:space="0" w:color="auto"/>
              <w:right w:val="single" w:sz="8" w:space="0" w:color="auto"/>
            </w:tcBorders>
            <w:shd w:val="clear" w:color="auto" w:fill="CCFFCC"/>
          </w:tcPr>
          <w:p w:rsidR="00BF7831" w:rsidRPr="00625463" w:rsidRDefault="00BF7831" w:rsidP="00493C82">
            <w:pPr>
              <w:tabs>
                <w:tab w:val="left" w:pos="720"/>
                <w:tab w:val="left" w:pos="1080"/>
              </w:tabs>
              <w:spacing w:after="0" w:line="240" w:lineRule="auto"/>
              <w:rPr>
                <w:rFonts w:ascii="Times New Roman" w:hAnsi="Times New Roman"/>
                <w:b/>
                <w:color w:val="000080"/>
                <w:sz w:val="20"/>
                <w:szCs w:val="20"/>
              </w:rPr>
            </w:pPr>
            <w:r w:rsidRPr="00625463">
              <w:rPr>
                <w:rFonts w:ascii="Times New Roman" w:hAnsi="Times New Roman"/>
                <w:b/>
                <w:color w:val="000080"/>
                <w:sz w:val="20"/>
                <w:szCs w:val="20"/>
              </w:rPr>
              <w:t>Unit Type</w:t>
            </w:r>
          </w:p>
        </w:tc>
        <w:tc>
          <w:tcPr>
            <w:tcW w:w="3510" w:type="dxa"/>
            <w:tcBorders>
              <w:top w:val="single" w:sz="8" w:space="0" w:color="auto"/>
              <w:left w:val="single" w:sz="8" w:space="0" w:color="auto"/>
              <w:bottom w:val="double" w:sz="6" w:space="0" w:color="auto"/>
              <w:right w:val="single" w:sz="8" w:space="0" w:color="auto"/>
            </w:tcBorders>
            <w:shd w:val="clear" w:color="auto" w:fill="CCFFCC"/>
          </w:tcPr>
          <w:p w:rsidR="00BF7831" w:rsidRPr="00625463" w:rsidRDefault="00BF7831" w:rsidP="00493C82">
            <w:pPr>
              <w:tabs>
                <w:tab w:val="left" w:pos="720"/>
                <w:tab w:val="left" w:pos="1080"/>
              </w:tabs>
              <w:spacing w:after="0" w:line="240" w:lineRule="auto"/>
              <w:rPr>
                <w:rFonts w:ascii="Times New Roman" w:hAnsi="Times New Roman"/>
                <w:b/>
                <w:color w:val="000080"/>
                <w:sz w:val="20"/>
                <w:szCs w:val="20"/>
              </w:rPr>
            </w:pPr>
            <w:r w:rsidRPr="00625463">
              <w:rPr>
                <w:rFonts w:ascii="Times New Roman" w:hAnsi="Times New Roman"/>
                <w:b/>
                <w:color w:val="000080"/>
                <w:sz w:val="20"/>
                <w:szCs w:val="20"/>
              </w:rPr>
              <w:t>NO</w:t>
            </w:r>
            <w:r w:rsidRPr="00625463">
              <w:rPr>
                <w:rFonts w:ascii="Times New Roman" w:hAnsi="Times New Roman"/>
                <w:b/>
                <w:color w:val="000080"/>
                <w:sz w:val="20"/>
                <w:szCs w:val="20"/>
                <w:vertAlign w:val="subscript"/>
              </w:rPr>
              <w:t>X</w:t>
            </w:r>
            <w:r w:rsidRPr="00625463">
              <w:rPr>
                <w:rFonts w:ascii="Times New Roman" w:hAnsi="Times New Roman"/>
                <w:b/>
                <w:color w:val="000080"/>
                <w:sz w:val="20"/>
                <w:szCs w:val="20"/>
              </w:rPr>
              <w:t xml:space="preserve"> Control </w:t>
            </w:r>
          </w:p>
        </w:tc>
        <w:tc>
          <w:tcPr>
            <w:tcW w:w="2265" w:type="dxa"/>
            <w:tcBorders>
              <w:top w:val="single" w:sz="8" w:space="0" w:color="auto"/>
              <w:left w:val="single" w:sz="8" w:space="0" w:color="auto"/>
              <w:bottom w:val="double" w:sz="6" w:space="0" w:color="auto"/>
              <w:right w:val="single" w:sz="8" w:space="0" w:color="auto"/>
            </w:tcBorders>
            <w:shd w:val="clear" w:color="auto" w:fill="CCFFCC"/>
          </w:tcPr>
          <w:p w:rsidR="00BF7831" w:rsidRPr="00625463" w:rsidRDefault="00BF7831" w:rsidP="00493C82">
            <w:pPr>
              <w:tabs>
                <w:tab w:val="left" w:pos="720"/>
                <w:tab w:val="left" w:pos="1080"/>
              </w:tabs>
              <w:spacing w:after="0" w:line="240" w:lineRule="auto"/>
              <w:rPr>
                <w:rFonts w:ascii="Times New Roman" w:hAnsi="Times New Roman"/>
                <w:b/>
                <w:color w:val="000080"/>
                <w:sz w:val="20"/>
                <w:szCs w:val="20"/>
              </w:rPr>
            </w:pPr>
            <w:r w:rsidRPr="00625463">
              <w:rPr>
                <w:rFonts w:ascii="Times New Roman" w:hAnsi="Times New Roman"/>
                <w:b/>
                <w:color w:val="000080"/>
                <w:sz w:val="20"/>
                <w:szCs w:val="20"/>
              </w:rPr>
              <w:t>SO</w:t>
            </w:r>
            <w:r w:rsidRPr="00625463">
              <w:rPr>
                <w:rFonts w:ascii="Times New Roman" w:hAnsi="Times New Roman"/>
                <w:b/>
                <w:color w:val="000080"/>
                <w:sz w:val="20"/>
                <w:szCs w:val="20"/>
                <w:vertAlign w:val="subscript"/>
              </w:rPr>
              <w:t>2</w:t>
            </w:r>
            <w:r w:rsidRPr="00625463">
              <w:rPr>
                <w:rFonts w:ascii="Times New Roman" w:hAnsi="Times New Roman"/>
                <w:b/>
                <w:color w:val="000080"/>
                <w:sz w:val="20"/>
                <w:szCs w:val="20"/>
              </w:rPr>
              <w:t xml:space="preserve"> Control</w:t>
            </w:r>
          </w:p>
        </w:tc>
        <w:tc>
          <w:tcPr>
            <w:tcW w:w="2265" w:type="dxa"/>
            <w:tcBorders>
              <w:top w:val="single" w:sz="8" w:space="0" w:color="auto"/>
              <w:left w:val="single" w:sz="8" w:space="0" w:color="auto"/>
              <w:bottom w:val="double" w:sz="6" w:space="0" w:color="auto"/>
              <w:right w:val="single" w:sz="8" w:space="0" w:color="auto"/>
            </w:tcBorders>
            <w:shd w:val="clear" w:color="auto" w:fill="CCFFCC"/>
          </w:tcPr>
          <w:p w:rsidR="00BF7831" w:rsidRPr="00625463" w:rsidRDefault="00BF7831" w:rsidP="00493C82">
            <w:pPr>
              <w:tabs>
                <w:tab w:val="left" w:pos="720"/>
                <w:tab w:val="left" w:pos="1080"/>
              </w:tabs>
              <w:spacing w:after="0" w:line="240" w:lineRule="auto"/>
              <w:rPr>
                <w:rFonts w:ascii="Times New Roman" w:hAnsi="Times New Roman"/>
                <w:b/>
                <w:color w:val="000080"/>
                <w:sz w:val="20"/>
                <w:szCs w:val="20"/>
              </w:rPr>
            </w:pPr>
            <w:r>
              <w:rPr>
                <w:rFonts w:ascii="Times New Roman" w:hAnsi="Times New Roman"/>
                <w:b/>
                <w:color w:val="000080"/>
                <w:sz w:val="20"/>
                <w:szCs w:val="20"/>
              </w:rPr>
              <w:t>Other</w:t>
            </w:r>
          </w:p>
        </w:tc>
      </w:tr>
      <w:tr w:rsidR="00BF7831" w:rsidRPr="00625463" w:rsidTr="00BF7831">
        <w:tblPrEx>
          <w:tblCellMar>
            <w:left w:w="72" w:type="dxa"/>
            <w:right w:w="72" w:type="dxa"/>
          </w:tblCellMar>
        </w:tblPrEx>
        <w:trPr>
          <w:trHeight w:val="292"/>
          <w:jc w:val="center"/>
        </w:trPr>
        <w:tc>
          <w:tcPr>
            <w:tcW w:w="1410" w:type="dxa"/>
            <w:tcBorders>
              <w:top w:val="double" w:sz="6" w:space="0" w:color="auto"/>
              <w:left w:val="single" w:sz="8" w:space="0" w:color="auto"/>
              <w:bottom w:val="single" w:sz="8" w:space="0" w:color="auto"/>
              <w:right w:val="single" w:sz="8" w:space="0" w:color="auto"/>
            </w:tcBorders>
            <w:shd w:val="clear" w:color="auto" w:fill="FFFFCC"/>
            <w:vAlign w:val="center"/>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Bowen 1</w:t>
            </w:r>
          </w:p>
        </w:tc>
        <w:tc>
          <w:tcPr>
            <w:tcW w:w="765" w:type="dxa"/>
            <w:tcBorders>
              <w:top w:val="double" w:sz="6" w:space="0" w:color="auto"/>
              <w:left w:val="single" w:sz="8" w:space="0" w:color="auto"/>
              <w:bottom w:val="single" w:sz="8" w:space="0" w:color="auto"/>
              <w:right w:val="single" w:sz="8" w:space="0" w:color="auto"/>
            </w:tcBorders>
            <w:shd w:val="clear" w:color="auto" w:fill="FFFFCC"/>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T</w:t>
            </w:r>
          </w:p>
        </w:tc>
        <w:tc>
          <w:tcPr>
            <w:tcW w:w="3510" w:type="dxa"/>
            <w:tcBorders>
              <w:top w:val="double" w:sz="6" w:space="0" w:color="auto"/>
              <w:left w:val="single" w:sz="8" w:space="0" w:color="auto"/>
              <w:bottom w:val="single" w:sz="8" w:space="0" w:color="auto"/>
              <w:right w:val="single" w:sz="8" w:space="0" w:color="auto"/>
            </w:tcBorders>
            <w:shd w:val="clear" w:color="auto" w:fill="FFFFCC"/>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LNCFS II (ICL) / SCR</w:t>
            </w:r>
          </w:p>
        </w:tc>
        <w:tc>
          <w:tcPr>
            <w:tcW w:w="2265" w:type="dxa"/>
            <w:tcBorders>
              <w:top w:val="double" w:sz="6" w:space="0" w:color="auto"/>
              <w:left w:val="single" w:sz="8" w:space="0" w:color="auto"/>
              <w:bottom w:val="single" w:sz="8" w:space="0" w:color="auto"/>
              <w:right w:val="single" w:sz="8" w:space="0" w:color="auto"/>
            </w:tcBorders>
            <w:shd w:val="clear" w:color="auto" w:fill="FFFFCC"/>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 xml:space="preserve">FGD </w:t>
            </w:r>
          </w:p>
        </w:tc>
        <w:tc>
          <w:tcPr>
            <w:tcW w:w="2265" w:type="dxa"/>
            <w:tcBorders>
              <w:top w:val="double" w:sz="6" w:space="0" w:color="auto"/>
              <w:left w:val="single" w:sz="8" w:space="0" w:color="auto"/>
              <w:bottom w:val="single" w:sz="8" w:space="0" w:color="auto"/>
              <w:right w:val="single" w:sz="8" w:space="0" w:color="auto"/>
            </w:tcBorders>
            <w:shd w:val="clear" w:color="auto" w:fill="FFFFCC"/>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p>
        </w:tc>
      </w:tr>
      <w:tr w:rsidR="00BF7831" w:rsidRPr="00625463" w:rsidTr="00BF7831">
        <w:tblPrEx>
          <w:tblCellMar>
            <w:left w:w="72" w:type="dxa"/>
            <w:right w:w="72" w:type="dxa"/>
          </w:tblCellMar>
        </w:tblPrEx>
        <w:trPr>
          <w:trHeight w:val="305"/>
          <w:jc w:val="center"/>
        </w:trPr>
        <w:tc>
          <w:tcPr>
            <w:tcW w:w="1410" w:type="dxa"/>
            <w:tcBorders>
              <w:top w:val="single" w:sz="8" w:space="0" w:color="auto"/>
              <w:left w:val="single" w:sz="8" w:space="0" w:color="auto"/>
              <w:bottom w:val="single" w:sz="8" w:space="0" w:color="auto"/>
              <w:right w:val="single" w:sz="8" w:space="0" w:color="auto"/>
            </w:tcBorders>
            <w:shd w:val="clear" w:color="auto" w:fill="FFFFCC"/>
            <w:vAlign w:val="center"/>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Bowen 2</w:t>
            </w:r>
          </w:p>
        </w:tc>
        <w:tc>
          <w:tcPr>
            <w:tcW w:w="765" w:type="dxa"/>
            <w:tcBorders>
              <w:top w:val="single" w:sz="8" w:space="0" w:color="auto"/>
              <w:left w:val="single" w:sz="8" w:space="0" w:color="auto"/>
              <w:bottom w:val="single" w:sz="8" w:space="0" w:color="auto"/>
              <w:right w:val="single" w:sz="8" w:space="0" w:color="auto"/>
            </w:tcBorders>
            <w:shd w:val="clear" w:color="auto" w:fill="FFFFCC"/>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T</w:t>
            </w:r>
          </w:p>
        </w:tc>
        <w:tc>
          <w:tcPr>
            <w:tcW w:w="3510" w:type="dxa"/>
            <w:tcBorders>
              <w:top w:val="single" w:sz="8" w:space="0" w:color="auto"/>
              <w:left w:val="single" w:sz="8" w:space="0" w:color="auto"/>
              <w:bottom w:val="single" w:sz="8" w:space="0" w:color="auto"/>
              <w:right w:val="single" w:sz="8" w:space="0" w:color="auto"/>
            </w:tcBorders>
            <w:shd w:val="clear" w:color="auto" w:fill="FFFFCC"/>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LNCFS II (ICL) / SCR</w:t>
            </w:r>
          </w:p>
        </w:tc>
        <w:tc>
          <w:tcPr>
            <w:tcW w:w="2265" w:type="dxa"/>
            <w:tcBorders>
              <w:top w:val="single" w:sz="8" w:space="0" w:color="auto"/>
              <w:left w:val="single" w:sz="8" w:space="0" w:color="auto"/>
              <w:bottom w:val="single" w:sz="8" w:space="0" w:color="auto"/>
              <w:right w:val="single" w:sz="8" w:space="0" w:color="auto"/>
            </w:tcBorders>
            <w:shd w:val="clear" w:color="auto" w:fill="FFFFCC"/>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FGD</w:t>
            </w:r>
          </w:p>
        </w:tc>
        <w:tc>
          <w:tcPr>
            <w:tcW w:w="2265" w:type="dxa"/>
            <w:tcBorders>
              <w:top w:val="single" w:sz="8" w:space="0" w:color="auto"/>
              <w:left w:val="single" w:sz="8" w:space="0" w:color="auto"/>
              <w:bottom w:val="single" w:sz="8" w:space="0" w:color="auto"/>
              <w:right w:val="single" w:sz="8" w:space="0" w:color="auto"/>
            </w:tcBorders>
            <w:shd w:val="clear" w:color="auto" w:fill="FFFFCC"/>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p>
        </w:tc>
      </w:tr>
      <w:tr w:rsidR="00BF7831" w:rsidRPr="00625463" w:rsidTr="00BF7831">
        <w:tblPrEx>
          <w:tblCellMar>
            <w:left w:w="72" w:type="dxa"/>
            <w:right w:w="72" w:type="dxa"/>
          </w:tblCellMar>
        </w:tblPrEx>
        <w:trPr>
          <w:trHeight w:val="305"/>
          <w:jc w:val="center"/>
        </w:trPr>
        <w:tc>
          <w:tcPr>
            <w:tcW w:w="1410" w:type="dxa"/>
            <w:tcBorders>
              <w:top w:val="single" w:sz="8" w:space="0" w:color="auto"/>
              <w:left w:val="single" w:sz="8" w:space="0" w:color="auto"/>
              <w:bottom w:val="single" w:sz="8" w:space="0" w:color="auto"/>
              <w:right w:val="single" w:sz="8" w:space="0" w:color="auto"/>
            </w:tcBorders>
            <w:shd w:val="clear" w:color="auto" w:fill="FFFFCC"/>
            <w:vAlign w:val="center"/>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Bowen 3</w:t>
            </w:r>
          </w:p>
        </w:tc>
        <w:tc>
          <w:tcPr>
            <w:tcW w:w="765" w:type="dxa"/>
            <w:tcBorders>
              <w:top w:val="single" w:sz="8" w:space="0" w:color="auto"/>
              <w:left w:val="single" w:sz="8" w:space="0" w:color="auto"/>
              <w:bottom w:val="single" w:sz="8" w:space="0" w:color="auto"/>
              <w:right w:val="single" w:sz="8" w:space="0" w:color="auto"/>
            </w:tcBorders>
            <w:shd w:val="clear" w:color="auto" w:fill="FFFFCC"/>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T</w:t>
            </w:r>
          </w:p>
        </w:tc>
        <w:tc>
          <w:tcPr>
            <w:tcW w:w="3510" w:type="dxa"/>
            <w:tcBorders>
              <w:top w:val="single" w:sz="8" w:space="0" w:color="auto"/>
              <w:left w:val="single" w:sz="8" w:space="0" w:color="auto"/>
              <w:bottom w:val="single" w:sz="8" w:space="0" w:color="auto"/>
              <w:right w:val="single" w:sz="8" w:space="0" w:color="auto"/>
            </w:tcBorders>
            <w:shd w:val="clear" w:color="auto" w:fill="FFFFCC"/>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LNCFS II (ICL) / SCR</w:t>
            </w:r>
          </w:p>
        </w:tc>
        <w:tc>
          <w:tcPr>
            <w:tcW w:w="2265" w:type="dxa"/>
            <w:tcBorders>
              <w:top w:val="single" w:sz="8" w:space="0" w:color="auto"/>
              <w:left w:val="single" w:sz="8" w:space="0" w:color="auto"/>
              <w:bottom w:val="single" w:sz="8" w:space="0" w:color="auto"/>
              <w:right w:val="single" w:sz="8" w:space="0" w:color="auto"/>
            </w:tcBorders>
            <w:shd w:val="clear" w:color="auto" w:fill="FFFFCC"/>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FGD</w:t>
            </w:r>
          </w:p>
        </w:tc>
        <w:tc>
          <w:tcPr>
            <w:tcW w:w="2265" w:type="dxa"/>
            <w:tcBorders>
              <w:top w:val="single" w:sz="8" w:space="0" w:color="auto"/>
              <w:left w:val="single" w:sz="8" w:space="0" w:color="auto"/>
              <w:bottom w:val="single" w:sz="8" w:space="0" w:color="auto"/>
              <w:right w:val="single" w:sz="8" w:space="0" w:color="auto"/>
            </w:tcBorders>
            <w:shd w:val="clear" w:color="auto" w:fill="FFFFCC"/>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p>
        </w:tc>
      </w:tr>
      <w:tr w:rsidR="00BF7831" w:rsidRPr="00625463" w:rsidTr="00BF7831">
        <w:tblPrEx>
          <w:tblCellMar>
            <w:left w:w="72" w:type="dxa"/>
            <w:right w:w="72" w:type="dxa"/>
          </w:tblCellMar>
        </w:tblPrEx>
        <w:trPr>
          <w:trHeight w:val="305"/>
          <w:jc w:val="center"/>
        </w:trPr>
        <w:tc>
          <w:tcPr>
            <w:tcW w:w="1410" w:type="dxa"/>
            <w:tcBorders>
              <w:top w:val="single" w:sz="8" w:space="0" w:color="auto"/>
              <w:left w:val="single" w:sz="8" w:space="0" w:color="auto"/>
              <w:bottom w:val="single" w:sz="8" w:space="0" w:color="auto"/>
              <w:right w:val="single" w:sz="8" w:space="0" w:color="auto"/>
            </w:tcBorders>
            <w:shd w:val="clear" w:color="auto" w:fill="FFFFCC"/>
            <w:vAlign w:val="center"/>
          </w:tcPr>
          <w:p w:rsidR="00BF7831" w:rsidRPr="00625463" w:rsidRDefault="00BF7831" w:rsidP="00BF7831">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Bowen 4</w:t>
            </w:r>
          </w:p>
        </w:tc>
        <w:tc>
          <w:tcPr>
            <w:tcW w:w="765" w:type="dxa"/>
            <w:tcBorders>
              <w:top w:val="single" w:sz="8" w:space="0" w:color="auto"/>
              <w:left w:val="single" w:sz="8" w:space="0" w:color="auto"/>
              <w:bottom w:val="single" w:sz="8" w:space="0" w:color="auto"/>
              <w:right w:val="single" w:sz="8" w:space="0" w:color="auto"/>
            </w:tcBorders>
            <w:shd w:val="clear" w:color="auto" w:fill="FFFFCC"/>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T</w:t>
            </w:r>
          </w:p>
        </w:tc>
        <w:tc>
          <w:tcPr>
            <w:tcW w:w="3510" w:type="dxa"/>
            <w:tcBorders>
              <w:top w:val="single" w:sz="8" w:space="0" w:color="auto"/>
              <w:left w:val="single" w:sz="8" w:space="0" w:color="auto"/>
              <w:bottom w:val="single" w:sz="8" w:space="0" w:color="auto"/>
              <w:right w:val="single" w:sz="8" w:space="0" w:color="auto"/>
            </w:tcBorders>
            <w:shd w:val="clear" w:color="auto" w:fill="FFFFCC"/>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LNCFS II (ICL) / SCR</w:t>
            </w:r>
          </w:p>
        </w:tc>
        <w:tc>
          <w:tcPr>
            <w:tcW w:w="2265" w:type="dxa"/>
            <w:tcBorders>
              <w:top w:val="single" w:sz="8" w:space="0" w:color="auto"/>
              <w:left w:val="single" w:sz="8" w:space="0" w:color="auto"/>
              <w:bottom w:val="single" w:sz="8" w:space="0" w:color="auto"/>
              <w:right w:val="single" w:sz="8" w:space="0" w:color="auto"/>
            </w:tcBorders>
            <w:shd w:val="clear" w:color="auto" w:fill="FFFFCC"/>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 xml:space="preserve">FGD </w:t>
            </w:r>
          </w:p>
        </w:tc>
        <w:tc>
          <w:tcPr>
            <w:tcW w:w="2265" w:type="dxa"/>
            <w:tcBorders>
              <w:top w:val="single" w:sz="8" w:space="0" w:color="auto"/>
              <w:left w:val="single" w:sz="8" w:space="0" w:color="auto"/>
              <w:bottom w:val="single" w:sz="8" w:space="0" w:color="auto"/>
              <w:right w:val="single" w:sz="8" w:space="0" w:color="auto"/>
            </w:tcBorders>
            <w:shd w:val="clear" w:color="auto" w:fill="FFFFCC"/>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p>
        </w:tc>
      </w:tr>
      <w:tr w:rsidR="00BF7831" w:rsidRPr="00625463" w:rsidTr="00BF7831">
        <w:tblPrEx>
          <w:tblCellMar>
            <w:left w:w="72" w:type="dxa"/>
            <w:right w:w="72" w:type="dxa"/>
          </w:tblCellMar>
        </w:tblPrEx>
        <w:trPr>
          <w:trHeight w:val="139"/>
          <w:jc w:val="center"/>
        </w:trPr>
        <w:tc>
          <w:tcPr>
            <w:tcW w:w="1410" w:type="dxa"/>
            <w:tcBorders>
              <w:top w:val="single" w:sz="8" w:space="0" w:color="auto"/>
              <w:left w:val="single" w:sz="8" w:space="0" w:color="auto"/>
              <w:bottom w:val="single" w:sz="8" w:space="0" w:color="auto"/>
              <w:right w:val="single" w:sz="8" w:space="0" w:color="auto"/>
            </w:tcBorders>
            <w:shd w:val="clear" w:color="auto" w:fill="FFFF99"/>
            <w:vAlign w:val="center"/>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Branch 1</w:t>
            </w:r>
          </w:p>
        </w:tc>
        <w:tc>
          <w:tcPr>
            <w:tcW w:w="765"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C</w:t>
            </w:r>
          </w:p>
        </w:tc>
        <w:tc>
          <w:tcPr>
            <w:tcW w:w="3510"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LNB (B&amp;W)</w:t>
            </w:r>
          </w:p>
        </w:tc>
        <w:tc>
          <w:tcPr>
            <w:tcW w:w="2265"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Pr>
                <w:rFonts w:ascii="Times New Roman" w:hAnsi="Times New Roman"/>
                <w:color w:val="000080"/>
                <w:sz w:val="20"/>
                <w:szCs w:val="20"/>
              </w:rPr>
              <w:t>-</w:t>
            </w:r>
          </w:p>
        </w:tc>
        <w:tc>
          <w:tcPr>
            <w:tcW w:w="2265" w:type="dxa"/>
            <w:tcBorders>
              <w:top w:val="single" w:sz="8" w:space="0" w:color="auto"/>
              <w:left w:val="single" w:sz="8" w:space="0" w:color="auto"/>
              <w:bottom w:val="single" w:sz="8" w:space="0" w:color="auto"/>
              <w:right w:val="single" w:sz="8" w:space="0" w:color="auto"/>
            </w:tcBorders>
            <w:shd w:val="clear" w:color="auto" w:fill="FFFF99"/>
          </w:tcPr>
          <w:p w:rsidR="00BF7831" w:rsidRDefault="00BF7831" w:rsidP="00493C82">
            <w:pPr>
              <w:tabs>
                <w:tab w:val="left" w:pos="720"/>
                <w:tab w:val="left" w:pos="1080"/>
              </w:tabs>
              <w:spacing w:after="0" w:line="240" w:lineRule="auto"/>
              <w:rPr>
                <w:rFonts w:ascii="Times New Roman" w:hAnsi="Times New Roman"/>
                <w:color w:val="000080"/>
                <w:sz w:val="20"/>
                <w:szCs w:val="20"/>
              </w:rPr>
            </w:pPr>
          </w:p>
        </w:tc>
      </w:tr>
      <w:tr w:rsidR="00BF7831" w:rsidRPr="00625463" w:rsidTr="00BF7831">
        <w:tblPrEx>
          <w:tblCellMar>
            <w:left w:w="72" w:type="dxa"/>
            <w:right w:w="72" w:type="dxa"/>
          </w:tblCellMar>
        </w:tblPrEx>
        <w:trPr>
          <w:trHeight w:val="292"/>
          <w:jc w:val="center"/>
        </w:trPr>
        <w:tc>
          <w:tcPr>
            <w:tcW w:w="1410" w:type="dxa"/>
            <w:tcBorders>
              <w:top w:val="single" w:sz="8" w:space="0" w:color="auto"/>
              <w:left w:val="single" w:sz="8" w:space="0" w:color="auto"/>
              <w:bottom w:val="single" w:sz="8" w:space="0" w:color="auto"/>
              <w:right w:val="single" w:sz="8" w:space="0" w:color="auto"/>
            </w:tcBorders>
            <w:shd w:val="clear" w:color="auto" w:fill="FFFF99"/>
            <w:vAlign w:val="center"/>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Branch 2</w:t>
            </w:r>
          </w:p>
        </w:tc>
        <w:tc>
          <w:tcPr>
            <w:tcW w:w="765"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W</w:t>
            </w:r>
          </w:p>
        </w:tc>
        <w:tc>
          <w:tcPr>
            <w:tcW w:w="3510"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LNB (B&amp;W)</w:t>
            </w:r>
          </w:p>
        </w:tc>
        <w:tc>
          <w:tcPr>
            <w:tcW w:w="2265"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Pr>
                <w:rFonts w:ascii="Times New Roman" w:hAnsi="Times New Roman"/>
                <w:color w:val="000080"/>
                <w:sz w:val="20"/>
                <w:szCs w:val="20"/>
              </w:rPr>
              <w:t>-</w:t>
            </w:r>
          </w:p>
        </w:tc>
        <w:tc>
          <w:tcPr>
            <w:tcW w:w="2265" w:type="dxa"/>
            <w:tcBorders>
              <w:top w:val="single" w:sz="8" w:space="0" w:color="auto"/>
              <w:left w:val="single" w:sz="8" w:space="0" w:color="auto"/>
              <w:bottom w:val="single" w:sz="8" w:space="0" w:color="auto"/>
              <w:right w:val="single" w:sz="8" w:space="0" w:color="auto"/>
            </w:tcBorders>
            <w:shd w:val="clear" w:color="auto" w:fill="FFFF99"/>
          </w:tcPr>
          <w:p w:rsidR="00BF7831" w:rsidRDefault="00BF7831" w:rsidP="00493C82">
            <w:pPr>
              <w:tabs>
                <w:tab w:val="left" w:pos="720"/>
                <w:tab w:val="left" w:pos="1080"/>
              </w:tabs>
              <w:spacing w:after="0" w:line="240" w:lineRule="auto"/>
              <w:rPr>
                <w:rFonts w:ascii="Times New Roman" w:hAnsi="Times New Roman"/>
                <w:color w:val="000080"/>
                <w:sz w:val="20"/>
                <w:szCs w:val="20"/>
              </w:rPr>
            </w:pPr>
          </w:p>
        </w:tc>
      </w:tr>
      <w:tr w:rsidR="00BF7831" w:rsidRPr="00625463" w:rsidTr="00BF7831">
        <w:tblPrEx>
          <w:tblCellMar>
            <w:left w:w="72" w:type="dxa"/>
            <w:right w:w="72" w:type="dxa"/>
          </w:tblCellMar>
        </w:tblPrEx>
        <w:trPr>
          <w:trHeight w:val="262"/>
          <w:jc w:val="center"/>
        </w:trPr>
        <w:tc>
          <w:tcPr>
            <w:tcW w:w="1410" w:type="dxa"/>
            <w:tcBorders>
              <w:top w:val="single" w:sz="8" w:space="0" w:color="auto"/>
              <w:left w:val="single" w:sz="8" w:space="0" w:color="auto"/>
              <w:bottom w:val="single" w:sz="8" w:space="0" w:color="auto"/>
              <w:right w:val="single" w:sz="8" w:space="0" w:color="auto"/>
            </w:tcBorders>
            <w:shd w:val="clear" w:color="auto" w:fill="FFFF99"/>
            <w:vAlign w:val="center"/>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Branch 3</w:t>
            </w:r>
          </w:p>
        </w:tc>
        <w:tc>
          <w:tcPr>
            <w:tcW w:w="765"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C</w:t>
            </w:r>
          </w:p>
        </w:tc>
        <w:tc>
          <w:tcPr>
            <w:tcW w:w="3510"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LNB (B&amp;W)</w:t>
            </w:r>
          </w:p>
        </w:tc>
        <w:tc>
          <w:tcPr>
            <w:tcW w:w="2265"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Pr>
                <w:rFonts w:ascii="Times New Roman" w:hAnsi="Times New Roman"/>
                <w:color w:val="000080"/>
                <w:sz w:val="20"/>
                <w:szCs w:val="20"/>
              </w:rPr>
              <w:t>-</w:t>
            </w:r>
          </w:p>
        </w:tc>
        <w:tc>
          <w:tcPr>
            <w:tcW w:w="2265" w:type="dxa"/>
            <w:tcBorders>
              <w:top w:val="single" w:sz="8" w:space="0" w:color="auto"/>
              <w:left w:val="single" w:sz="8" w:space="0" w:color="auto"/>
              <w:bottom w:val="single" w:sz="8" w:space="0" w:color="auto"/>
              <w:right w:val="single" w:sz="8" w:space="0" w:color="auto"/>
            </w:tcBorders>
            <w:shd w:val="clear" w:color="auto" w:fill="FFFF99"/>
          </w:tcPr>
          <w:p w:rsidR="00BF7831" w:rsidRDefault="00BF7831" w:rsidP="00493C82">
            <w:pPr>
              <w:tabs>
                <w:tab w:val="left" w:pos="720"/>
                <w:tab w:val="left" w:pos="1080"/>
              </w:tabs>
              <w:spacing w:after="0" w:line="240" w:lineRule="auto"/>
              <w:rPr>
                <w:rFonts w:ascii="Times New Roman" w:hAnsi="Times New Roman"/>
                <w:color w:val="000080"/>
                <w:sz w:val="20"/>
                <w:szCs w:val="20"/>
              </w:rPr>
            </w:pPr>
          </w:p>
        </w:tc>
      </w:tr>
      <w:tr w:rsidR="00BF7831" w:rsidRPr="00625463" w:rsidTr="00BF7831">
        <w:tblPrEx>
          <w:tblCellMar>
            <w:left w:w="72" w:type="dxa"/>
            <w:right w:w="72" w:type="dxa"/>
          </w:tblCellMar>
        </w:tblPrEx>
        <w:trPr>
          <w:trHeight w:val="262"/>
          <w:jc w:val="center"/>
        </w:trPr>
        <w:tc>
          <w:tcPr>
            <w:tcW w:w="1410" w:type="dxa"/>
            <w:tcBorders>
              <w:top w:val="single" w:sz="8" w:space="0" w:color="auto"/>
              <w:left w:val="single" w:sz="8" w:space="0" w:color="auto"/>
              <w:bottom w:val="single" w:sz="8" w:space="0" w:color="auto"/>
              <w:right w:val="single" w:sz="8" w:space="0" w:color="auto"/>
            </w:tcBorders>
            <w:shd w:val="clear" w:color="auto" w:fill="FFFF99"/>
            <w:vAlign w:val="center"/>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Branch 4</w:t>
            </w:r>
          </w:p>
        </w:tc>
        <w:tc>
          <w:tcPr>
            <w:tcW w:w="765"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C</w:t>
            </w:r>
          </w:p>
        </w:tc>
        <w:tc>
          <w:tcPr>
            <w:tcW w:w="3510"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LNB (B&amp;W)</w:t>
            </w:r>
          </w:p>
        </w:tc>
        <w:tc>
          <w:tcPr>
            <w:tcW w:w="2265"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Pr>
                <w:rFonts w:ascii="Times New Roman" w:hAnsi="Times New Roman"/>
                <w:color w:val="000080"/>
                <w:sz w:val="20"/>
                <w:szCs w:val="20"/>
              </w:rPr>
              <w:t>-</w:t>
            </w:r>
          </w:p>
        </w:tc>
        <w:tc>
          <w:tcPr>
            <w:tcW w:w="2265" w:type="dxa"/>
            <w:tcBorders>
              <w:top w:val="single" w:sz="8" w:space="0" w:color="auto"/>
              <w:left w:val="single" w:sz="8" w:space="0" w:color="auto"/>
              <w:bottom w:val="single" w:sz="8" w:space="0" w:color="auto"/>
              <w:right w:val="single" w:sz="8" w:space="0" w:color="auto"/>
            </w:tcBorders>
            <w:shd w:val="clear" w:color="auto" w:fill="FFFF99"/>
          </w:tcPr>
          <w:p w:rsidR="00BF7831" w:rsidRDefault="00BF7831" w:rsidP="00493C82">
            <w:pPr>
              <w:tabs>
                <w:tab w:val="left" w:pos="720"/>
                <w:tab w:val="left" w:pos="1080"/>
              </w:tabs>
              <w:spacing w:after="0" w:line="240" w:lineRule="auto"/>
              <w:rPr>
                <w:rFonts w:ascii="Times New Roman" w:hAnsi="Times New Roman"/>
                <w:color w:val="000080"/>
                <w:sz w:val="20"/>
                <w:szCs w:val="20"/>
              </w:rPr>
            </w:pPr>
          </w:p>
        </w:tc>
      </w:tr>
      <w:tr w:rsidR="00BF7831" w:rsidRPr="00625463" w:rsidTr="00BF7831">
        <w:tblPrEx>
          <w:tblCellMar>
            <w:left w:w="72" w:type="dxa"/>
            <w:right w:w="72" w:type="dxa"/>
          </w:tblCellMar>
        </w:tblPrEx>
        <w:trPr>
          <w:trHeight w:val="184"/>
          <w:jc w:val="center"/>
        </w:trPr>
        <w:tc>
          <w:tcPr>
            <w:tcW w:w="1410" w:type="dxa"/>
            <w:tcBorders>
              <w:top w:val="single" w:sz="8" w:space="0" w:color="auto"/>
              <w:left w:val="single" w:sz="8" w:space="0" w:color="auto"/>
              <w:bottom w:val="single" w:sz="8" w:space="0" w:color="auto"/>
              <w:right w:val="single" w:sz="8" w:space="0" w:color="auto"/>
            </w:tcBorders>
            <w:shd w:val="clear" w:color="auto" w:fill="FFFFCC"/>
            <w:vAlign w:val="center"/>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Hammond 1</w:t>
            </w:r>
          </w:p>
        </w:tc>
        <w:tc>
          <w:tcPr>
            <w:tcW w:w="765" w:type="dxa"/>
            <w:tcBorders>
              <w:top w:val="single" w:sz="8" w:space="0" w:color="auto"/>
              <w:left w:val="single" w:sz="8" w:space="0" w:color="auto"/>
              <w:bottom w:val="single" w:sz="8" w:space="0" w:color="auto"/>
              <w:right w:val="single" w:sz="8" w:space="0" w:color="auto"/>
            </w:tcBorders>
            <w:shd w:val="clear" w:color="auto" w:fill="FFFFCC"/>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W</w:t>
            </w:r>
          </w:p>
        </w:tc>
        <w:tc>
          <w:tcPr>
            <w:tcW w:w="3510" w:type="dxa"/>
            <w:tcBorders>
              <w:top w:val="single" w:sz="8" w:space="0" w:color="auto"/>
              <w:left w:val="single" w:sz="8" w:space="0" w:color="auto"/>
              <w:bottom w:val="single" w:sz="8" w:space="0" w:color="auto"/>
              <w:right w:val="single" w:sz="8" w:space="0" w:color="auto"/>
            </w:tcBorders>
            <w:shd w:val="clear" w:color="auto" w:fill="FFFFCC"/>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LNB</w:t>
            </w:r>
          </w:p>
        </w:tc>
        <w:tc>
          <w:tcPr>
            <w:tcW w:w="2265" w:type="dxa"/>
            <w:tcBorders>
              <w:top w:val="single" w:sz="8" w:space="0" w:color="auto"/>
              <w:left w:val="single" w:sz="8" w:space="0" w:color="auto"/>
              <w:bottom w:val="single" w:sz="8" w:space="0" w:color="auto"/>
              <w:right w:val="single" w:sz="8" w:space="0" w:color="auto"/>
            </w:tcBorders>
            <w:shd w:val="clear" w:color="auto" w:fill="FFFFCC"/>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 xml:space="preserve">FGD </w:t>
            </w:r>
          </w:p>
        </w:tc>
        <w:tc>
          <w:tcPr>
            <w:tcW w:w="2265" w:type="dxa"/>
            <w:tcBorders>
              <w:top w:val="single" w:sz="8" w:space="0" w:color="auto"/>
              <w:left w:val="single" w:sz="8" w:space="0" w:color="auto"/>
              <w:bottom w:val="single" w:sz="8" w:space="0" w:color="auto"/>
              <w:right w:val="single" w:sz="8" w:space="0" w:color="auto"/>
            </w:tcBorders>
            <w:shd w:val="clear" w:color="auto" w:fill="FFFFCC"/>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p>
        </w:tc>
      </w:tr>
      <w:tr w:rsidR="00BF7831" w:rsidRPr="00625463" w:rsidTr="00BF7831">
        <w:tblPrEx>
          <w:tblCellMar>
            <w:left w:w="72" w:type="dxa"/>
            <w:right w:w="72" w:type="dxa"/>
          </w:tblCellMar>
        </w:tblPrEx>
        <w:trPr>
          <w:trHeight w:val="228"/>
          <w:jc w:val="center"/>
        </w:trPr>
        <w:tc>
          <w:tcPr>
            <w:tcW w:w="1410" w:type="dxa"/>
            <w:tcBorders>
              <w:top w:val="single" w:sz="8" w:space="0" w:color="auto"/>
              <w:left w:val="single" w:sz="8" w:space="0" w:color="auto"/>
              <w:bottom w:val="single" w:sz="8" w:space="0" w:color="auto"/>
              <w:right w:val="single" w:sz="8" w:space="0" w:color="auto"/>
            </w:tcBorders>
            <w:shd w:val="clear" w:color="auto" w:fill="FFFFCC"/>
            <w:vAlign w:val="center"/>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Hammond 2</w:t>
            </w:r>
          </w:p>
        </w:tc>
        <w:tc>
          <w:tcPr>
            <w:tcW w:w="765" w:type="dxa"/>
            <w:tcBorders>
              <w:top w:val="single" w:sz="8" w:space="0" w:color="auto"/>
              <w:left w:val="single" w:sz="8" w:space="0" w:color="auto"/>
              <w:bottom w:val="single" w:sz="8" w:space="0" w:color="auto"/>
              <w:right w:val="single" w:sz="8" w:space="0" w:color="auto"/>
            </w:tcBorders>
            <w:shd w:val="clear" w:color="auto" w:fill="FFFFCC"/>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W</w:t>
            </w:r>
          </w:p>
        </w:tc>
        <w:tc>
          <w:tcPr>
            <w:tcW w:w="3510" w:type="dxa"/>
            <w:tcBorders>
              <w:top w:val="single" w:sz="8" w:space="0" w:color="auto"/>
              <w:left w:val="single" w:sz="8" w:space="0" w:color="auto"/>
              <w:bottom w:val="single" w:sz="8" w:space="0" w:color="auto"/>
              <w:right w:val="single" w:sz="8" w:space="0" w:color="auto"/>
            </w:tcBorders>
            <w:shd w:val="clear" w:color="auto" w:fill="FFFFCC"/>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LNB</w:t>
            </w:r>
          </w:p>
        </w:tc>
        <w:tc>
          <w:tcPr>
            <w:tcW w:w="2265" w:type="dxa"/>
            <w:tcBorders>
              <w:top w:val="single" w:sz="8" w:space="0" w:color="auto"/>
              <w:left w:val="single" w:sz="8" w:space="0" w:color="auto"/>
              <w:bottom w:val="single" w:sz="8" w:space="0" w:color="auto"/>
              <w:right w:val="single" w:sz="8" w:space="0" w:color="auto"/>
            </w:tcBorders>
            <w:shd w:val="clear" w:color="auto" w:fill="FFFFCC"/>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FGD</w:t>
            </w:r>
          </w:p>
        </w:tc>
        <w:tc>
          <w:tcPr>
            <w:tcW w:w="2265" w:type="dxa"/>
            <w:tcBorders>
              <w:top w:val="single" w:sz="8" w:space="0" w:color="auto"/>
              <w:left w:val="single" w:sz="8" w:space="0" w:color="auto"/>
              <w:bottom w:val="single" w:sz="8" w:space="0" w:color="auto"/>
              <w:right w:val="single" w:sz="8" w:space="0" w:color="auto"/>
            </w:tcBorders>
            <w:shd w:val="clear" w:color="auto" w:fill="FFFFCC"/>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p>
        </w:tc>
      </w:tr>
      <w:tr w:rsidR="00BF7831" w:rsidRPr="00625463" w:rsidTr="00BF7831">
        <w:tblPrEx>
          <w:tblCellMar>
            <w:left w:w="72" w:type="dxa"/>
            <w:right w:w="72" w:type="dxa"/>
          </w:tblCellMar>
        </w:tblPrEx>
        <w:trPr>
          <w:trHeight w:val="263"/>
          <w:jc w:val="center"/>
        </w:trPr>
        <w:tc>
          <w:tcPr>
            <w:tcW w:w="1410" w:type="dxa"/>
            <w:tcBorders>
              <w:top w:val="single" w:sz="8" w:space="0" w:color="auto"/>
              <w:left w:val="single" w:sz="8" w:space="0" w:color="auto"/>
              <w:bottom w:val="single" w:sz="8" w:space="0" w:color="auto"/>
              <w:right w:val="single" w:sz="8" w:space="0" w:color="auto"/>
            </w:tcBorders>
            <w:shd w:val="clear" w:color="auto" w:fill="FFFFCC"/>
            <w:vAlign w:val="center"/>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Hammond 3</w:t>
            </w:r>
          </w:p>
        </w:tc>
        <w:tc>
          <w:tcPr>
            <w:tcW w:w="765" w:type="dxa"/>
            <w:tcBorders>
              <w:top w:val="single" w:sz="8" w:space="0" w:color="auto"/>
              <w:left w:val="single" w:sz="8" w:space="0" w:color="auto"/>
              <w:bottom w:val="single" w:sz="8" w:space="0" w:color="auto"/>
              <w:right w:val="single" w:sz="8" w:space="0" w:color="auto"/>
            </w:tcBorders>
            <w:shd w:val="clear" w:color="auto" w:fill="FFFFCC"/>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W</w:t>
            </w:r>
          </w:p>
        </w:tc>
        <w:tc>
          <w:tcPr>
            <w:tcW w:w="3510" w:type="dxa"/>
            <w:tcBorders>
              <w:top w:val="single" w:sz="8" w:space="0" w:color="auto"/>
              <w:left w:val="single" w:sz="8" w:space="0" w:color="auto"/>
              <w:bottom w:val="single" w:sz="8" w:space="0" w:color="auto"/>
              <w:right w:val="single" w:sz="8" w:space="0" w:color="auto"/>
            </w:tcBorders>
            <w:shd w:val="clear" w:color="auto" w:fill="FFFFCC"/>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LNB</w:t>
            </w:r>
          </w:p>
        </w:tc>
        <w:tc>
          <w:tcPr>
            <w:tcW w:w="2265" w:type="dxa"/>
            <w:tcBorders>
              <w:top w:val="single" w:sz="8" w:space="0" w:color="auto"/>
              <w:left w:val="single" w:sz="8" w:space="0" w:color="auto"/>
              <w:bottom w:val="single" w:sz="8" w:space="0" w:color="auto"/>
              <w:right w:val="single" w:sz="8" w:space="0" w:color="auto"/>
            </w:tcBorders>
            <w:shd w:val="clear" w:color="auto" w:fill="FFFFCC"/>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 xml:space="preserve">FGD </w:t>
            </w:r>
          </w:p>
        </w:tc>
        <w:tc>
          <w:tcPr>
            <w:tcW w:w="2265" w:type="dxa"/>
            <w:tcBorders>
              <w:top w:val="single" w:sz="8" w:space="0" w:color="auto"/>
              <w:left w:val="single" w:sz="8" w:space="0" w:color="auto"/>
              <w:bottom w:val="single" w:sz="8" w:space="0" w:color="auto"/>
              <w:right w:val="single" w:sz="8" w:space="0" w:color="auto"/>
            </w:tcBorders>
            <w:shd w:val="clear" w:color="auto" w:fill="FFFFCC"/>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p>
        </w:tc>
      </w:tr>
      <w:tr w:rsidR="00BF7831" w:rsidRPr="00625463" w:rsidTr="00BF7831">
        <w:tblPrEx>
          <w:tblCellMar>
            <w:left w:w="72" w:type="dxa"/>
            <w:right w:w="72" w:type="dxa"/>
          </w:tblCellMar>
        </w:tblPrEx>
        <w:trPr>
          <w:trHeight w:val="305"/>
          <w:jc w:val="center"/>
        </w:trPr>
        <w:tc>
          <w:tcPr>
            <w:tcW w:w="1410" w:type="dxa"/>
            <w:tcBorders>
              <w:top w:val="single" w:sz="8" w:space="0" w:color="auto"/>
              <w:left w:val="single" w:sz="8" w:space="0" w:color="auto"/>
              <w:bottom w:val="single" w:sz="8" w:space="0" w:color="auto"/>
              <w:right w:val="single" w:sz="8" w:space="0" w:color="auto"/>
            </w:tcBorders>
            <w:shd w:val="clear" w:color="auto" w:fill="FFFFCC"/>
            <w:vAlign w:val="center"/>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Hammond 4</w:t>
            </w:r>
          </w:p>
        </w:tc>
        <w:tc>
          <w:tcPr>
            <w:tcW w:w="765" w:type="dxa"/>
            <w:tcBorders>
              <w:top w:val="single" w:sz="8" w:space="0" w:color="auto"/>
              <w:left w:val="single" w:sz="8" w:space="0" w:color="auto"/>
              <w:bottom w:val="single" w:sz="8" w:space="0" w:color="auto"/>
              <w:right w:val="single" w:sz="8" w:space="0" w:color="auto"/>
            </w:tcBorders>
            <w:shd w:val="clear" w:color="auto" w:fill="FFFFCC"/>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W</w:t>
            </w:r>
          </w:p>
        </w:tc>
        <w:tc>
          <w:tcPr>
            <w:tcW w:w="3510" w:type="dxa"/>
            <w:tcBorders>
              <w:top w:val="single" w:sz="8" w:space="0" w:color="auto"/>
              <w:left w:val="single" w:sz="8" w:space="0" w:color="auto"/>
              <w:bottom w:val="single" w:sz="8" w:space="0" w:color="auto"/>
              <w:right w:val="single" w:sz="8" w:space="0" w:color="auto"/>
            </w:tcBorders>
            <w:shd w:val="clear" w:color="auto" w:fill="FFFFCC"/>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LNB / OFA  (FW) / SCR (MHI)</w:t>
            </w:r>
          </w:p>
        </w:tc>
        <w:tc>
          <w:tcPr>
            <w:tcW w:w="2265" w:type="dxa"/>
            <w:tcBorders>
              <w:top w:val="single" w:sz="8" w:space="0" w:color="auto"/>
              <w:left w:val="single" w:sz="8" w:space="0" w:color="auto"/>
              <w:bottom w:val="single" w:sz="8" w:space="0" w:color="auto"/>
              <w:right w:val="single" w:sz="8" w:space="0" w:color="auto"/>
            </w:tcBorders>
            <w:shd w:val="clear" w:color="auto" w:fill="FFFFCC"/>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 xml:space="preserve">FGD </w:t>
            </w:r>
          </w:p>
        </w:tc>
        <w:tc>
          <w:tcPr>
            <w:tcW w:w="2265" w:type="dxa"/>
            <w:tcBorders>
              <w:top w:val="single" w:sz="8" w:space="0" w:color="auto"/>
              <w:left w:val="single" w:sz="8" w:space="0" w:color="auto"/>
              <w:bottom w:val="single" w:sz="8" w:space="0" w:color="auto"/>
              <w:right w:val="single" w:sz="8" w:space="0" w:color="auto"/>
            </w:tcBorders>
            <w:shd w:val="clear" w:color="auto" w:fill="FFFFCC"/>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p>
        </w:tc>
      </w:tr>
      <w:tr w:rsidR="00BF7831" w:rsidRPr="00625463" w:rsidTr="00BF7831">
        <w:tblPrEx>
          <w:tblCellMar>
            <w:left w:w="72" w:type="dxa"/>
            <w:right w:w="72" w:type="dxa"/>
          </w:tblCellMar>
        </w:tblPrEx>
        <w:trPr>
          <w:trHeight w:val="139"/>
          <w:jc w:val="center"/>
        </w:trPr>
        <w:tc>
          <w:tcPr>
            <w:tcW w:w="1410" w:type="dxa"/>
            <w:tcBorders>
              <w:top w:val="single" w:sz="8" w:space="0" w:color="auto"/>
              <w:left w:val="single" w:sz="8" w:space="0" w:color="auto"/>
              <w:bottom w:val="single" w:sz="8" w:space="0" w:color="auto"/>
              <w:right w:val="single" w:sz="8" w:space="0" w:color="auto"/>
            </w:tcBorders>
            <w:shd w:val="clear" w:color="auto" w:fill="FFFF99"/>
            <w:vAlign w:val="center"/>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Kraft 1</w:t>
            </w:r>
          </w:p>
        </w:tc>
        <w:tc>
          <w:tcPr>
            <w:tcW w:w="765"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T</w:t>
            </w:r>
          </w:p>
        </w:tc>
        <w:tc>
          <w:tcPr>
            <w:tcW w:w="3510"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w:t>
            </w:r>
          </w:p>
        </w:tc>
        <w:tc>
          <w:tcPr>
            <w:tcW w:w="2265"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Pr>
                <w:rFonts w:ascii="Times New Roman" w:hAnsi="Times New Roman"/>
                <w:color w:val="000080"/>
                <w:sz w:val="20"/>
                <w:szCs w:val="20"/>
              </w:rPr>
              <w:t>-</w:t>
            </w:r>
          </w:p>
        </w:tc>
        <w:tc>
          <w:tcPr>
            <w:tcW w:w="2265" w:type="dxa"/>
            <w:tcBorders>
              <w:top w:val="single" w:sz="8" w:space="0" w:color="auto"/>
              <w:left w:val="single" w:sz="8" w:space="0" w:color="auto"/>
              <w:bottom w:val="single" w:sz="8" w:space="0" w:color="auto"/>
              <w:right w:val="single" w:sz="8" w:space="0" w:color="auto"/>
            </w:tcBorders>
            <w:shd w:val="clear" w:color="auto" w:fill="FFFF99"/>
          </w:tcPr>
          <w:p w:rsidR="00BF7831" w:rsidRDefault="00BF7831" w:rsidP="00493C82">
            <w:pPr>
              <w:tabs>
                <w:tab w:val="left" w:pos="720"/>
                <w:tab w:val="left" w:pos="1080"/>
              </w:tabs>
              <w:spacing w:after="0" w:line="240" w:lineRule="auto"/>
              <w:rPr>
                <w:rFonts w:ascii="Times New Roman" w:hAnsi="Times New Roman"/>
                <w:color w:val="000080"/>
                <w:sz w:val="20"/>
                <w:szCs w:val="20"/>
              </w:rPr>
            </w:pPr>
          </w:p>
        </w:tc>
      </w:tr>
      <w:tr w:rsidR="00BF7831" w:rsidRPr="00625463" w:rsidTr="00BF7831">
        <w:tblPrEx>
          <w:tblCellMar>
            <w:left w:w="72" w:type="dxa"/>
            <w:right w:w="72" w:type="dxa"/>
          </w:tblCellMar>
        </w:tblPrEx>
        <w:trPr>
          <w:trHeight w:val="201"/>
          <w:jc w:val="center"/>
        </w:trPr>
        <w:tc>
          <w:tcPr>
            <w:tcW w:w="1410" w:type="dxa"/>
            <w:tcBorders>
              <w:top w:val="single" w:sz="8" w:space="0" w:color="auto"/>
              <w:left w:val="single" w:sz="8" w:space="0" w:color="auto"/>
              <w:bottom w:val="single" w:sz="8" w:space="0" w:color="auto"/>
              <w:right w:val="single" w:sz="8" w:space="0" w:color="auto"/>
            </w:tcBorders>
            <w:shd w:val="clear" w:color="auto" w:fill="FFFF99"/>
            <w:vAlign w:val="center"/>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Kraft 2</w:t>
            </w:r>
          </w:p>
        </w:tc>
        <w:tc>
          <w:tcPr>
            <w:tcW w:w="765"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T</w:t>
            </w:r>
          </w:p>
        </w:tc>
        <w:tc>
          <w:tcPr>
            <w:tcW w:w="3510"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w:t>
            </w:r>
          </w:p>
        </w:tc>
        <w:tc>
          <w:tcPr>
            <w:tcW w:w="2265"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Pr>
                <w:rFonts w:ascii="Times New Roman" w:hAnsi="Times New Roman"/>
                <w:color w:val="000080"/>
                <w:sz w:val="20"/>
                <w:szCs w:val="20"/>
              </w:rPr>
              <w:t>-</w:t>
            </w:r>
          </w:p>
        </w:tc>
        <w:tc>
          <w:tcPr>
            <w:tcW w:w="2265" w:type="dxa"/>
            <w:tcBorders>
              <w:top w:val="single" w:sz="8" w:space="0" w:color="auto"/>
              <w:left w:val="single" w:sz="8" w:space="0" w:color="auto"/>
              <w:bottom w:val="single" w:sz="8" w:space="0" w:color="auto"/>
              <w:right w:val="single" w:sz="8" w:space="0" w:color="auto"/>
            </w:tcBorders>
            <w:shd w:val="clear" w:color="auto" w:fill="FFFF99"/>
          </w:tcPr>
          <w:p w:rsidR="00BF7831" w:rsidRDefault="00BF7831" w:rsidP="00493C82">
            <w:pPr>
              <w:tabs>
                <w:tab w:val="left" w:pos="720"/>
                <w:tab w:val="left" w:pos="1080"/>
              </w:tabs>
              <w:spacing w:after="0" w:line="240" w:lineRule="auto"/>
              <w:rPr>
                <w:rFonts w:ascii="Times New Roman" w:hAnsi="Times New Roman"/>
                <w:color w:val="000080"/>
                <w:sz w:val="20"/>
                <w:szCs w:val="20"/>
              </w:rPr>
            </w:pPr>
          </w:p>
        </w:tc>
      </w:tr>
      <w:tr w:rsidR="00BF7831" w:rsidRPr="00625463" w:rsidTr="00BF7831">
        <w:tblPrEx>
          <w:tblCellMar>
            <w:left w:w="72" w:type="dxa"/>
            <w:right w:w="72" w:type="dxa"/>
          </w:tblCellMar>
        </w:tblPrEx>
        <w:trPr>
          <w:trHeight w:val="201"/>
          <w:jc w:val="center"/>
        </w:trPr>
        <w:tc>
          <w:tcPr>
            <w:tcW w:w="1410" w:type="dxa"/>
            <w:tcBorders>
              <w:top w:val="single" w:sz="8" w:space="0" w:color="auto"/>
              <w:left w:val="single" w:sz="8" w:space="0" w:color="auto"/>
              <w:bottom w:val="single" w:sz="8" w:space="0" w:color="auto"/>
              <w:right w:val="single" w:sz="8" w:space="0" w:color="auto"/>
            </w:tcBorders>
            <w:shd w:val="clear" w:color="auto" w:fill="FFFF99"/>
            <w:vAlign w:val="center"/>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Kraft 3</w:t>
            </w:r>
          </w:p>
        </w:tc>
        <w:tc>
          <w:tcPr>
            <w:tcW w:w="765"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T</w:t>
            </w:r>
          </w:p>
        </w:tc>
        <w:tc>
          <w:tcPr>
            <w:tcW w:w="3510"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w:t>
            </w:r>
          </w:p>
        </w:tc>
        <w:tc>
          <w:tcPr>
            <w:tcW w:w="2265"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Pr>
                <w:rFonts w:ascii="Times New Roman" w:hAnsi="Times New Roman"/>
                <w:color w:val="000080"/>
                <w:sz w:val="20"/>
                <w:szCs w:val="20"/>
              </w:rPr>
              <w:t>-</w:t>
            </w:r>
          </w:p>
        </w:tc>
        <w:tc>
          <w:tcPr>
            <w:tcW w:w="2265" w:type="dxa"/>
            <w:tcBorders>
              <w:top w:val="single" w:sz="8" w:space="0" w:color="auto"/>
              <w:left w:val="single" w:sz="8" w:space="0" w:color="auto"/>
              <w:bottom w:val="single" w:sz="8" w:space="0" w:color="auto"/>
              <w:right w:val="single" w:sz="8" w:space="0" w:color="auto"/>
            </w:tcBorders>
            <w:shd w:val="clear" w:color="auto" w:fill="FFFF99"/>
          </w:tcPr>
          <w:p w:rsidR="00BF7831" w:rsidRDefault="00BF7831" w:rsidP="00493C82">
            <w:pPr>
              <w:tabs>
                <w:tab w:val="left" w:pos="720"/>
                <w:tab w:val="left" w:pos="1080"/>
              </w:tabs>
              <w:spacing w:after="0" w:line="240" w:lineRule="auto"/>
              <w:rPr>
                <w:rFonts w:ascii="Times New Roman" w:hAnsi="Times New Roman"/>
                <w:color w:val="000080"/>
                <w:sz w:val="20"/>
                <w:szCs w:val="20"/>
              </w:rPr>
            </w:pPr>
          </w:p>
        </w:tc>
      </w:tr>
      <w:tr w:rsidR="00BF7831" w:rsidRPr="00625463" w:rsidTr="00BF7831">
        <w:tblPrEx>
          <w:tblCellMar>
            <w:left w:w="72" w:type="dxa"/>
            <w:right w:w="72" w:type="dxa"/>
          </w:tblCellMar>
        </w:tblPrEx>
        <w:trPr>
          <w:trHeight w:val="228"/>
          <w:jc w:val="center"/>
        </w:trPr>
        <w:tc>
          <w:tcPr>
            <w:tcW w:w="1410" w:type="dxa"/>
            <w:tcBorders>
              <w:top w:val="single" w:sz="8" w:space="0" w:color="auto"/>
              <w:left w:val="single" w:sz="8" w:space="0" w:color="auto"/>
              <w:bottom w:val="single" w:sz="8" w:space="0" w:color="auto"/>
              <w:right w:val="single" w:sz="8" w:space="0" w:color="auto"/>
            </w:tcBorders>
            <w:shd w:val="clear" w:color="auto" w:fill="FFFFCC"/>
            <w:vAlign w:val="center"/>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McIntosh 1</w:t>
            </w:r>
          </w:p>
        </w:tc>
        <w:tc>
          <w:tcPr>
            <w:tcW w:w="765" w:type="dxa"/>
            <w:tcBorders>
              <w:top w:val="single" w:sz="8" w:space="0" w:color="auto"/>
              <w:left w:val="single" w:sz="8" w:space="0" w:color="auto"/>
              <w:bottom w:val="single" w:sz="8" w:space="0" w:color="auto"/>
              <w:right w:val="single" w:sz="8" w:space="0" w:color="auto"/>
            </w:tcBorders>
            <w:shd w:val="clear" w:color="auto" w:fill="FFFFCC"/>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W</w:t>
            </w:r>
          </w:p>
        </w:tc>
        <w:tc>
          <w:tcPr>
            <w:tcW w:w="3510" w:type="dxa"/>
            <w:tcBorders>
              <w:top w:val="single" w:sz="8" w:space="0" w:color="auto"/>
              <w:left w:val="single" w:sz="8" w:space="0" w:color="auto"/>
              <w:bottom w:val="single" w:sz="8" w:space="0" w:color="auto"/>
              <w:right w:val="single" w:sz="8" w:space="0" w:color="auto"/>
            </w:tcBorders>
            <w:shd w:val="clear" w:color="auto" w:fill="FFFFCC"/>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OFA</w:t>
            </w:r>
          </w:p>
        </w:tc>
        <w:tc>
          <w:tcPr>
            <w:tcW w:w="2265" w:type="dxa"/>
            <w:tcBorders>
              <w:top w:val="single" w:sz="8" w:space="0" w:color="auto"/>
              <w:left w:val="single" w:sz="8" w:space="0" w:color="auto"/>
              <w:bottom w:val="single" w:sz="8" w:space="0" w:color="auto"/>
              <w:right w:val="single" w:sz="8" w:space="0" w:color="auto"/>
            </w:tcBorders>
            <w:shd w:val="clear" w:color="auto" w:fill="FFFFCC"/>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Pr>
                <w:rFonts w:ascii="Times New Roman" w:hAnsi="Times New Roman"/>
                <w:color w:val="000080"/>
                <w:sz w:val="20"/>
                <w:szCs w:val="20"/>
              </w:rPr>
              <w:t>-</w:t>
            </w:r>
          </w:p>
        </w:tc>
        <w:tc>
          <w:tcPr>
            <w:tcW w:w="2265" w:type="dxa"/>
            <w:tcBorders>
              <w:top w:val="single" w:sz="8" w:space="0" w:color="auto"/>
              <w:left w:val="single" w:sz="8" w:space="0" w:color="auto"/>
              <w:bottom w:val="single" w:sz="8" w:space="0" w:color="auto"/>
              <w:right w:val="single" w:sz="8" w:space="0" w:color="auto"/>
            </w:tcBorders>
            <w:shd w:val="clear" w:color="auto" w:fill="FFFFCC"/>
          </w:tcPr>
          <w:p w:rsidR="00BF7831" w:rsidRDefault="00BF7831" w:rsidP="00493C82">
            <w:pPr>
              <w:tabs>
                <w:tab w:val="left" w:pos="720"/>
                <w:tab w:val="left" w:pos="1080"/>
              </w:tabs>
              <w:spacing w:after="0" w:line="240" w:lineRule="auto"/>
              <w:rPr>
                <w:rFonts w:ascii="Times New Roman" w:hAnsi="Times New Roman"/>
                <w:color w:val="000080"/>
                <w:sz w:val="20"/>
                <w:szCs w:val="20"/>
              </w:rPr>
            </w:pPr>
          </w:p>
        </w:tc>
      </w:tr>
      <w:tr w:rsidR="00BF7831" w:rsidRPr="00625463" w:rsidTr="00BF7831">
        <w:tblPrEx>
          <w:tblCellMar>
            <w:left w:w="72" w:type="dxa"/>
            <w:right w:w="72" w:type="dxa"/>
          </w:tblCellMar>
        </w:tblPrEx>
        <w:trPr>
          <w:trHeight w:val="219"/>
          <w:jc w:val="center"/>
        </w:trPr>
        <w:tc>
          <w:tcPr>
            <w:tcW w:w="1410" w:type="dxa"/>
            <w:tcBorders>
              <w:top w:val="single" w:sz="8" w:space="0" w:color="auto"/>
              <w:left w:val="single" w:sz="8" w:space="0" w:color="auto"/>
              <w:bottom w:val="single" w:sz="8" w:space="0" w:color="auto"/>
              <w:right w:val="single" w:sz="8" w:space="0" w:color="auto"/>
            </w:tcBorders>
            <w:shd w:val="clear" w:color="auto" w:fill="FFFFCC"/>
            <w:vAlign w:val="center"/>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Mitchell 3</w:t>
            </w:r>
          </w:p>
        </w:tc>
        <w:tc>
          <w:tcPr>
            <w:tcW w:w="765" w:type="dxa"/>
            <w:tcBorders>
              <w:top w:val="single" w:sz="8" w:space="0" w:color="auto"/>
              <w:left w:val="single" w:sz="8" w:space="0" w:color="auto"/>
              <w:bottom w:val="single" w:sz="8" w:space="0" w:color="auto"/>
              <w:right w:val="single" w:sz="8" w:space="0" w:color="auto"/>
            </w:tcBorders>
            <w:shd w:val="clear" w:color="auto" w:fill="FFFFCC"/>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T</w:t>
            </w:r>
          </w:p>
        </w:tc>
        <w:tc>
          <w:tcPr>
            <w:tcW w:w="3510" w:type="dxa"/>
            <w:tcBorders>
              <w:top w:val="single" w:sz="8" w:space="0" w:color="auto"/>
              <w:left w:val="single" w:sz="8" w:space="0" w:color="auto"/>
              <w:bottom w:val="single" w:sz="8" w:space="0" w:color="auto"/>
              <w:right w:val="single" w:sz="8" w:space="0" w:color="auto"/>
            </w:tcBorders>
            <w:shd w:val="clear" w:color="auto" w:fill="FFFFCC"/>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w:t>
            </w:r>
          </w:p>
        </w:tc>
        <w:tc>
          <w:tcPr>
            <w:tcW w:w="2265" w:type="dxa"/>
            <w:tcBorders>
              <w:top w:val="single" w:sz="8" w:space="0" w:color="auto"/>
              <w:left w:val="single" w:sz="8" w:space="0" w:color="auto"/>
              <w:bottom w:val="single" w:sz="8" w:space="0" w:color="auto"/>
              <w:right w:val="single" w:sz="8" w:space="0" w:color="auto"/>
            </w:tcBorders>
            <w:shd w:val="clear" w:color="auto" w:fill="FFFFCC"/>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Pr>
                <w:rFonts w:ascii="Times New Roman" w:hAnsi="Times New Roman"/>
                <w:color w:val="000080"/>
                <w:sz w:val="20"/>
                <w:szCs w:val="20"/>
              </w:rPr>
              <w:t>-</w:t>
            </w:r>
          </w:p>
        </w:tc>
        <w:tc>
          <w:tcPr>
            <w:tcW w:w="2265" w:type="dxa"/>
            <w:tcBorders>
              <w:top w:val="single" w:sz="8" w:space="0" w:color="auto"/>
              <w:left w:val="single" w:sz="8" w:space="0" w:color="auto"/>
              <w:bottom w:val="single" w:sz="8" w:space="0" w:color="auto"/>
              <w:right w:val="single" w:sz="8" w:space="0" w:color="auto"/>
            </w:tcBorders>
            <w:shd w:val="clear" w:color="auto" w:fill="FFFFCC"/>
          </w:tcPr>
          <w:p w:rsidR="00BF7831" w:rsidRDefault="00BF7831" w:rsidP="00493C82">
            <w:pPr>
              <w:tabs>
                <w:tab w:val="left" w:pos="720"/>
                <w:tab w:val="left" w:pos="1080"/>
              </w:tabs>
              <w:spacing w:after="0" w:line="240" w:lineRule="auto"/>
              <w:rPr>
                <w:rFonts w:ascii="Times New Roman" w:hAnsi="Times New Roman"/>
                <w:color w:val="000080"/>
                <w:sz w:val="20"/>
                <w:szCs w:val="20"/>
              </w:rPr>
            </w:pPr>
          </w:p>
        </w:tc>
      </w:tr>
      <w:tr w:rsidR="00BF7831" w:rsidRPr="00625463" w:rsidTr="00BF7831">
        <w:tblPrEx>
          <w:tblCellMar>
            <w:left w:w="72" w:type="dxa"/>
            <w:right w:w="72" w:type="dxa"/>
          </w:tblCellMar>
        </w:tblPrEx>
        <w:trPr>
          <w:trHeight w:val="262"/>
          <w:jc w:val="center"/>
        </w:trPr>
        <w:tc>
          <w:tcPr>
            <w:tcW w:w="1410"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Gaston 1</w:t>
            </w:r>
          </w:p>
        </w:tc>
        <w:tc>
          <w:tcPr>
            <w:tcW w:w="765"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W</w:t>
            </w:r>
          </w:p>
        </w:tc>
        <w:tc>
          <w:tcPr>
            <w:tcW w:w="3510"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 xml:space="preserve">LNB (B&amp;W) </w:t>
            </w:r>
          </w:p>
        </w:tc>
        <w:tc>
          <w:tcPr>
            <w:tcW w:w="2265"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Pr>
                <w:rFonts w:ascii="Times New Roman" w:hAnsi="Times New Roman"/>
                <w:color w:val="000080"/>
                <w:sz w:val="20"/>
                <w:szCs w:val="20"/>
              </w:rPr>
              <w:t>-</w:t>
            </w:r>
          </w:p>
        </w:tc>
        <w:tc>
          <w:tcPr>
            <w:tcW w:w="2265" w:type="dxa"/>
            <w:tcBorders>
              <w:top w:val="single" w:sz="8" w:space="0" w:color="auto"/>
              <w:left w:val="single" w:sz="8" w:space="0" w:color="auto"/>
              <w:bottom w:val="single" w:sz="8" w:space="0" w:color="auto"/>
              <w:right w:val="single" w:sz="8" w:space="0" w:color="auto"/>
            </w:tcBorders>
            <w:shd w:val="clear" w:color="auto" w:fill="FFFF99"/>
          </w:tcPr>
          <w:p w:rsidR="00BF7831" w:rsidRDefault="00BF7831" w:rsidP="00493C82">
            <w:pPr>
              <w:tabs>
                <w:tab w:val="left" w:pos="720"/>
                <w:tab w:val="left" w:pos="1080"/>
              </w:tabs>
              <w:spacing w:after="0" w:line="240" w:lineRule="auto"/>
              <w:rPr>
                <w:rFonts w:ascii="Times New Roman" w:hAnsi="Times New Roman"/>
                <w:color w:val="000080"/>
                <w:sz w:val="20"/>
                <w:szCs w:val="20"/>
              </w:rPr>
            </w:pPr>
          </w:p>
        </w:tc>
      </w:tr>
      <w:tr w:rsidR="00BF7831" w:rsidRPr="00625463" w:rsidTr="00BF7831">
        <w:tblPrEx>
          <w:tblCellMar>
            <w:left w:w="72" w:type="dxa"/>
            <w:right w:w="72" w:type="dxa"/>
          </w:tblCellMar>
        </w:tblPrEx>
        <w:trPr>
          <w:trHeight w:val="262"/>
          <w:jc w:val="center"/>
        </w:trPr>
        <w:tc>
          <w:tcPr>
            <w:tcW w:w="1410"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Gaston 2</w:t>
            </w:r>
          </w:p>
        </w:tc>
        <w:tc>
          <w:tcPr>
            <w:tcW w:w="765"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W</w:t>
            </w:r>
          </w:p>
        </w:tc>
        <w:tc>
          <w:tcPr>
            <w:tcW w:w="3510"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 xml:space="preserve">LNB (B&amp;W) </w:t>
            </w:r>
          </w:p>
        </w:tc>
        <w:tc>
          <w:tcPr>
            <w:tcW w:w="2265"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Pr>
                <w:rFonts w:ascii="Times New Roman" w:hAnsi="Times New Roman"/>
                <w:color w:val="000080"/>
                <w:sz w:val="20"/>
                <w:szCs w:val="20"/>
              </w:rPr>
              <w:t>-</w:t>
            </w:r>
          </w:p>
        </w:tc>
        <w:tc>
          <w:tcPr>
            <w:tcW w:w="2265" w:type="dxa"/>
            <w:tcBorders>
              <w:top w:val="single" w:sz="8" w:space="0" w:color="auto"/>
              <w:left w:val="single" w:sz="8" w:space="0" w:color="auto"/>
              <w:bottom w:val="single" w:sz="8" w:space="0" w:color="auto"/>
              <w:right w:val="single" w:sz="8" w:space="0" w:color="auto"/>
            </w:tcBorders>
            <w:shd w:val="clear" w:color="auto" w:fill="FFFF99"/>
          </w:tcPr>
          <w:p w:rsidR="00BF7831" w:rsidRDefault="00BF7831" w:rsidP="00493C82">
            <w:pPr>
              <w:tabs>
                <w:tab w:val="left" w:pos="720"/>
                <w:tab w:val="left" w:pos="1080"/>
              </w:tabs>
              <w:spacing w:after="0" w:line="240" w:lineRule="auto"/>
              <w:rPr>
                <w:rFonts w:ascii="Times New Roman" w:hAnsi="Times New Roman"/>
                <w:color w:val="000080"/>
                <w:sz w:val="20"/>
                <w:szCs w:val="20"/>
              </w:rPr>
            </w:pPr>
          </w:p>
        </w:tc>
      </w:tr>
      <w:tr w:rsidR="00BF7831" w:rsidRPr="00625463" w:rsidTr="00BF7831">
        <w:tblPrEx>
          <w:tblCellMar>
            <w:left w:w="72" w:type="dxa"/>
            <w:right w:w="72" w:type="dxa"/>
          </w:tblCellMar>
        </w:tblPrEx>
        <w:trPr>
          <w:trHeight w:val="262"/>
          <w:jc w:val="center"/>
        </w:trPr>
        <w:tc>
          <w:tcPr>
            <w:tcW w:w="1410"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Gaston 3</w:t>
            </w:r>
          </w:p>
        </w:tc>
        <w:tc>
          <w:tcPr>
            <w:tcW w:w="765"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W</w:t>
            </w:r>
          </w:p>
        </w:tc>
        <w:tc>
          <w:tcPr>
            <w:tcW w:w="3510"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 xml:space="preserve">LNB (B&amp;W) </w:t>
            </w:r>
          </w:p>
        </w:tc>
        <w:tc>
          <w:tcPr>
            <w:tcW w:w="2265"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Pr>
                <w:rFonts w:ascii="Times New Roman" w:hAnsi="Times New Roman"/>
                <w:color w:val="000080"/>
                <w:sz w:val="20"/>
                <w:szCs w:val="20"/>
              </w:rPr>
              <w:t>-</w:t>
            </w:r>
          </w:p>
        </w:tc>
        <w:tc>
          <w:tcPr>
            <w:tcW w:w="2265" w:type="dxa"/>
            <w:tcBorders>
              <w:top w:val="single" w:sz="8" w:space="0" w:color="auto"/>
              <w:left w:val="single" w:sz="8" w:space="0" w:color="auto"/>
              <w:bottom w:val="single" w:sz="8" w:space="0" w:color="auto"/>
              <w:right w:val="single" w:sz="8" w:space="0" w:color="auto"/>
            </w:tcBorders>
            <w:shd w:val="clear" w:color="auto" w:fill="FFFF99"/>
          </w:tcPr>
          <w:p w:rsidR="00BF7831" w:rsidRDefault="00BF7831" w:rsidP="00493C82">
            <w:pPr>
              <w:tabs>
                <w:tab w:val="left" w:pos="720"/>
                <w:tab w:val="left" w:pos="1080"/>
              </w:tabs>
              <w:spacing w:after="0" w:line="240" w:lineRule="auto"/>
              <w:rPr>
                <w:rFonts w:ascii="Times New Roman" w:hAnsi="Times New Roman"/>
                <w:color w:val="000080"/>
                <w:sz w:val="20"/>
                <w:szCs w:val="20"/>
              </w:rPr>
            </w:pPr>
          </w:p>
        </w:tc>
      </w:tr>
      <w:tr w:rsidR="00BF7831" w:rsidRPr="00625463" w:rsidTr="00BF7831">
        <w:tblPrEx>
          <w:tblCellMar>
            <w:left w:w="72" w:type="dxa"/>
            <w:right w:w="72" w:type="dxa"/>
          </w:tblCellMar>
        </w:tblPrEx>
        <w:trPr>
          <w:trHeight w:val="248"/>
          <w:jc w:val="center"/>
        </w:trPr>
        <w:tc>
          <w:tcPr>
            <w:tcW w:w="1410"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Gaston 4</w:t>
            </w:r>
          </w:p>
        </w:tc>
        <w:tc>
          <w:tcPr>
            <w:tcW w:w="765"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W</w:t>
            </w:r>
          </w:p>
        </w:tc>
        <w:tc>
          <w:tcPr>
            <w:tcW w:w="3510"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 xml:space="preserve">LNB (B&amp;W) </w:t>
            </w:r>
          </w:p>
        </w:tc>
        <w:tc>
          <w:tcPr>
            <w:tcW w:w="2265"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Pr>
                <w:rFonts w:ascii="Times New Roman" w:hAnsi="Times New Roman"/>
                <w:color w:val="000080"/>
                <w:sz w:val="20"/>
                <w:szCs w:val="20"/>
              </w:rPr>
              <w:t>-</w:t>
            </w:r>
          </w:p>
        </w:tc>
        <w:tc>
          <w:tcPr>
            <w:tcW w:w="2265" w:type="dxa"/>
            <w:tcBorders>
              <w:top w:val="single" w:sz="8" w:space="0" w:color="auto"/>
              <w:left w:val="single" w:sz="8" w:space="0" w:color="auto"/>
              <w:bottom w:val="single" w:sz="8" w:space="0" w:color="auto"/>
              <w:right w:val="single" w:sz="8" w:space="0" w:color="auto"/>
            </w:tcBorders>
            <w:shd w:val="clear" w:color="auto" w:fill="FFFF99"/>
          </w:tcPr>
          <w:p w:rsidR="00BF7831" w:rsidRDefault="00BF7831" w:rsidP="00493C82">
            <w:pPr>
              <w:tabs>
                <w:tab w:val="left" w:pos="720"/>
                <w:tab w:val="left" w:pos="1080"/>
              </w:tabs>
              <w:spacing w:after="0" w:line="240" w:lineRule="auto"/>
              <w:rPr>
                <w:rFonts w:ascii="Times New Roman" w:hAnsi="Times New Roman"/>
                <w:color w:val="000080"/>
                <w:sz w:val="20"/>
                <w:szCs w:val="20"/>
              </w:rPr>
            </w:pPr>
          </w:p>
        </w:tc>
      </w:tr>
      <w:tr w:rsidR="00BF7831" w:rsidRPr="00625463" w:rsidTr="00BF7831">
        <w:tblPrEx>
          <w:tblCellMar>
            <w:left w:w="72" w:type="dxa"/>
            <w:right w:w="72" w:type="dxa"/>
          </w:tblCellMar>
        </w:tblPrEx>
        <w:trPr>
          <w:trHeight w:val="262"/>
          <w:jc w:val="center"/>
        </w:trPr>
        <w:tc>
          <w:tcPr>
            <w:tcW w:w="1410" w:type="dxa"/>
            <w:tcBorders>
              <w:top w:val="single" w:sz="8" w:space="0" w:color="auto"/>
              <w:left w:val="single" w:sz="8" w:space="0" w:color="auto"/>
              <w:bottom w:val="single" w:sz="8" w:space="0" w:color="auto"/>
              <w:right w:val="single" w:sz="8" w:space="0" w:color="auto"/>
            </w:tcBorders>
            <w:shd w:val="clear" w:color="auto" w:fill="FFFF99"/>
            <w:vAlign w:val="center"/>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Pr>
                <w:rFonts w:ascii="Times New Roman" w:hAnsi="Times New Roman"/>
                <w:color w:val="000080"/>
                <w:sz w:val="20"/>
                <w:szCs w:val="20"/>
              </w:rPr>
              <w:t>Scherer 1</w:t>
            </w:r>
          </w:p>
        </w:tc>
        <w:tc>
          <w:tcPr>
            <w:tcW w:w="765"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T</w:t>
            </w:r>
          </w:p>
        </w:tc>
        <w:tc>
          <w:tcPr>
            <w:tcW w:w="3510"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 xml:space="preserve">OFA </w:t>
            </w:r>
          </w:p>
        </w:tc>
        <w:tc>
          <w:tcPr>
            <w:tcW w:w="2265"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Pr>
                <w:rFonts w:ascii="Times New Roman" w:hAnsi="Times New Roman"/>
                <w:color w:val="000080"/>
                <w:sz w:val="20"/>
                <w:szCs w:val="20"/>
              </w:rPr>
              <w:t>-</w:t>
            </w:r>
          </w:p>
        </w:tc>
        <w:tc>
          <w:tcPr>
            <w:tcW w:w="2265" w:type="dxa"/>
            <w:tcBorders>
              <w:top w:val="single" w:sz="8" w:space="0" w:color="auto"/>
              <w:left w:val="single" w:sz="8" w:space="0" w:color="auto"/>
              <w:bottom w:val="single" w:sz="8" w:space="0" w:color="auto"/>
              <w:right w:val="single" w:sz="8" w:space="0" w:color="auto"/>
            </w:tcBorders>
            <w:shd w:val="clear" w:color="auto" w:fill="FFFF99"/>
          </w:tcPr>
          <w:p w:rsidR="00BF7831" w:rsidRDefault="00BF7831" w:rsidP="00493C82">
            <w:pPr>
              <w:tabs>
                <w:tab w:val="left" w:pos="720"/>
                <w:tab w:val="left" w:pos="1080"/>
              </w:tabs>
              <w:spacing w:after="0" w:line="240" w:lineRule="auto"/>
              <w:rPr>
                <w:rFonts w:ascii="Times New Roman" w:hAnsi="Times New Roman"/>
                <w:color w:val="000080"/>
                <w:sz w:val="20"/>
                <w:szCs w:val="20"/>
              </w:rPr>
            </w:pPr>
            <w:r>
              <w:rPr>
                <w:rFonts w:ascii="Times New Roman" w:hAnsi="Times New Roman"/>
                <w:color w:val="000080"/>
                <w:sz w:val="20"/>
                <w:szCs w:val="20"/>
              </w:rPr>
              <w:t>Baghouse / ACI</w:t>
            </w:r>
          </w:p>
        </w:tc>
      </w:tr>
      <w:tr w:rsidR="00BF7831" w:rsidRPr="00625463" w:rsidTr="00BF7831">
        <w:tblPrEx>
          <w:tblCellMar>
            <w:left w:w="72" w:type="dxa"/>
            <w:right w:w="72" w:type="dxa"/>
          </w:tblCellMar>
        </w:tblPrEx>
        <w:trPr>
          <w:trHeight w:val="262"/>
          <w:jc w:val="center"/>
        </w:trPr>
        <w:tc>
          <w:tcPr>
            <w:tcW w:w="1410" w:type="dxa"/>
            <w:tcBorders>
              <w:top w:val="single" w:sz="8" w:space="0" w:color="auto"/>
              <w:left w:val="single" w:sz="8" w:space="0" w:color="auto"/>
              <w:bottom w:val="single" w:sz="8" w:space="0" w:color="auto"/>
              <w:right w:val="single" w:sz="8" w:space="0" w:color="auto"/>
            </w:tcBorders>
            <w:shd w:val="clear" w:color="auto" w:fill="FFFF99"/>
            <w:vAlign w:val="center"/>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Pr>
                <w:rFonts w:ascii="Times New Roman" w:hAnsi="Times New Roman"/>
                <w:color w:val="000080"/>
                <w:sz w:val="20"/>
                <w:szCs w:val="20"/>
              </w:rPr>
              <w:t>Scherer 2</w:t>
            </w:r>
          </w:p>
        </w:tc>
        <w:tc>
          <w:tcPr>
            <w:tcW w:w="765"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T</w:t>
            </w:r>
          </w:p>
        </w:tc>
        <w:tc>
          <w:tcPr>
            <w:tcW w:w="3510"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 xml:space="preserve">OFA </w:t>
            </w:r>
          </w:p>
        </w:tc>
        <w:tc>
          <w:tcPr>
            <w:tcW w:w="2265"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Pr>
                <w:rFonts w:ascii="Times New Roman" w:hAnsi="Times New Roman"/>
                <w:color w:val="000080"/>
                <w:sz w:val="20"/>
                <w:szCs w:val="20"/>
              </w:rPr>
              <w:t>-</w:t>
            </w:r>
          </w:p>
        </w:tc>
        <w:tc>
          <w:tcPr>
            <w:tcW w:w="2265" w:type="dxa"/>
            <w:tcBorders>
              <w:top w:val="single" w:sz="8" w:space="0" w:color="auto"/>
              <w:left w:val="single" w:sz="8" w:space="0" w:color="auto"/>
              <w:bottom w:val="single" w:sz="8" w:space="0" w:color="auto"/>
              <w:right w:val="single" w:sz="8" w:space="0" w:color="auto"/>
            </w:tcBorders>
            <w:shd w:val="clear" w:color="auto" w:fill="FFFF99"/>
          </w:tcPr>
          <w:p w:rsidR="00BF7831" w:rsidRDefault="00BF7831" w:rsidP="00493C82">
            <w:pPr>
              <w:tabs>
                <w:tab w:val="left" w:pos="720"/>
                <w:tab w:val="left" w:pos="1080"/>
              </w:tabs>
              <w:spacing w:after="0" w:line="240" w:lineRule="auto"/>
              <w:rPr>
                <w:rFonts w:ascii="Times New Roman" w:hAnsi="Times New Roman"/>
                <w:color w:val="000080"/>
                <w:sz w:val="20"/>
                <w:szCs w:val="20"/>
              </w:rPr>
            </w:pPr>
            <w:r>
              <w:rPr>
                <w:rFonts w:ascii="Times New Roman" w:hAnsi="Times New Roman"/>
                <w:color w:val="000080"/>
                <w:sz w:val="20"/>
                <w:szCs w:val="20"/>
              </w:rPr>
              <w:t>Baghouse / ACI</w:t>
            </w:r>
          </w:p>
        </w:tc>
      </w:tr>
      <w:tr w:rsidR="00BF7831" w:rsidRPr="00625463" w:rsidTr="00BF7831">
        <w:tblPrEx>
          <w:tblCellMar>
            <w:left w:w="72" w:type="dxa"/>
            <w:right w:w="72" w:type="dxa"/>
          </w:tblCellMar>
        </w:tblPrEx>
        <w:trPr>
          <w:trHeight w:val="262"/>
          <w:jc w:val="center"/>
        </w:trPr>
        <w:tc>
          <w:tcPr>
            <w:tcW w:w="1410" w:type="dxa"/>
            <w:tcBorders>
              <w:top w:val="single" w:sz="8" w:space="0" w:color="auto"/>
              <w:left w:val="single" w:sz="8" w:space="0" w:color="auto"/>
              <w:bottom w:val="single" w:sz="8" w:space="0" w:color="auto"/>
              <w:right w:val="single" w:sz="8" w:space="0" w:color="auto"/>
            </w:tcBorders>
            <w:shd w:val="clear" w:color="auto" w:fill="FFFF99"/>
            <w:vAlign w:val="center"/>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Pr>
                <w:rFonts w:ascii="Times New Roman" w:hAnsi="Times New Roman"/>
                <w:color w:val="000080"/>
                <w:sz w:val="20"/>
                <w:szCs w:val="20"/>
              </w:rPr>
              <w:t>Scherer 3</w:t>
            </w:r>
          </w:p>
        </w:tc>
        <w:tc>
          <w:tcPr>
            <w:tcW w:w="765"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T</w:t>
            </w:r>
          </w:p>
        </w:tc>
        <w:tc>
          <w:tcPr>
            <w:tcW w:w="3510"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 xml:space="preserve">OFA / SCR </w:t>
            </w:r>
          </w:p>
        </w:tc>
        <w:tc>
          <w:tcPr>
            <w:tcW w:w="2265"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 xml:space="preserve">FGD </w:t>
            </w:r>
          </w:p>
        </w:tc>
        <w:tc>
          <w:tcPr>
            <w:tcW w:w="2265"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Pr>
                <w:rFonts w:ascii="Times New Roman" w:hAnsi="Times New Roman"/>
                <w:color w:val="000080"/>
                <w:sz w:val="20"/>
                <w:szCs w:val="20"/>
              </w:rPr>
              <w:t>Baghouse / ACI</w:t>
            </w:r>
          </w:p>
        </w:tc>
      </w:tr>
      <w:tr w:rsidR="00BF7831" w:rsidRPr="00625463" w:rsidTr="00BF7831">
        <w:tblPrEx>
          <w:tblCellMar>
            <w:left w:w="72" w:type="dxa"/>
            <w:right w:w="72" w:type="dxa"/>
          </w:tblCellMar>
        </w:tblPrEx>
        <w:trPr>
          <w:trHeight w:val="262"/>
          <w:jc w:val="center"/>
        </w:trPr>
        <w:tc>
          <w:tcPr>
            <w:tcW w:w="1410" w:type="dxa"/>
            <w:tcBorders>
              <w:top w:val="single" w:sz="8" w:space="0" w:color="auto"/>
              <w:left w:val="single" w:sz="8" w:space="0" w:color="auto"/>
              <w:bottom w:val="single" w:sz="8" w:space="0" w:color="auto"/>
              <w:right w:val="single" w:sz="8" w:space="0" w:color="auto"/>
            </w:tcBorders>
            <w:shd w:val="clear" w:color="auto" w:fill="FFFFCC"/>
            <w:vAlign w:val="center"/>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Wansley 1</w:t>
            </w:r>
          </w:p>
        </w:tc>
        <w:tc>
          <w:tcPr>
            <w:tcW w:w="765" w:type="dxa"/>
            <w:tcBorders>
              <w:top w:val="single" w:sz="8" w:space="0" w:color="auto"/>
              <w:left w:val="single" w:sz="8" w:space="0" w:color="auto"/>
              <w:bottom w:val="single" w:sz="8" w:space="0" w:color="auto"/>
              <w:right w:val="single" w:sz="8" w:space="0" w:color="auto"/>
            </w:tcBorders>
            <w:shd w:val="clear" w:color="auto" w:fill="FFFFCC"/>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T</w:t>
            </w:r>
          </w:p>
        </w:tc>
        <w:tc>
          <w:tcPr>
            <w:tcW w:w="3510" w:type="dxa"/>
            <w:tcBorders>
              <w:top w:val="single" w:sz="8" w:space="0" w:color="auto"/>
              <w:left w:val="single" w:sz="8" w:space="0" w:color="auto"/>
              <w:bottom w:val="single" w:sz="8" w:space="0" w:color="auto"/>
              <w:right w:val="single" w:sz="8" w:space="0" w:color="auto"/>
            </w:tcBorders>
            <w:shd w:val="clear" w:color="auto" w:fill="FFFFCC"/>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lang w:val="fr-FR"/>
              </w:rPr>
            </w:pPr>
            <w:r w:rsidRPr="00625463">
              <w:rPr>
                <w:rFonts w:ascii="Times New Roman" w:hAnsi="Times New Roman"/>
                <w:color w:val="000080"/>
                <w:sz w:val="20"/>
                <w:szCs w:val="20"/>
                <w:lang w:val="fr-FR"/>
              </w:rPr>
              <w:t>LNCFS II (ABB-CE) / SCR</w:t>
            </w:r>
          </w:p>
        </w:tc>
        <w:tc>
          <w:tcPr>
            <w:tcW w:w="2265" w:type="dxa"/>
            <w:tcBorders>
              <w:top w:val="single" w:sz="8" w:space="0" w:color="auto"/>
              <w:left w:val="single" w:sz="8" w:space="0" w:color="auto"/>
              <w:bottom w:val="single" w:sz="8" w:space="0" w:color="auto"/>
              <w:right w:val="single" w:sz="8" w:space="0" w:color="auto"/>
            </w:tcBorders>
            <w:shd w:val="clear" w:color="auto" w:fill="FFFFCC"/>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FGD</w:t>
            </w:r>
          </w:p>
        </w:tc>
        <w:tc>
          <w:tcPr>
            <w:tcW w:w="2265" w:type="dxa"/>
            <w:tcBorders>
              <w:top w:val="single" w:sz="8" w:space="0" w:color="auto"/>
              <w:left w:val="single" w:sz="8" w:space="0" w:color="auto"/>
              <w:bottom w:val="single" w:sz="8" w:space="0" w:color="auto"/>
              <w:right w:val="single" w:sz="8" w:space="0" w:color="auto"/>
            </w:tcBorders>
            <w:shd w:val="clear" w:color="auto" w:fill="FFFFCC"/>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p>
        </w:tc>
      </w:tr>
      <w:tr w:rsidR="00BF7831" w:rsidRPr="00625463" w:rsidTr="00BF7831">
        <w:tblPrEx>
          <w:tblCellMar>
            <w:left w:w="72" w:type="dxa"/>
            <w:right w:w="72" w:type="dxa"/>
          </w:tblCellMar>
        </w:tblPrEx>
        <w:trPr>
          <w:trHeight w:val="262"/>
          <w:jc w:val="center"/>
        </w:trPr>
        <w:tc>
          <w:tcPr>
            <w:tcW w:w="1410" w:type="dxa"/>
            <w:tcBorders>
              <w:top w:val="single" w:sz="8" w:space="0" w:color="auto"/>
              <w:left w:val="single" w:sz="8" w:space="0" w:color="auto"/>
              <w:bottom w:val="single" w:sz="8" w:space="0" w:color="auto"/>
              <w:right w:val="single" w:sz="8" w:space="0" w:color="auto"/>
            </w:tcBorders>
            <w:shd w:val="clear" w:color="auto" w:fill="FFFFCC"/>
            <w:vAlign w:val="center"/>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Wansley 2</w:t>
            </w:r>
          </w:p>
        </w:tc>
        <w:tc>
          <w:tcPr>
            <w:tcW w:w="765" w:type="dxa"/>
            <w:tcBorders>
              <w:top w:val="single" w:sz="8" w:space="0" w:color="auto"/>
              <w:left w:val="single" w:sz="8" w:space="0" w:color="auto"/>
              <w:bottom w:val="single" w:sz="8" w:space="0" w:color="auto"/>
              <w:right w:val="single" w:sz="8" w:space="0" w:color="auto"/>
            </w:tcBorders>
            <w:shd w:val="clear" w:color="auto" w:fill="FFFFCC"/>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T</w:t>
            </w:r>
          </w:p>
        </w:tc>
        <w:tc>
          <w:tcPr>
            <w:tcW w:w="3510" w:type="dxa"/>
            <w:tcBorders>
              <w:top w:val="single" w:sz="8" w:space="0" w:color="auto"/>
              <w:left w:val="single" w:sz="8" w:space="0" w:color="auto"/>
              <w:bottom w:val="single" w:sz="8" w:space="0" w:color="auto"/>
              <w:right w:val="single" w:sz="8" w:space="0" w:color="auto"/>
            </w:tcBorders>
            <w:shd w:val="clear" w:color="auto" w:fill="FFFFCC"/>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LNCFS II / SCR</w:t>
            </w:r>
          </w:p>
        </w:tc>
        <w:tc>
          <w:tcPr>
            <w:tcW w:w="2265" w:type="dxa"/>
            <w:tcBorders>
              <w:top w:val="single" w:sz="8" w:space="0" w:color="auto"/>
              <w:left w:val="single" w:sz="8" w:space="0" w:color="auto"/>
              <w:bottom w:val="single" w:sz="8" w:space="0" w:color="auto"/>
              <w:right w:val="single" w:sz="8" w:space="0" w:color="auto"/>
            </w:tcBorders>
            <w:shd w:val="clear" w:color="auto" w:fill="FFFFCC"/>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 xml:space="preserve">FGD </w:t>
            </w:r>
          </w:p>
        </w:tc>
        <w:tc>
          <w:tcPr>
            <w:tcW w:w="2265" w:type="dxa"/>
            <w:tcBorders>
              <w:top w:val="single" w:sz="8" w:space="0" w:color="auto"/>
              <w:left w:val="single" w:sz="8" w:space="0" w:color="auto"/>
              <w:bottom w:val="single" w:sz="8" w:space="0" w:color="auto"/>
              <w:right w:val="single" w:sz="8" w:space="0" w:color="auto"/>
            </w:tcBorders>
            <w:shd w:val="clear" w:color="auto" w:fill="FFFFCC"/>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p>
        </w:tc>
      </w:tr>
      <w:tr w:rsidR="00BF7831" w:rsidRPr="00625463" w:rsidTr="00BF7831">
        <w:tblPrEx>
          <w:tblCellMar>
            <w:left w:w="72" w:type="dxa"/>
            <w:right w:w="72" w:type="dxa"/>
          </w:tblCellMar>
        </w:tblPrEx>
        <w:trPr>
          <w:trHeight w:val="262"/>
          <w:jc w:val="center"/>
        </w:trPr>
        <w:tc>
          <w:tcPr>
            <w:tcW w:w="1410" w:type="dxa"/>
            <w:tcBorders>
              <w:top w:val="single" w:sz="8" w:space="0" w:color="auto"/>
              <w:left w:val="single" w:sz="8" w:space="0" w:color="auto"/>
              <w:bottom w:val="single" w:sz="8" w:space="0" w:color="auto"/>
              <w:right w:val="single" w:sz="8" w:space="0" w:color="auto"/>
            </w:tcBorders>
            <w:shd w:val="clear" w:color="auto" w:fill="FFFF99"/>
            <w:vAlign w:val="center"/>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Yates 1</w:t>
            </w:r>
          </w:p>
        </w:tc>
        <w:tc>
          <w:tcPr>
            <w:tcW w:w="765"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T</w:t>
            </w:r>
          </w:p>
        </w:tc>
        <w:tc>
          <w:tcPr>
            <w:tcW w:w="3510"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LNB / Gas Cofire Capability</w:t>
            </w:r>
          </w:p>
        </w:tc>
        <w:tc>
          <w:tcPr>
            <w:tcW w:w="2265"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ind w:right="-72"/>
              <w:rPr>
                <w:rFonts w:ascii="Times New Roman" w:hAnsi="Times New Roman"/>
                <w:color w:val="000080"/>
                <w:sz w:val="20"/>
                <w:szCs w:val="20"/>
              </w:rPr>
            </w:pPr>
            <w:r>
              <w:rPr>
                <w:rFonts w:ascii="Times New Roman" w:hAnsi="Times New Roman"/>
                <w:color w:val="000080"/>
                <w:sz w:val="20"/>
                <w:szCs w:val="20"/>
              </w:rPr>
              <w:t>FGD</w:t>
            </w:r>
          </w:p>
        </w:tc>
        <w:tc>
          <w:tcPr>
            <w:tcW w:w="2265" w:type="dxa"/>
            <w:tcBorders>
              <w:top w:val="single" w:sz="8" w:space="0" w:color="auto"/>
              <w:left w:val="single" w:sz="8" w:space="0" w:color="auto"/>
              <w:bottom w:val="single" w:sz="8" w:space="0" w:color="auto"/>
              <w:right w:val="single" w:sz="8" w:space="0" w:color="auto"/>
            </w:tcBorders>
            <w:shd w:val="clear" w:color="auto" w:fill="FFFF99"/>
          </w:tcPr>
          <w:p w:rsidR="00BF7831" w:rsidRDefault="00BF7831" w:rsidP="00493C82">
            <w:pPr>
              <w:tabs>
                <w:tab w:val="left" w:pos="720"/>
                <w:tab w:val="left" w:pos="1080"/>
              </w:tabs>
              <w:spacing w:after="0" w:line="240" w:lineRule="auto"/>
              <w:ind w:right="-72"/>
              <w:rPr>
                <w:rFonts w:ascii="Times New Roman" w:hAnsi="Times New Roman"/>
                <w:color w:val="000080"/>
                <w:sz w:val="20"/>
                <w:szCs w:val="20"/>
              </w:rPr>
            </w:pPr>
          </w:p>
        </w:tc>
      </w:tr>
      <w:tr w:rsidR="00BF7831" w:rsidRPr="00625463" w:rsidTr="00BF7831">
        <w:tblPrEx>
          <w:tblCellMar>
            <w:left w:w="72" w:type="dxa"/>
            <w:right w:w="72" w:type="dxa"/>
          </w:tblCellMar>
        </w:tblPrEx>
        <w:trPr>
          <w:trHeight w:val="262"/>
          <w:jc w:val="center"/>
        </w:trPr>
        <w:tc>
          <w:tcPr>
            <w:tcW w:w="1410" w:type="dxa"/>
            <w:tcBorders>
              <w:top w:val="single" w:sz="8" w:space="0" w:color="auto"/>
              <w:left w:val="single" w:sz="8" w:space="0" w:color="auto"/>
              <w:bottom w:val="single" w:sz="8" w:space="0" w:color="auto"/>
              <w:right w:val="single" w:sz="8" w:space="0" w:color="auto"/>
            </w:tcBorders>
            <w:shd w:val="clear" w:color="auto" w:fill="FFFF99"/>
            <w:vAlign w:val="center"/>
          </w:tcPr>
          <w:p w:rsidR="00BF7831" w:rsidRPr="00625463" w:rsidRDefault="00BF7831" w:rsidP="00493C82">
            <w:pPr>
              <w:tabs>
                <w:tab w:val="left" w:pos="720"/>
                <w:tab w:val="left" w:pos="1080"/>
              </w:tabs>
              <w:spacing w:after="0" w:line="240" w:lineRule="auto"/>
              <w:ind w:right="-143"/>
              <w:rPr>
                <w:rFonts w:ascii="Times New Roman" w:hAnsi="Times New Roman"/>
                <w:color w:val="000080"/>
                <w:sz w:val="20"/>
                <w:szCs w:val="20"/>
              </w:rPr>
            </w:pPr>
            <w:r w:rsidRPr="00625463">
              <w:rPr>
                <w:rFonts w:ascii="Times New Roman" w:hAnsi="Times New Roman"/>
                <w:color w:val="000080"/>
                <w:sz w:val="20"/>
                <w:szCs w:val="20"/>
              </w:rPr>
              <w:t>Yates 2</w:t>
            </w:r>
          </w:p>
        </w:tc>
        <w:tc>
          <w:tcPr>
            <w:tcW w:w="765"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468"/>
                <w:tab w:val="left" w:pos="720"/>
                <w:tab w:val="left" w:pos="918"/>
              </w:tabs>
              <w:spacing w:after="0" w:line="240" w:lineRule="auto"/>
              <w:ind w:right="-72"/>
              <w:rPr>
                <w:rFonts w:ascii="Times New Roman" w:hAnsi="Times New Roman"/>
                <w:color w:val="000080"/>
                <w:sz w:val="20"/>
                <w:szCs w:val="20"/>
              </w:rPr>
            </w:pPr>
            <w:r w:rsidRPr="00625463">
              <w:rPr>
                <w:rFonts w:ascii="Times New Roman" w:hAnsi="Times New Roman"/>
                <w:color w:val="000080"/>
                <w:sz w:val="20"/>
                <w:szCs w:val="20"/>
              </w:rPr>
              <w:t>T</w:t>
            </w:r>
          </w:p>
        </w:tc>
        <w:tc>
          <w:tcPr>
            <w:tcW w:w="3510"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ind w:right="-143"/>
              <w:rPr>
                <w:rFonts w:ascii="Times New Roman" w:hAnsi="Times New Roman"/>
                <w:color w:val="000080"/>
                <w:sz w:val="20"/>
                <w:szCs w:val="20"/>
              </w:rPr>
            </w:pPr>
            <w:r w:rsidRPr="00667EDB">
              <w:rPr>
                <w:rFonts w:ascii="Times New Roman" w:hAnsi="Times New Roman"/>
                <w:color w:val="000080"/>
                <w:sz w:val="20"/>
                <w:szCs w:val="20"/>
              </w:rPr>
              <w:t>NR / Gas Cofire Capability</w:t>
            </w:r>
          </w:p>
        </w:tc>
        <w:tc>
          <w:tcPr>
            <w:tcW w:w="2265"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ind w:right="-72"/>
              <w:rPr>
                <w:rFonts w:ascii="Times New Roman" w:hAnsi="Times New Roman"/>
                <w:color w:val="000080"/>
                <w:sz w:val="20"/>
                <w:szCs w:val="20"/>
              </w:rPr>
            </w:pPr>
            <w:r>
              <w:rPr>
                <w:rFonts w:ascii="Times New Roman" w:hAnsi="Times New Roman"/>
                <w:color w:val="000080"/>
                <w:sz w:val="20"/>
                <w:szCs w:val="20"/>
              </w:rPr>
              <w:t>-</w:t>
            </w:r>
          </w:p>
        </w:tc>
        <w:tc>
          <w:tcPr>
            <w:tcW w:w="2265" w:type="dxa"/>
            <w:tcBorders>
              <w:top w:val="single" w:sz="8" w:space="0" w:color="auto"/>
              <w:left w:val="single" w:sz="8" w:space="0" w:color="auto"/>
              <w:bottom w:val="single" w:sz="8" w:space="0" w:color="auto"/>
              <w:right w:val="single" w:sz="8" w:space="0" w:color="auto"/>
            </w:tcBorders>
            <w:shd w:val="clear" w:color="auto" w:fill="FFFF99"/>
          </w:tcPr>
          <w:p w:rsidR="00BF7831" w:rsidRDefault="00BF7831" w:rsidP="00493C82">
            <w:pPr>
              <w:tabs>
                <w:tab w:val="left" w:pos="720"/>
                <w:tab w:val="left" w:pos="1080"/>
              </w:tabs>
              <w:spacing w:after="0" w:line="240" w:lineRule="auto"/>
              <w:ind w:right="-72"/>
              <w:rPr>
                <w:rFonts w:ascii="Times New Roman" w:hAnsi="Times New Roman"/>
                <w:color w:val="000080"/>
                <w:sz w:val="20"/>
                <w:szCs w:val="20"/>
              </w:rPr>
            </w:pPr>
          </w:p>
        </w:tc>
      </w:tr>
      <w:tr w:rsidR="00BF7831" w:rsidRPr="00625463" w:rsidTr="00BF7831">
        <w:tblPrEx>
          <w:tblCellMar>
            <w:left w:w="72" w:type="dxa"/>
            <w:right w:w="72" w:type="dxa"/>
          </w:tblCellMar>
        </w:tblPrEx>
        <w:trPr>
          <w:trHeight w:val="248"/>
          <w:jc w:val="center"/>
        </w:trPr>
        <w:tc>
          <w:tcPr>
            <w:tcW w:w="1410" w:type="dxa"/>
            <w:tcBorders>
              <w:top w:val="single" w:sz="8" w:space="0" w:color="auto"/>
              <w:left w:val="single" w:sz="8" w:space="0" w:color="auto"/>
              <w:bottom w:val="single" w:sz="8" w:space="0" w:color="auto"/>
              <w:right w:val="single" w:sz="8" w:space="0" w:color="auto"/>
            </w:tcBorders>
            <w:shd w:val="clear" w:color="auto" w:fill="FFFF99"/>
            <w:vAlign w:val="center"/>
          </w:tcPr>
          <w:p w:rsidR="00BF7831" w:rsidRPr="00625463" w:rsidRDefault="00BF7831" w:rsidP="00493C82">
            <w:pPr>
              <w:tabs>
                <w:tab w:val="left" w:pos="720"/>
                <w:tab w:val="left" w:pos="1080"/>
              </w:tabs>
              <w:spacing w:after="0" w:line="240" w:lineRule="auto"/>
              <w:ind w:right="-143"/>
              <w:rPr>
                <w:rFonts w:ascii="Times New Roman" w:hAnsi="Times New Roman"/>
                <w:color w:val="000080"/>
                <w:sz w:val="20"/>
                <w:szCs w:val="20"/>
              </w:rPr>
            </w:pPr>
            <w:r w:rsidRPr="00625463">
              <w:rPr>
                <w:rFonts w:ascii="Times New Roman" w:hAnsi="Times New Roman"/>
                <w:color w:val="000080"/>
                <w:sz w:val="20"/>
                <w:szCs w:val="20"/>
              </w:rPr>
              <w:t>Yates 3</w:t>
            </w:r>
          </w:p>
        </w:tc>
        <w:tc>
          <w:tcPr>
            <w:tcW w:w="765"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468"/>
                <w:tab w:val="left" w:pos="720"/>
                <w:tab w:val="left" w:pos="918"/>
                <w:tab w:val="left" w:pos="1080"/>
              </w:tabs>
              <w:spacing w:after="0" w:line="240" w:lineRule="auto"/>
              <w:ind w:right="-72"/>
              <w:rPr>
                <w:rFonts w:ascii="Times New Roman" w:hAnsi="Times New Roman"/>
                <w:color w:val="000080"/>
                <w:sz w:val="20"/>
                <w:szCs w:val="20"/>
              </w:rPr>
            </w:pPr>
            <w:r w:rsidRPr="00625463">
              <w:rPr>
                <w:rFonts w:ascii="Times New Roman" w:hAnsi="Times New Roman"/>
                <w:color w:val="000080"/>
                <w:sz w:val="20"/>
                <w:szCs w:val="20"/>
              </w:rPr>
              <w:t>T</w:t>
            </w:r>
          </w:p>
        </w:tc>
        <w:tc>
          <w:tcPr>
            <w:tcW w:w="3510"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ind w:right="-143"/>
              <w:rPr>
                <w:rFonts w:ascii="Times New Roman" w:hAnsi="Times New Roman"/>
                <w:color w:val="000080"/>
                <w:sz w:val="20"/>
                <w:szCs w:val="20"/>
              </w:rPr>
            </w:pPr>
            <w:r w:rsidRPr="00667EDB">
              <w:rPr>
                <w:rFonts w:ascii="Times New Roman" w:hAnsi="Times New Roman"/>
                <w:color w:val="000080"/>
                <w:sz w:val="20"/>
                <w:szCs w:val="20"/>
              </w:rPr>
              <w:t>NR / Gas Cofire Capability</w:t>
            </w:r>
          </w:p>
        </w:tc>
        <w:tc>
          <w:tcPr>
            <w:tcW w:w="2265"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ind w:right="-72"/>
              <w:rPr>
                <w:rFonts w:ascii="Times New Roman" w:hAnsi="Times New Roman"/>
                <w:color w:val="000080"/>
                <w:sz w:val="20"/>
                <w:szCs w:val="20"/>
              </w:rPr>
            </w:pPr>
            <w:r>
              <w:rPr>
                <w:rFonts w:ascii="Times New Roman" w:hAnsi="Times New Roman"/>
                <w:color w:val="000080"/>
                <w:sz w:val="20"/>
                <w:szCs w:val="20"/>
              </w:rPr>
              <w:t>-</w:t>
            </w:r>
          </w:p>
        </w:tc>
        <w:tc>
          <w:tcPr>
            <w:tcW w:w="2265" w:type="dxa"/>
            <w:tcBorders>
              <w:top w:val="single" w:sz="8" w:space="0" w:color="auto"/>
              <w:left w:val="single" w:sz="8" w:space="0" w:color="auto"/>
              <w:bottom w:val="single" w:sz="8" w:space="0" w:color="auto"/>
              <w:right w:val="single" w:sz="8" w:space="0" w:color="auto"/>
            </w:tcBorders>
            <w:shd w:val="clear" w:color="auto" w:fill="FFFF99"/>
          </w:tcPr>
          <w:p w:rsidR="00BF7831" w:rsidRDefault="00BF7831" w:rsidP="00493C82">
            <w:pPr>
              <w:tabs>
                <w:tab w:val="left" w:pos="720"/>
                <w:tab w:val="left" w:pos="1080"/>
              </w:tabs>
              <w:spacing w:after="0" w:line="240" w:lineRule="auto"/>
              <w:ind w:right="-72"/>
              <w:rPr>
                <w:rFonts w:ascii="Times New Roman" w:hAnsi="Times New Roman"/>
                <w:color w:val="000080"/>
                <w:sz w:val="20"/>
                <w:szCs w:val="20"/>
              </w:rPr>
            </w:pPr>
          </w:p>
        </w:tc>
      </w:tr>
      <w:tr w:rsidR="00BF7831" w:rsidRPr="00625463" w:rsidTr="00BF7831">
        <w:tblPrEx>
          <w:tblCellMar>
            <w:left w:w="72" w:type="dxa"/>
            <w:right w:w="72" w:type="dxa"/>
          </w:tblCellMar>
        </w:tblPrEx>
        <w:trPr>
          <w:trHeight w:val="352"/>
          <w:jc w:val="center"/>
        </w:trPr>
        <w:tc>
          <w:tcPr>
            <w:tcW w:w="1410" w:type="dxa"/>
            <w:tcBorders>
              <w:top w:val="single" w:sz="8" w:space="0" w:color="auto"/>
              <w:left w:val="single" w:sz="8" w:space="0" w:color="auto"/>
              <w:bottom w:val="single" w:sz="8" w:space="0" w:color="auto"/>
              <w:right w:val="single" w:sz="8" w:space="0" w:color="auto"/>
            </w:tcBorders>
            <w:shd w:val="clear" w:color="auto" w:fill="FFFF99"/>
            <w:vAlign w:val="center"/>
          </w:tcPr>
          <w:p w:rsidR="00BF7831" w:rsidRPr="00625463" w:rsidRDefault="00BF7831" w:rsidP="00493C82">
            <w:pPr>
              <w:tabs>
                <w:tab w:val="left" w:pos="720"/>
                <w:tab w:val="left" w:pos="1080"/>
              </w:tabs>
              <w:spacing w:after="0" w:line="240" w:lineRule="auto"/>
              <w:ind w:right="-143"/>
              <w:rPr>
                <w:rFonts w:ascii="Times New Roman" w:hAnsi="Times New Roman"/>
                <w:color w:val="000080"/>
                <w:sz w:val="20"/>
                <w:szCs w:val="20"/>
              </w:rPr>
            </w:pPr>
            <w:r w:rsidRPr="00625463">
              <w:rPr>
                <w:rFonts w:ascii="Times New Roman" w:hAnsi="Times New Roman"/>
                <w:color w:val="000080"/>
                <w:sz w:val="20"/>
                <w:szCs w:val="20"/>
              </w:rPr>
              <w:t>Yates 4</w:t>
            </w:r>
          </w:p>
        </w:tc>
        <w:tc>
          <w:tcPr>
            <w:tcW w:w="765"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468"/>
                <w:tab w:val="left" w:pos="720"/>
                <w:tab w:val="left" w:pos="918"/>
                <w:tab w:val="left" w:pos="1080"/>
              </w:tabs>
              <w:spacing w:after="0" w:line="240" w:lineRule="auto"/>
              <w:ind w:right="-72"/>
              <w:rPr>
                <w:rFonts w:ascii="Times New Roman" w:hAnsi="Times New Roman"/>
                <w:color w:val="000080"/>
                <w:sz w:val="20"/>
                <w:szCs w:val="20"/>
              </w:rPr>
            </w:pPr>
            <w:r w:rsidRPr="00625463">
              <w:rPr>
                <w:rFonts w:ascii="Times New Roman" w:hAnsi="Times New Roman"/>
                <w:color w:val="000080"/>
                <w:sz w:val="20"/>
                <w:szCs w:val="20"/>
              </w:rPr>
              <w:t>T</w:t>
            </w:r>
          </w:p>
        </w:tc>
        <w:tc>
          <w:tcPr>
            <w:tcW w:w="3510"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ind w:right="-143"/>
              <w:rPr>
                <w:rFonts w:ascii="Times New Roman" w:hAnsi="Times New Roman"/>
                <w:color w:val="000080"/>
                <w:sz w:val="20"/>
                <w:szCs w:val="20"/>
              </w:rPr>
            </w:pPr>
            <w:r w:rsidRPr="00625463">
              <w:rPr>
                <w:rFonts w:ascii="Times New Roman" w:hAnsi="Times New Roman"/>
                <w:color w:val="000080"/>
                <w:sz w:val="20"/>
                <w:szCs w:val="20"/>
              </w:rPr>
              <w:t>FAN / CCOFA (ICL) / Gas Cofire Capability</w:t>
            </w:r>
          </w:p>
        </w:tc>
        <w:tc>
          <w:tcPr>
            <w:tcW w:w="2265"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ind w:right="-72"/>
              <w:rPr>
                <w:rFonts w:ascii="Times New Roman" w:hAnsi="Times New Roman"/>
                <w:color w:val="000080"/>
                <w:sz w:val="20"/>
                <w:szCs w:val="20"/>
              </w:rPr>
            </w:pPr>
            <w:r>
              <w:rPr>
                <w:rFonts w:ascii="Times New Roman" w:hAnsi="Times New Roman"/>
                <w:color w:val="000080"/>
                <w:sz w:val="20"/>
                <w:szCs w:val="20"/>
              </w:rPr>
              <w:t>-</w:t>
            </w:r>
          </w:p>
        </w:tc>
        <w:tc>
          <w:tcPr>
            <w:tcW w:w="2265" w:type="dxa"/>
            <w:tcBorders>
              <w:top w:val="single" w:sz="8" w:space="0" w:color="auto"/>
              <w:left w:val="single" w:sz="8" w:space="0" w:color="auto"/>
              <w:bottom w:val="single" w:sz="8" w:space="0" w:color="auto"/>
              <w:right w:val="single" w:sz="8" w:space="0" w:color="auto"/>
            </w:tcBorders>
            <w:shd w:val="clear" w:color="auto" w:fill="FFFF99"/>
          </w:tcPr>
          <w:p w:rsidR="00BF7831" w:rsidRDefault="00BF7831" w:rsidP="00493C82">
            <w:pPr>
              <w:tabs>
                <w:tab w:val="left" w:pos="720"/>
                <w:tab w:val="left" w:pos="1080"/>
              </w:tabs>
              <w:spacing w:after="0" w:line="240" w:lineRule="auto"/>
              <w:ind w:right="-72"/>
              <w:rPr>
                <w:rFonts w:ascii="Times New Roman" w:hAnsi="Times New Roman"/>
                <w:color w:val="000080"/>
                <w:sz w:val="20"/>
                <w:szCs w:val="20"/>
              </w:rPr>
            </w:pPr>
          </w:p>
        </w:tc>
      </w:tr>
      <w:tr w:rsidR="00BF7831" w:rsidRPr="00625463" w:rsidTr="00BF7831">
        <w:tblPrEx>
          <w:tblCellMar>
            <w:left w:w="72" w:type="dxa"/>
            <w:right w:w="72" w:type="dxa"/>
          </w:tblCellMar>
        </w:tblPrEx>
        <w:trPr>
          <w:trHeight w:val="334"/>
          <w:jc w:val="center"/>
        </w:trPr>
        <w:tc>
          <w:tcPr>
            <w:tcW w:w="1410" w:type="dxa"/>
            <w:tcBorders>
              <w:top w:val="single" w:sz="8" w:space="0" w:color="auto"/>
              <w:left w:val="single" w:sz="8" w:space="0" w:color="auto"/>
              <w:bottom w:val="single" w:sz="8" w:space="0" w:color="auto"/>
              <w:right w:val="single" w:sz="8" w:space="0" w:color="auto"/>
            </w:tcBorders>
            <w:shd w:val="clear" w:color="auto" w:fill="FFFF99"/>
            <w:vAlign w:val="center"/>
          </w:tcPr>
          <w:p w:rsidR="00BF7831" w:rsidRPr="00625463" w:rsidRDefault="00BF7831" w:rsidP="00493C82">
            <w:pPr>
              <w:tabs>
                <w:tab w:val="left" w:pos="720"/>
                <w:tab w:val="left" w:pos="1080"/>
              </w:tabs>
              <w:spacing w:after="0" w:line="240" w:lineRule="auto"/>
              <w:ind w:right="-143"/>
              <w:rPr>
                <w:rFonts w:ascii="Times New Roman" w:hAnsi="Times New Roman"/>
                <w:color w:val="000080"/>
                <w:sz w:val="20"/>
                <w:szCs w:val="20"/>
              </w:rPr>
            </w:pPr>
            <w:r w:rsidRPr="00625463">
              <w:rPr>
                <w:rFonts w:ascii="Times New Roman" w:hAnsi="Times New Roman"/>
                <w:color w:val="000080"/>
                <w:sz w:val="20"/>
                <w:szCs w:val="20"/>
              </w:rPr>
              <w:t>Yates 5</w:t>
            </w:r>
          </w:p>
        </w:tc>
        <w:tc>
          <w:tcPr>
            <w:tcW w:w="765"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468"/>
                <w:tab w:val="left" w:pos="720"/>
                <w:tab w:val="left" w:pos="918"/>
                <w:tab w:val="left" w:pos="1080"/>
              </w:tabs>
              <w:spacing w:after="0" w:line="240" w:lineRule="auto"/>
              <w:ind w:right="-72"/>
              <w:rPr>
                <w:rFonts w:ascii="Times New Roman" w:hAnsi="Times New Roman"/>
                <w:color w:val="000080"/>
                <w:sz w:val="20"/>
                <w:szCs w:val="20"/>
              </w:rPr>
            </w:pPr>
            <w:r w:rsidRPr="00625463">
              <w:rPr>
                <w:rFonts w:ascii="Times New Roman" w:hAnsi="Times New Roman"/>
                <w:color w:val="000080"/>
                <w:sz w:val="20"/>
                <w:szCs w:val="20"/>
              </w:rPr>
              <w:t>T</w:t>
            </w:r>
          </w:p>
        </w:tc>
        <w:tc>
          <w:tcPr>
            <w:tcW w:w="3510"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ind w:right="-143"/>
              <w:rPr>
                <w:rFonts w:ascii="Times New Roman" w:hAnsi="Times New Roman"/>
                <w:color w:val="000080"/>
                <w:sz w:val="20"/>
                <w:szCs w:val="20"/>
              </w:rPr>
            </w:pPr>
            <w:r w:rsidRPr="00625463">
              <w:rPr>
                <w:rFonts w:ascii="Times New Roman" w:hAnsi="Times New Roman"/>
                <w:color w:val="000080"/>
                <w:sz w:val="20"/>
                <w:szCs w:val="20"/>
              </w:rPr>
              <w:t>FAN / CCOFA (ICL) / Gas Cofire Capability</w:t>
            </w:r>
          </w:p>
        </w:tc>
        <w:tc>
          <w:tcPr>
            <w:tcW w:w="2265"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ind w:right="-72"/>
              <w:rPr>
                <w:rFonts w:ascii="Times New Roman" w:hAnsi="Times New Roman"/>
                <w:color w:val="000080"/>
                <w:sz w:val="20"/>
                <w:szCs w:val="20"/>
              </w:rPr>
            </w:pPr>
            <w:r>
              <w:rPr>
                <w:rFonts w:ascii="Times New Roman" w:hAnsi="Times New Roman"/>
                <w:color w:val="000080"/>
                <w:sz w:val="20"/>
                <w:szCs w:val="20"/>
              </w:rPr>
              <w:t>-</w:t>
            </w:r>
          </w:p>
        </w:tc>
        <w:tc>
          <w:tcPr>
            <w:tcW w:w="2265" w:type="dxa"/>
            <w:tcBorders>
              <w:top w:val="single" w:sz="8" w:space="0" w:color="auto"/>
              <w:left w:val="single" w:sz="8" w:space="0" w:color="auto"/>
              <w:bottom w:val="single" w:sz="8" w:space="0" w:color="auto"/>
              <w:right w:val="single" w:sz="8" w:space="0" w:color="auto"/>
            </w:tcBorders>
            <w:shd w:val="clear" w:color="auto" w:fill="FFFF99"/>
          </w:tcPr>
          <w:p w:rsidR="00BF7831" w:rsidRDefault="00BF7831" w:rsidP="00493C82">
            <w:pPr>
              <w:tabs>
                <w:tab w:val="left" w:pos="720"/>
                <w:tab w:val="left" w:pos="1080"/>
              </w:tabs>
              <w:spacing w:after="0" w:line="240" w:lineRule="auto"/>
              <w:ind w:right="-72"/>
              <w:rPr>
                <w:rFonts w:ascii="Times New Roman" w:hAnsi="Times New Roman"/>
                <w:color w:val="000080"/>
                <w:sz w:val="20"/>
                <w:szCs w:val="20"/>
              </w:rPr>
            </w:pPr>
          </w:p>
        </w:tc>
      </w:tr>
      <w:tr w:rsidR="00BF7831" w:rsidRPr="00625463" w:rsidTr="00BF7831">
        <w:tblPrEx>
          <w:tblCellMar>
            <w:left w:w="72" w:type="dxa"/>
            <w:right w:w="72" w:type="dxa"/>
          </w:tblCellMar>
        </w:tblPrEx>
        <w:trPr>
          <w:trHeight w:val="405"/>
          <w:jc w:val="center"/>
        </w:trPr>
        <w:tc>
          <w:tcPr>
            <w:tcW w:w="1410" w:type="dxa"/>
            <w:tcBorders>
              <w:top w:val="single" w:sz="8" w:space="0" w:color="auto"/>
              <w:left w:val="single" w:sz="8" w:space="0" w:color="auto"/>
              <w:bottom w:val="single" w:sz="8" w:space="0" w:color="auto"/>
              <w:right w:val="single" w:sz="8" w:space="0" w:color="auto"/>
            </w:tcBorders>
            <w:shd w:val="clear" w:color="auto" w:fill="FFFF99"/>
            <w:vAlign w:val="center"/>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Yates 6</w:t>
            </w:r>
          </w:p>
        </w:tc>
        <w:tc>
          <w:tcPr>
            <w:tcW w:w="765"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ind w:right="-72"/>
              <w:rPr>
                <w:rFonts w:ascii="Times New Roman" w:hAnsi="Times New Roman"/>
                <w:color w:val="000080"/>
                <w:sz w:val="20"/>
                <w:szCs w:val="20"/>
              </w:rPr>
            </w:pPr>
            <w:r w:rsidRPr="00625463">
              <w:rPr>
                <w:rFonts w:ascii="Times New Roman" w:hAnsi="Times New Roman"/>
                <w:color w:val="000080"/>
                <w:sz w:val="20"/>
                <w:szCs w:val="20"/>
              </w:rPr>
              <w:t>T</w:t>
            </w:r>
          </w:p>
        </w:tc>
        <w:tc>
          <w:tcPr>
            <w:tcW w:w="3510"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LNCFS II (ICL) / Gas Cofire Capability</w:t>
            </w:r>
          </w:p>
        </w:tc>
        <w:tc>
          <w:tcPr>
            <w:tcW w:w="2265"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ind w:right="-72"/>
              <w:rPr>
                <w:rFonts w:ascii="Times New Roman" w:hAnsi="Times New Roman"/>
                <w:color w:val="000080"/>
                <w:sz w:val="20"/>
                <w:szCs w:val="20"/>
              </w:rPr>
            </w:pPr>
            <w:r>
              <w:rPr>
                <w:rFonts w:ascii="Times New Roman" w:hAnsi="Times New Roman"/>
                <w:color w:val="000080"/>
                <w:sz w:val="20"/>
                <w:szCs w:val="20"/>
              </w:rPr>
              <w:t>-</w:t>
            </w:r>
          </w:p>
        </w:tc>
        <w:tc>
          <w:tcPr>
            <w:tcW w:w="2265" w:type="dxa"/>
            <w:tcBorders>
              <w:top w:val="single" w:sz="8" w:space="0" w:color="auto"/>
              <w:left w:val="single" w:sz="8" w:space="0" w:color="auto"/>
              <w:bottom w:val="single" w:sz="8" w:space="0" w:color="auto"/>
              <w:right w:val="single" w:sz="8" w:space="0" w:color="auto"/>
            </w:tcBorders>
            <w:shd w:val="clear" w:color="auto" w:fill="FFFF99"/>
          </w:tcPr>
          <w:p w:rsidR="00BF7831" w:rsidRDefault="00BF7831" w:rsidP="00493C82">
            <w:pPr>
              <w:tabs>
                <w:tab w:val="left" w:pos="720"/>
                <w:tab w:val="left" w:pos="1080"/>
              </w:tabs>
              <w:spacing w:after="0" w:line="240" w:lineRule="auto"/>
              <w:ind w:right="-72"/>
              <w:rPr>
                <w:rFonts w:ascii="Times New Roman" w:hAnsi="Times New Roman"/>
                <w:color w:val="000080"/>
                <w:sz w:val="20"/>
                <w:szCs w:val="20"/>
              </w:rPr>
            </w:pPr>
          </w:p>
        </w:tc>
      </w:tr>
      <w:tr w:rsidR="00BF7831" w:rsidRPr="00625463" w:rsidTr="00BF7831">
        <w:tblPrEx>
          <w:tblCellMar>
            <w:left w:w="72" w:type="dxa"/>
            <w:right w:w="72" w:type="dxa"/>
          </w:tblCellMar>
        </w:tblPrEx>
        <w:trPr>
          <w:trHeight w:val="316"/>
          <w:jc w:val="center"/>
        </w:trPr>
        <w:tc>
          <w:tcPr>
            <w:tcW w:w="1410" w:type="dxa"/>
            <w:tcBorders>
              <w:top w:val="single" w:sz="8" w:space="0" w:color="auto"/>
              <w:left w:val="single" w:sz="8" w:space="0" w:color="auto"/>
              <w:bottom w:val="single" w:sz="8" w:space="0" w:color="auto"/>
              <w:right w:val="single" w:sz="8" w:space="0" w:color="auto"/>
            </w:tcBorders>
            <w:shd w:val="clear" w:color="auto" w:fill="FFFF99"/>
            <w:vAlign w:val="center"/>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Yates 7</w:t>
            </w:r>
          </w:p>
        </w:tc>
        <w:tc>
          <w:tcPr>
            <w:tcW w:w="765"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ind w:right="-72"/>
              <w:rPr>
                <w:rFonts w:ascii="Times New Roman" w:hAnsi="Times New Roman"/>
                <w:color w:val="000080"/>
                <w:sz w:val="20"/>
                <w:szCs w:val="20"/>
              </w:rPr>
            </w:pPr>
            <w:r w:rsidRPr="00625463">
              <w:rPr>
                <w:rFonts w:ascii="Times New Roman" w:hAnsi="Times New Roman"/>
                <w:color w:val="000080"/>
                <w:sz w:val="20"/>
                <w:szCs w:val="20"/>
              </w:rPr>
              <w:t>T</w:t>
            </w:r>
          </w:p>
        </w:tc>
        <w:tc>
          <w:tcPr>
            <w:tcW w:w="3510"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rPr>
                <w:rFonts w:ascii="Times New Roman" w:hAnsi="Times New Roman"/>
                <w:color w:val="000080"/>
                <w:sz w:val="20"/>
                <w:szCs w:val="20"/>
              </w:rPr>
            </w:pPr>
            <w:r w:rsidRPr="00625463">
              <w:rPr>
                <w:rFonts w:ascii="Times New Roman" w:hAnsi="Times New Roman"/>
                <w:color w:val="000080"/>
                <w:sz w:val="20"/>
                <w:szCs w:val="20"/>
              </w:rPr>
              <w:t>FAN / SOFA (ICL) / Gas Cofire Capability</w:t>
            </w:r>
          </w:p>
        </w:tc>
        <w:tc>
          <w:tcPr>
            <w:tcW w:w="2265" w:type="dxa"/>
            <w:tcBorders>
              <w:top w:val="single" w:sz="8" w:space="0" w:color="auto"/>
              <w:left w:val="single" w:sz="8" w:space="0" w:color="auto"/>
              <w:bottom w:val="single" w:sz="8" w:space="0" w:color="auto"/>
              <w:right w:val="single" w:sz="8" w:space="0" w:color="auto"/>
            </w:tcBorders>
            <w:shd w:val="clear" w:color="auto" w:fill="FFFF99"/>
          </w:tcPr>
          <w:p w:rsidR="00BF7831" w:rsidRPr="00625463" w:rsidRDefault="00BF7831" w:rsidP="00493C82">
            <w:pPr>
              <w:tabs>
                <w:tab w:val="left" w:pos="720"/>
                <w:tab w:val="left" w:pos="1080"/>
              </w:tabs>
              <w:spacing w:after="0" w:line="240" w:lineRule="auto"/>
              <w:ind w:right="-72"/>
              <w:rPr>
                <w:rFonts w:ascii="Times New Roman" w:hAnsi="Times New Roman"/>
                <w:color w:val="000080"/>
                <w:sz w:val="20"/>
                <w:szCs w:val="20"/>
              </w:rPr>
            </w:pPr>
            <w:r>
              <w:rPr>
                <w:rFonts w:ascii="Times New Roman" w:hAnsi="Times New Roman"/>
                <w:color w:val="000080"/>
                <w:sz w:val="20"/>
                <w:szCs w:val="20"/>
              </w:rPr>
              <w:t>-</w:t>
            </w:r>
          </w:p>
        </w:tc>
        <w:tc>
          <w:tcPr>
            <w:tcW w:w="2265" w:type="dxa"/>
            <w:tcBorders>
              <w:top w:val="single" w:sz="8" w:space="0" w:color="auto"/>
              <w:left w:val="single" w:sz="8" w:space="0" w:color="auto"/>
              <w:bottom w:val="single" w:sz="8" w:space="0" w:color="auto"/>
              <w:right w:val="single" w:sz="8" w:space="0" w:color="auto"/>
            </w:tcBorders>
            <w:shd w:val="clear" w:color="auto" w:fill="FFFF99"/>
          </w:tcPr>
          <w:p w:rsidR="00BF7831" w:rsidRDefault="00BF7831" w:rsidP="00493C82">
            <w:pPr>
              <w:tabs>
                <w:tab w:val="left" w:pos="720"/>
                <w:tab w:val="left" w:pos="1080"/>
              </w:tabs>
              <w:spacing w:after="0" w:line="240" w:lineRule="auto"/>
              <w:ind w:right="-72"/>
              <w:rPr>
                <w:rFonts w:ascii="Times New Roman" w:hAnsi="Times New Roman"/>
                <w:color w:val="000080"/>
                <w:sz w:val="20"/>
                <w:szCs w:val="20"/>
              </w:rPr>
            </w:pPr>
          </w:p>
        </w:tc>
      </w:tr>
    </w:tbl>
    <w:p w:rsidR="000767A6" w:rsidRPr="00625463" w:rsidRDefault="000767A6" w:rsidP="000767A6">
      <w:pPr>
        <w:tabs>
          <w:tab w:val="left" w:pos="720"/>
          <w:tab w:val="left" w:pos="1428"/>
          <w:tab w:val="left" w:pos="4716"/>
          <w:tab w:val="left" w:pos="4896"/>
          <w:tab w:val="left" w:pos="6718"/>
        </w:tabs>
        <w:suppressAutoHyphens/>
        <w:spacing w:after="0" w:line="240" w:lineRule="auto"/>
        <w:rPr>
          <w:rFonts w:ascii="Times New Roman" w:hAnsi="Times New Roman"/>
          <w:color w:val="000080"/>
          <w:sz w:val="16"/>
          <w:szCs w:val="16"/>
        </w:rPr>
      </w:pPr>
      <w:r w:rsidRPr="00ED7E20">
        <w:rPr>
          <w:rFonts w:ascii="Arial" w:hAnsi="Arial"/>
          <w:color w:val="000080"/>
          <w:sz w:val="20"/>
          <w:szCs w:val="20"/>
        </w:rPr>
        <w:tab/>
      </w:r>
      <w:r w:rsidRPr="00625463">
        <w:rPr>
          <w:rFonts w:ascii="Times New Roman" w:hAnsi="Times New Roman"/>
          <w:color w:val="000080"/>
          <w:sz w:val="16"/>
          <w:szCs w:val="16"/>
        </w:rPr>
        <w:t xml:space="preserve">Legend:  T – tangentially fired, W – wall fired, C – cell burner.  </w:t>
      </w:r>
    </w:p>
    <w:p w:rsidR="000767A6" w:rsidRDefault="000767A6" w:rsidP="000767A6">
      <w:pPr>
        <w:keepNext/>
        <w:autoSpaceDE w:val="0"/>
        <w:autoSpaceDN w:val="0"/>
        <w:adjustRightInd w:val="0"/>
        <w:spacing w:after="0" w:line="240" w:lineRule="auto"/>
        <w:rPr>
          <w:rFonts w:ascii="Times New Roman" w:hAnsi="Times New Roman"/>
          <w:b/>
          <w:bCs/>
          <w:color w:val="000080"/>
          <w:sz w:val="24"/>
          <w:szCs w:val="24"/>
        </w:rPr>
      </w:pPr>
    </w:p>
    <w:p w:rsidR="00752263" w:rsidRDefault="00752263" w:rsidP="00752263">
      <w:pPr>
        <w:spacing w:after="0" w:line="240" w:lineRule="auto"/>
        <w:rPr>
          <w:rFonts w:ascii="Times New Roman" w:hAnsi="Times New Roman"/>
          <w:b/>
          <w:bCs/>
          <w:color w:val="000080"/>
          <w:sz w:val="24"/>
          <w:szCs w:val="24"/>
        </w:rPr>
      </w:pPr>
      <w:r w:rsidRPr="00ED7E20">
        <w:rPr>
          <w:rFonts w:ascii="Times New Roman" w:hAnsi="Times New Roman"/>
          <w:sz w:val="24"/>
          <w:szCs w:val="24"/>
        </w:rPr>
        <w:t xml:space="preserve">The discussion below </w:t>
      </w:r>
      <w:r>
        <w:rPr>
          <w:rFonts w:ascii="Times New Roman" w:hAnsi="Times New Roman"/>
          <w:sz w:val="24"/>
          <w:szCs w:val="24"/>
        </w:rPr>
        <w:t xml:space="preserve">details </w:t>
      </w:r>
      <w:r w:rsidRPr="00ED7E20">
        <w:rPr>
          <w:rFonts w:ascii="Times New Roman" w:hAnsi="Times New Roman"/>
          <w:sz w:val="24"/>
          <w:szCs w:val="24"/>
        </w:rPr>
        <w:t>G</w:t>
      </w:r>
      <w:r w:rsidR="0065317A">
        <w:rPr>
          <w:rFonts w:ascii="Times New Roman" w:hAnsi="Times New Roman"/>
          <w:sz w:val="24"/>
          <w:szCs w:val="24"/>
        </w:rPr>
        <w:t>eorgia Power</w:t>
      </w:r>
      <w:r w:rsidRPr="00ED7E20">
        <w:rPr>
          <w:rFonts w:ascii="Times New Roman" w:hAnsi="Times New Roman"/>
          <w:sz w:val="24"/>
          <w:szCs w:val="24"/>
        </w:rPr>
        <w:t xml:space="preserve">’s </w:t>
      </w:r>
      <w:r>
        <w:rPr>
          <w:rFonts w:ascii="Times New Roman" w:hAnsi="Times New Roman"/>
          <w:sz w:val="24"/>
          <w:szCs w:val="24"/>
        </w:rPr>
        <w:t>compliance strategy as it relates to each regulatory requirement.</w:t>
      </w:r>
      <w:r w:rsidRPr="00ED7E20">
        <w:rPr>
          <w:rFonts w:ascii="Times New Roman" w:hAnsi="Times New Roman"/>
          <w:sz w:val="24"/>
          <w:szCs w:val="24"/>
        </w:rPr>
        <w:t xml:space="preserve"> </w:t>
      </w:r>
    </w:p>
    <w:p w:rsidR="00752263" w:rsidRDefault="00752263" w:rsidP="00752263">
      <w:pPr>
        <w:spacing w:after="0" w:line="240" w:lineRule="auto"/>
        <w:outlineLvl w:val="2"/>
        <w:rPr>
          <w:rFonts w:ascii="Times New Roman" w:hAnsi="Times New Roman"/>
          <w:b/>
          <w:bCs/>
          <w:color w:val="000080"/>
          <w:sz w:val="24"/>
          <w:szCs w:val="24"/>
        </w:rPr>
      </w:pPr>
    </w:p>
    <w:p w:rsidR="00752263" w:rsidRPr="00ED7E20" w:rsidRDefault="00752263" w:rsidP="00111EC6">
      <w:pPr>
        <w:spacing w:after="0" w:line="240" w:lineRule="auto"/>
        <w:rPr>
          <w:rFonts w:ascii="Times New Roman" w:hAnsi="Times New Roman"/>
          <w:b/>
          <w:bCs/>
          <w:color w:val="000080"/>
          <w:sz w:val="24"/>
          <w:szCs w:val="24"/>
          <w:u w:val="single"/>
        </w:rPr>
      </w:pPr>
      <w:bookmarkStart w:id="29" w:name="_Toc345263813"/>
      <w:r w:rsidRPr="00E35665">
        <w:rPr>
          <w:rFonts w:ascii="Times New Roman" w:hAnsi="Times New Roman"/>
          <w:b/>
          <w:bCs/>
          <w:color w:val="000080"/>
          <w:sz w:val="24"/>
          <w:szCs w:val="24"/>
        </w:rPr>
        <w:t>4.1.1</w:t>
      </w:r>
      <w:r w:rsidRPr="00E35665">
        <w:rPr>
          <w:rFonts w:ascii="Times New Roman" w:hAnsi="Times New Roman"/>
          <w:b/>
          <w:bCs/>
          <w:color w:val="000080"/>
          <w:sz w:val="24"/>
          <w:szCs w:val="24"/>
        </w:rPr>
        <w:tab/>
      </w:r>
      <w:r w:rsidRPr="00752263">
        <w:rPr>
          <w:rFonts w:ascii="Times New Roman" w:hAnsi="Times New Roman"/>
          <w:b/>
          <w:bCs/>
          <w:color w:val="000080"/>
          <w:sz w:val="24"/>
          <w:szCs w:val="24"/>
        </w:rPr>
        <w:t>SO</w:t>
      </w:r>
      <w:r w:rsidRPr="00752263">
        <w:rPr>
          <w:rFonts w:ascii="Times New Roman" w:hAnsi="Times New Roman"/>
          <w:b/>
          <w:bCs/>
          <w:color w:val="000080"/>
          <w:sz w:val="24"/>
          <w:szCs w:val="24"/>
          <w:vertAlign w:val="subscript"/>
        </w:rPr>
        <w:t>2</w:t>
      </w:r>
      <w:r w:rsidRPr="00752263">
        <w:rPr>
          <w:rFonts w:ascii="Times New Roman" w:hAnsi="Times New Roman"/>
          <w:b/>
          <w:bCs/>
          <w:color w:val="000080"/>
          <w:sz w:val="24"/>
          <w:szCs w:val="24"/>
        </w:rPr>
        <w:t xml:space="preserve"> Compliance</w:t>
      </w:r>
      <w:bookmarkEnd w:id="29"/>
    </w:p>
    <w:p w:rsidR="003C720F" w:rsidRDefault="003C720F" w:rsidP="00752263">
      <w:pPr>
        <w:tabs>
          <w:tab w:val="left" w:pos="1428"/>
          <w:tab w:val="left" w:pos="4716"/>
          <w:tab w:val="left" w:pos="4896"/>
          <w:tab w:val="left" w:pos="6718"/>
        </w:tabs>
        <w:suppressAutoHyphens/>
        <w:spacing w:after="0" w:line="240" w:lineRule="auto"/>
        <w:rPr>
          <w:rFonts w:ascii="Times New Roman" w:hAnsi="Times New Roman"/>
          <w:sz w:val="24"/>
          <w:szCs w:val="24"/>
        </w:rPr>
      </w:pPr>
    </w:p>
    <w:p w:rsidR="00014AA9" w:rsidRDefault="008E12B6" w:rsidP="00014AA9">
      <w:pPr>
        <w:tabs>
          <w:tab w:val="left" w:pos="1428"/>
          <w:tab w:val="left" w:pos="4716"/>
          <w:tab w:val="left" w:pos="4896"/>
          <w:tab w:val="left" w:pos="6718"/>
        </w:tabs>
        <w:suppressAutoHyphens/>
        <w:spacing w:after="0" w:line="240" w:lineRule="auto"/>
        <w:rPr>
          <w:rFonts w:ascii="Times New Roman" w:hAnsi="Times New Roman"/>
          <w:sz w:val="24"/>
          <w:szCs w:val="24"/>
        </w:rPr>
      </w:pPr>
      <w:r>
        <w:rPr>
          <w:rFonts w:ascii="Times New Roman" w:hAnsi="Times New Roman"/>
          <w:sz w:val="24"/>
          <w:szCs w:val="24"/>
        </w:rPr>
        <w:t>Since 2007, the SO</w:t>
      </w:r>
      <w:r w:rsidRPr="00E75F65">
        <w:rPr>
          <w:rFonts w:ascii="Times New Roman" w:hAnsi="Times New Roman"/>
          <w:sz w:val="24"/>
          <w:szCs w:val="24"/>
          <w:vertAlign w:val="subscript"/>
        </w:rPr>
        <w:t>2</w:t>
      </w:r>
      <w:r>
        <w:rPr>
          <w:rFonts w:ascii="Times New Roman" w:hAnsi="Times New Roman"/>
          <w:sz w:val="24"/>
          <w:szCs w:val="24"/>
        </w:rPr>
        <w:t xml:space="preserve"> controls strategy and schedule for Georgia Power have been largely mapped out by the requirements in the </w:t>
      </w:r>
      <w:r w:rsidR="0065317A">
        <w:rPr>
          <w:rFonts w:ascii="Times New Roman" w:hAnsi="Times New Roman"/>
          <w:sz w:val="24"/>
          <w:szCs w:val="24"/>
        </w:rPr>
        <w:t xml:space="preserve">Georgia </w:t>
      </w:r>
      <w:r>
        <w:rPr>
          <w:rFonts w:ascii="Times New Roman" w:hAnsi="Times New Roman"/>
          <w:sz w:val="24"/>
          <w:szCs w:val="24"/>
        </w:rPr>
        <w:t>Multipollutant Rule and the companion SO</w:t>
      </w:r>
      <w:r w:rsidRPr="00396F58">
        <w:rPr>
          <w:rFonts w:ascii="Times New Roman" w:hAnsi="Times New Roman"/>
          <w:sz w:val="24"/>
          <w:szCs w:val="24"/>
          <w:vertAlign w:val="subscript"/>
        </w:rPr>
        <w:t>2</w:t>
      </w:r>
      <w:r>
        <w:rPr>
          <w:rFonts w:ascii="Times New Roman" w:hAnsi="Times New Roman"/>
          <w:sz w:val="24"/>
          <w:szCs w:val="24"/>
        </w:rPr>
        <w:t xml:space="preserve"> Emissions Rule.  </w:t>
      </w:r>
      <w:r w:rsidR="00014AA9">
        <w:rPr>
          <w:rFonts w:ascii="Times New Roman" w:hAnsi="Times New Roman"/>
          <w:sz w:val="24"/>
          <w:szCs w:val="24"/>
        </w:rPr>
        <w:t>T</w:t>
      </w:r>
      <w:r w:rsidR="00014AA9" w:rsidRPr="00ED7E20">
        <w:rPr>
          <w:rFonts w:ascii="Times New Roman" w:hAnsi="Times New Roman"/>
          <w:sz w:val="24"/>
          <w:szCs w:val="24"/>
        </w:rPr>
        <w:t xml:space="preserve">he Georgia Multipollutant Rule requires the installation and operation of </w:t>
      </w:r>
      <w:r w:rsidR="00014AA9">
        <w:rPr>
          <w:rFonts w:ascii="Times New Roman" w:hAnsi="Times New Roman"/>
          <w:sz w:val="24"/>
          <w:szCs w:val="24"/>
        </w:rPr>
        <w:t>scrubber</w:t>
      </w:r>
      <w:r w:rsidR="00014AA9" w:rsidRPr="00ED7E20">
        <w:rPr>
          <w:rFonts w:ascii="Times New Roman" w:hAnsi="Times New Roman"/>
          <w:sz w:val="24"/>
          <w:szCs w:val="24"/>
        </w:rPr>
        <w:t xml:space="preserve"> systems at certain units by specified dates between 2008 and 2015.</w:t>
      </w:r>
      <w:r w:rsidR="00014AA9">
        <w:rPr>
          <w:rFonts w:ascii="Times New Roman" w:hAnsi="Times New Roman"/>
          <w:sz w:val="24"/>
          <w:szCs w:val="24"/>
        </w:rPr>
        <w:t xml:space="preserve">  </w:t>
      </w:r>
      <w:r w:rsidR="0065317A">
        <w:rPr>
          <w:rFonts w:ascii="Times New Roman" w:hAnsi="Times New Roman"/>
          <w:sz w:val="24"/>
          <w:szCs w:val="24"/>
        </w:rPr>
        <w:t>In addition to the reductions that have been driven by the Multipollutant Rule, t</w:t>
      </w:r>
      <w:r w:rsidR="00014AA9">
        <w:rPr>
          <w:rFonts w:ascii="Times New Roman" w:hAnsi="Times New Roman"/>
          <w:sz w:val="24"/>
          <w:szCs w:val="24"/>
        </w:rPr>
        <w:t>he sections below review the historical, ongoing, and expected potential impacts of other rules on the SO</w:t>
      </w:r>
      <w:r w:rsidR="00014AA9" w:rsidRPr="00E75F65">
        <w:rPr>
          <w:rFonts w:ascii="Times New Roman" w:hAnsi="Times New Roman"/>
          <w:sz w:val="24"/>
          <w:szCs w:val="24"/>
          <w:vertAlign w:val="subscript"/>
        </w:rPr>
        <w:t>2</w:t>
      </w:r>
      <w:r w:rsidR="00014AA9">
        <w:rPr>
          <w:rFonts w:ascii="Times New Roman" w:hAnsi="Times New Roman"/>
          <w:sz w:val="24"/>
          <w:szCs w:val="24"/>
        </w:rPr>
        <w:t xml:space="preserve"> compliance strategy.  </w:t>
      </w:r>
    </w:p>
    <w:p w:rsidR="008E12B6" w:rsidRDefault="008E12B6" w:rsidP="00752263">
      <w:pPr>
        <w:tabs>
          <w:tab w:val="left" w:pos="1428"/>
          <w:tab w:val="left" w:pos="4716"/>
          <w:tab w:val="left" w:pos="4896"/>
          <w:tab w:val="left" w:pos="6718"/>
        </w:tabs>
        <w:suppressAutoHyphens/>
        <w:spacing w:after="0" w:line="240" w:lineRule="auto"/>
        <w:rPr>
          <w:rFonts w:ascii="Times New Roman" w:hAnsi="Times New Roman"/>
          <w:sz w:val="24"/>
          <w:szCs w:val="24"/>
        </w:rPr>
      </w:pPr>
      <w:r>
        <w:rPr>
          <w:rFonts w:ascii="Times New Roman" w:hAnsi="Times New Roman"/>
          <w:sz w:val="24"/>
          <w:szCs w:val="24"/>
        </w:rPr>
        <w:t xml:space="preserve"> </w:t>
      </w:r>
    </w:p>
    <w:p w:rsidR="003C720F" w:rsidRPr="00ED7E20" w:rsidRDefault="003C720F" w:rsidP="003C720F">
      <w:pPr>
        <w:keepNext/>
        <w:autoSpaceDE w:val="0"/>
        <w:autoSpaceDN w:val="0"/>
        <w:adjustRightInd w:val="0"/>
        <w:spacing w:after="0" w:line="240" w:lineRule="auto"/>
        <w:rPr>
          <w:rFonts w:ascii="Times New Roman" w:hAnsi="Times New Roman"/>
          <w:b/>
          <w:bCs/>
          <w:color w:val="000080"/>
          <w:sz w:val="24"/>
          <w:szCs w:val="24"/>
        </w:rPr>
      </w:pPr>
      <w:r>
        <w:rPr>
          <w:rFonts w:ascii="Times New Roman" w:hAnsi="Times New Roman"/>
          <w:b/>
          <w:bCs/>
          <w:color w:val="000080"/>
          <w:sz w:val="24"/>
          <w:szCs w:val="24"/>
        </w:rPr>
        <w:t>Acid Rain SO</w:t>
      </w:r>
      <w:r w:rsidRPr="00E75F65">
        <w:rPr>
          <w:rFonts w:ascii="Times New Roman" w:hAnsi="Times New Roman"/>
          <w:b/>
          <w:bCs/>
          <w:color w:val="000080"/>
          <w:sz w:val="24"/>
          <w:szCs w:val="24"/>
          <w:vertAlign w:val="subscript"/>
        </w:rPr>
        <w:t>2</w:t>
      </w:r>
      <w:r>
        <w:rPr>
          <w:rFonts w:ascii="Times New Roman" w:hAnsi="Times New Roman"/>
          <w:b/>
          <w:bCs/>
          <w:color w:val="000080"/>
          <w:sz w:val="24"/>
          <w:szCs w:val="24"/>
        </w:rPr>
        <w:t xml:space="preserve"> Compliance</w:t>
      </w:r>
      <w:r w:rsidRPr="00ED7E20">
        <w:rPr>
          <w:rFonts w:ascii="Times New Roman" w:hAnsi="Times New Roman"/>
          <w:b/>
          <w:bCs/>
          <w:color w:val="000080"/>
          <w:sz w:val="24"/>
          <w:szCs w:val="24"/>
        </w:rPr>
        <w:t xml:space="preserve"> Review </w:t>
      </w:r>
    </w:p>
    <w:p w:rsidR="00752263" w:rsidRPr="00ED7E20" w:rsidRDefault="00752263" w:rsidP="00752263">
      <w:pPr>
        <w:tabs>
          <w:tab w:val="left" w:pos="1428"/>
          <w:tab w:val="left" w:pos="4716"/>
          <w:tab w:val="left" w:pos="4896"/>
          <w:tab w:val="left" w:pos="6718"/>
        </w:tabs>
        <w:suppressAutoHyphens/>
        <w:spacing w:after="0" w:line="240" w:lineRule="auto"/>
        <w:rPr>
          <w:rFonts w:ascii="Times New Roman" w:hAnsi="Times New Roman"/>
          <w:color w:val="000080"/>
          <w:sz w:val="24"/>
          <w:szCs w:val="24"/>
          <w:u w:val="single"/>
        </w:rPr>
      </w:pPr>
      <w:r w:rsidRPr="00ED7E20">
        <w:rPr>
          <w:rFonts w:ascii="Times New Roman" w:hAnsi="Times New Roman"/>
          <w:sz w:val="24"/>
          <w:szCs w:val="24"/>
        </w:rPr>
        <w:t>With respect to the Acid Rain Program, G</w:t>
      </w:r>
      <w:r w:rsidR="005B596C">
        <w:rPr>
          <w:rFonts w:ascii="Times New Roman" w:hAnsi="Times New Roman"/>
          <w:sz w:val="24"/>
          <w:szCs w:val="24"/>
        </w:rPr>
        <w:t>eorgia Power</w:t>
      </w:r>
      <w:r w:rsidRPr="00ED7E20">
        <w:rPr>
          <w:rFonts w:ascii="Times New Roman" w:hAnsi="Times New Roman"/>
          <w:sz w:val="24"/>
          <w:szCs w:val="24"/>
        </w:rPr>
        <w:t>’s SO</w:t>
      </w:r>
      <w:r w:rsidRPr="00ED7E20">
        <w:rPr>
          <w:rFonts w:ascii="Times New Roman" w:hAnsi="Times New Roman"/>
          <w:sz w:val="24"/>
          <w:szCs w:val="24"/>
          <w:vertAlign w:val="subscript"/>
        </w:rPr>
        <w:t>2</w:t>
      </w:r>
      <w:r w:rsidRPr="00ED7E20">
        <w:rPr>
          <w:rFonts w:ascii="Times New Roman" w:hAnsi="Times New Roman"/>
          <w:sz w:val="24"/>
          <w:szCs w:val="24"/>
        </w:rPr>
        <w:t xml:space="preserve"> compliance strategy involved the creation of a bank of allowances during Phase I (1995-1999) to be carried over into Phase II, which began in 2000.  The strategy has </w:t>
      </w:r>
      <w:r>
        <w:rPr>
          <w:rFonts w:ascii="Times New Roman" w:hAnsi="Times New Roman"/>
          <w:sz w:val="24"/>
          <w:szCs w:val="24"/>
        </w:rPr>
        <w:t xml:space="preserve">historically </w:t>
      </w:r>
      <w:r w:rsidRPr="00ED7E20">
        <w:rPr>
          <w:rFonts w:ascii="Times New Roman" w:hAnsi="Times New Roman"/>
          <w:sz w:val="24"/>
          <w:szCs w:val="24"/>
        </w:rPr>
        <w:t>relied heavily upon use of low-sulfur coals at affected units but is increasingly incorporating FGD (scrubber) systems for SO</w:t>
      </w:r>
      <w:r w:rsidRPr="00ED7E20">
        <w:rPr>
          <w:rFonts w:ascii="Times New Roman" w:hAnsi="Times New Roman"/>
          <w:sz w:val="24"/>
          <w:szCs w:val="24"/>
          <w:vertAlign w:val="subscript"/>
        </w:rPr>
        <w:t>2</w:t>
      </w:r>
      <w:r w:rsidRPr="00ED7E20">
        <w:rPr>
          <w:rFonts w:ascii="Times New Roman" w:hAnsi="Times New Roman"/>
          <w:sz w:val="24"/>
          <w:szCs w:val="24"/>
        </w:rPr>
        <w:t xml:space="preserve"> control </w:t>
      </w:r>
      <w:r>
        <w:rPr>
          <w:rFonts w:ascii="Times New Roman" w:hAnsi="Times New Roman"/>
          <w:sz w:val="24"/>
          <w:szCs w:val="24"/>
        </w:rPr>
        <w:t xml:space="preserve">at the larger affected units.  </w:t>
      </w:r>
      <w:r w:rsidRPr="00ED7E20">
        <w:rPr>
          <w:rFonts w:ascii="Times New Roman" w:hAnsi="Times New Roman"/>
          <w:sz w:val="24"/>
          <w:szCs w:val="24"/>
        </w:rPr>
        <w:t>Both the overall strategy and consistent environmental compliance have been achieved in a cost effective manner.</w:t>
      </w:r>
      <w:r w:rsidR="00ED2968">
        <w:rPr>
          <w:rFonts w:ascii="Times New Roman" w:hAnsi="Times New Roman"/>
          <w:sz w:val="24"/>
          <w:szCs w:val="24"/>
        </w:rPr>
        <w:t xml:space="preserve">  </w:t>
      </w:r>
      <w:r w:rsidR="002F423A" w:rsidRPr="00913813">
        <w:rPr>
          <w:rFonts w:ascii="Times New Roman" w:hAnsi="Times New Roman"/>
          <w:b/>
          <w:sz w:val="24"/>
          <w:szCs w:val="24"/>
        </w:rPr>
        <w:t xml:space="preserve">REDACTED REDACTED REDACTED REDACTED REDACTED REDACTED REDACTED REDACTED REDACTED REDACTED REDACTED REDACTED REDACTED REDACTED REDACTED REDACTED REDACTED REDACTED REDACTED </w:t>
      </w:r>
    </w:p>
    <w:p w:rsidR="003C720F" w:rsidRDefault="003C720F" w:rsidP="003C720F">
      <w:pPr>
        <w:keepNext/>
        <w:autoSpaceDE w:val="0"/>
        <w:autoSpaceDN w:val="0"/>
        <w:adjustRightInd w:val="0"/>
        <w:spacing w:after="0" w:line="240" w:lineRule="auto"/>
        <w:rPr>
          <w:rFonts w:ascii="Times New Roman" w:hAnsi="Times New Roman"/>
          <w:b/>
          <w:bCs/>
          <w:color w:val="000080"/>
          <w:sz w:val="24"/>
          <w:szCs w:val="24"/>
        </w:rPr>
      </w:pPr>
    </w:p>
    <w:p w:rsidR="003C720F" w:rsidRPr="00ED7E20" w:rsidRDefault="003C720F" w:rsidP="003C720F">
      <w:pPr>
        <w:keepNext/>
        <w:autoSpaceDE w:val="0"/>
        <w:autoSpaceDN w:val="0"/>
        <w:adjustRightInd w:val="0"/>
        <w:spacing w:after="0" w:line="240" w:lineRule="auto"/>
        <w:rPr>
          <w:rFonts w:ascii="Times New Roman" w:hAnsi="Times New Roman"/>
          <w:b/>
          <w:bCs/>
          <w:color w:val="000080"/>
          <w:sz w:val="24"/>
          <w:szCs w:val="24"/>
        </w:rPr>
      </w:pPr>
      <w:r>
        <w:rPr>
          <w:rFonts w:ascii="Times New Roman" w:hAnsi="Times New Roman"/>
          <w:b/>
          <w:bCs/>
          <w:color w:val="000080"/>
          <w:sz w:val="24"/>
          <w:szCs w:val="24"/>
        </w:rPr>
        <w:t>CAIR SO</w:t>
      </w:r>
      <w:r w:rsidRPr="00E75F65">
        <w:rPr>
          <w:rFonts w:ascii="Times New Roman" w:hAnsi="Times New Roman"/>
          <w:b/>
          <w:bCs/>
          <w:color w:val="000080"/>
          <w:sz w:val="24"/>
          <w:szCs w:val="24"/>
          <w:vertAlign w:val="subscript"/>
        </w:rPr>
        <w:t>2</w:t>
      </w:r>
      <w:r>
        <w:rPr>
          <w:rFonts w:ascii="Times New Roman" w:hAnsi="Times New Roman"/>
          <w:b/>
          <w:bCs/>
          <w:color w:val="000080"/>
          <w:sz w:val="24"/>
          <w:szCs w:val="24"/>
        </w:rPr>
        <w:t xml:space="preserve"> Compliance</w:t>
      </w:r>
      <w:r w:rsidRPr="00ED7E20">
        <w:rPr>
          <w:rFonts w:ascii="Times New Roman" w:hAnsi="Times New Roman"/>
          <w:b/>
          <w:bCs/>
          <w:color w:val="000080"/>
          <w:sz w:val="24"/>
          <w:szCs w:val="24"/>
        </w:rPr>
        <w:t xml:space="preserve"> Review </w:t>
      </w:r>
    </w:p>
    <w:p w:rsidR="00752263" w:rsidRDefault="00150CCB" w:rsidP="00752263">
      <w:pPr>
        <w:tabs>
          <w:tab w:val="left" w:pos="720"/>
          <w:tab w:val="left" w:pos="1428"/>
          <w:tab w:val="left" w:pos="4716"/>
          <w:tab w:val="left" w:pos="4896"/>
          <w:tab w:val="left" w:pos="6718"/>
        </w:tabs>
        <w:suppressAutoHyphens/>
        <w:spacing w:after="0" w:line="240" w:lineRule="auto"/>
        <w:rPr>
          <w:rFonts w:ascii="Times New Roman" w:hAnsi="Times New Roman"/>
          <w:sz w:val="24"/>
          <w:szCs w:val="24"/>
        </w:rPr>
      </w:pPr>
      <w:r w:rsidRPr="00ED7E20">
        <w:rPr>
          <w:rFonts w:ascii="Times New Roman" w:hAnsi="Times New Roman"/>
          <w:sz w:val="24"/>
          <w:szCs w:val="24"/>
        </w:rPr>
        <w:t xml:space="preserve">In 2010, </w:t>
      </w:r>
      <w:proofErr w:type="gramStart"/>
      <w:r w:rsidRPr="00ED7E20">
        <w:rPr>
          <w:rFonts w:ascii="Times New Roman" w:hAnsi="Times New Roman"/>
          <w:sz w:val="24"/>
          <w:szCs w:val="24"/>
        </w:rPr>
        <w:t>Phase</w:t>
      </w:r>
      <w:proofErr w:type="gramEnd"/>
      <w:r w:rsidRPr="00ED7E20">
        <w:rPr>
          <w:rFonts w:ascii="Times New Roman" w:hAnsi="Times New Roman"/>
          <w:sz w:val="24"/>
          <w:szCs w:val="24"/>
        </w:rPr>
        <w:t xml:space="preserve"> I of the CAIR SO</w:t>
      </w:r>
      <w:r w:rsidRPr="00ED7E20">
        <w:rPr>
          <w:rFonts w:ascii="Times New Roman" w:hAnsi="Times New Roman"/>
          <w:sz w:val="24"/>
          <w:szCs w:val="24"/>
          <w:vertAlign w:val="subscript"/>
        </w:rPr>
        <w:t>2</w:t>
      </w:r>
      <w:r w:rsidRPr="00ED7E20">
        <w:rPr>
          <w:rFonts w:ascii="Times New Roman" w:hAnsi="Times New Roman"/>
          <w:sz w:val="24"/>
          <w:szCs w:val="24"/>
        </w:rPr>
        <w:t xml:space="preserve"> program began. This CAIR SO</w:t>
      </w:r>
      <w:r w:rsidRPr="00ED7E20">
        <w:rPr>
          <w:rFonts w:ascii="Times New Roman" w:hAnsi="Times New Roman"/>
          <w:sz w:val="24"/>
          <w:szCs w:val="24"/>
          <w:vertAlign w:val="subscript"/>
        </w:rPr>
        <w:t>2</w:t>
      </w:r>
      <w:r w:rsidRPr="00ED7E20">
        <w:rPr>
          <w:rFonts w:ascii="Times New Roman" w:hAnsi="Times New Roman"/>
          <w:sz w:val="24"/>
          <w:szCs w:val="24"/>
        </w:rPr>
        <w:t xml:space="preserve"> program augments the Acid Rain Program by requiring </w:t>
      </w:r>
      <w:r>
        <w:rPr>
          <w:rFonts w:ascii="Times New Roman" w:hAnsi="Times New Roman"/>
          <w:sz w:val="24"/>
          <w:szCs w:val="24"/>
        </w:rPr>
        <w:t xml:space="preserve">affected sources in </w:t>
      </w:r>
      <w:r w:rsidRPr="00ED7E20">
        <w:rPr>
          <w:rFonts w:ascii="Times New Roman" w:hAnsi="Times New Roman"/>
          <w:sz w:val="24"/>
          <w:szCs w:val="24"/>
        </w:rPr>
        <w:t>CAIR states to retire two Acid Rain Program SO</w:t>
      </w:r>
      <w:r w:rsidRPr="00ED7E20">
        <w:rPr>
          <w:rFonts w:ascii="Times New Roman" w:hAnsi="Times New Roman"/>
          <w:sz w:val="24"/>
          <w:szCs w:val="24"/>
          <w:vertAlign w:val="subscript"/>
        </w:rPr>
        <w:t>2</w:t>
      </w:r>
      <w:r w:rsidRPr="00ED7E20">
        <w:rPr>
          <w:rFonts w:ascii="Times New Roman" w:hAnsi="Times New Roman"/>
          <w:sz w:val="24"/>
          <w:szCs w:val="24"/>
        </w:rPr>
        <w:t xml:space="preserve"> allowances for every one ton of SO</w:t>
      </w:r>
      <w:r w:rsidRPr="00ED7E20">
        <w:rPr>
          <w:rFonts w:ascii="Times New Roman" w:hAnsi="Times New Roman"/>
          <w:sz w:val="24"/>
          <w:szCs w:val="24"/>
          <w:vertAlign w:val="subscript"/>
        </w:rPr>
        <w:t>2</w:t>
      </w:r>
      <w:r w:rsidRPr="00ED7E20">
        <w:rPr>
          <w:rFonts w:ascii="Times New Roman" w:hAnsi="Times New Roman"/>
          <w:sz w:val="24"/>
          <w:szCs w:val="24"/>
        </w:rPr>
        <w:t xml:space="preserve"> emitted </w:t>
      </w:r>
      <w:r w:rsidR="0065317A">
        <w:rPr>
          <w:rFonts w:ascii="Times New Roman" w:hAnsi="Times New Roman"/>
          <w:sz w:val="24"/>
          <w:szCs w:val="24"/>
        </w:rPr>
        <w:t>during the period covered by CAIR</w:t>
      </w:r>
      <w:r w:rsidRPr="00ED7E20">
        <w:rPr>
          <w:rFonts w:ascii="Times New Roman" w:hAnsi="Times New Roman"/>
          <w:sz w:val="24"/>
          <w:szCs w:val="24"/>
        </w:rPr>
        <w:t xml:space="preserve"> Phase I, as opposed to a one-for-one retirement required under the Acid Rain Program. </w:t>
      </w:r>
      <w:r>
        <w:rPr>
          <w:rFonts w:ascii="Times New Roman" w:hAnsi="Times New Roman"/>
          <w:sz w:val="24"/>
          <w:szCs w:val="24"/>
        </w:rPr>
        <w:t xml:space="preserve"> </w:t>
      </w:r>
      <w:r w:rsidR="00752263" w:rsidRPr="00ED7E20">
        <w:rPr>
          <w:rFonts w:ascii="Times New Roman" w:hAnsi="Times New Roman"/>
          <w:sz w:val="24"/>
          <w:szCs w:val="24"/>
        </w:rPr>
        <w:t>The SO</w:t>
      </w:r>
      <w:r w:rsidR="00752263" w:rsidRPr="00ED7E20">
        <w:rPr>
          <w:rFonts w:ascii="Times New Roman" w:hAnsi="Times New Roman"/>
          <w:sz w:val="24"/>
          <w:szCs w:val="24"/>
          <w:vertAlign w:val="subscript"/>
        </w:rPr>
        <w:t>2</w:t>
      </w:r>
      <w:r w:rsidR="00752263" w:rsidRPr="00ED7E20">
        <w:rPr>
          <w:rFonts w:ascii="Times New Roman" w:hAnsi="Times New Roman"/>
          <w:sz w:val="24"/>
          <w:szCs w:val="24"/>
        </w:rPr>
        <w:t xml:space="preserve"> strategy for compliance with CAIR continues to incorporate the use of low-sulfur coal, installation of scrubbers, and the use of banked and purchased allowances.  </w:t>
      </w:r>
      <w:r w:rsidR="00ED2B14">
        <w:rPr>
          <w:rFonts w:ascii="Times New Roman" w:hAnsi="Times New Roman"/>
          <w:sz w:val="24"/>
          <w:szCs w:val="24"/>
        </w:rPr>
        <w:t xml:space="preserve">However, increasingly </w:t>
      </w:r>
      <w:r w:rsidR="00752263" w:rsidRPr="00ED7E20">
        <w:rPr>
          <w:rFonts w:ascii="Times New Roman" w:hAnsi="Times New Roman"/>
          <w:sz w:val="24"/>
          <w:szCs w:val="24"/>
        </w:rPr>
        <w:t xml:space="preserve">tight fuel markets have introduced more moderate sulfur coals, </w:t>
      </w:r>
      <w:r w:rsidR="00ED2B14">
        <w:rPr>
          <w:rFonts w:ascii="Times New Roman" w:hAnsi="Times New Roman"/>
          <w:sz w:val="24"/>
          <w:szCs w:val="24"/>
        </w:rPr>
        <w:t>while at the same time</w:t>
      </w:r>
      <w:r w:rsidR="005B596C">
        <w:rPr>
          <w:rFonts w:ascii="Times New Roman" w:hAnsi="Times New Roman"/>
          <w:sz w:val="24"/>
          <w:szCs w:val="24"/>
        </w:rPr>
        <w:t xml:space="preserve"> SO</w:t>
      </w:r>
      <w:r w:rsidR="005B596C" w:rsidRPr="005B596C">
        <w:rPr>
          <w:rFonts w:ascii="Times New Roman" w:hAnsi="Times New Roman"/>
          <w:sz w:val="24"/>
          <w:szCs w:val="24"/>
          <w:vertAlign w:val="subscript"/>
        </w:rPr>
        <w:t>2</w:t>
      </w:r>
      <w:r w:rsidR="005B596C">
        <w:rPr>
          <w:rFonts w:ascii="Times New Roman" w:hAnsi="Times New Roman"/>
          <w:sz w:val="24"/>
          <w:szCs w:val="24"/>
          <w:vertAlign w:val="subscript"/>
        </w:rPr>
        <w:t xml:space="preserve"> </w:t>
      </w:r>
      <w:r w:rsidR="005B596C">
        <w:rPr>
          <w:rFonts w:ascii="Times New Roman" w:hAnsi="Times New Roman"/>
          <w:sz w:val="24"/>
          <w:szCs w:val="24"/>
        </w:rPr>
        <w:t xml:space="preserve">allowance prices are currently at historic lows.  </w:t>
      </w:r>
      <w:r w:rsidR="00752263" w:rsidRPr="00ED7E20">
        <w:rPr>
          <w:rFonts w:ascii="Times New Roman" w:hAnsi="Times New Roman"/>
          <w:sz w:val="24"/>
          <w:szCs w:val="24"/>
        </w:rPr>
        <w:t>These factors combined with the Georgia Multipollutant Rule requirement to install scrubbers on certain units by specified dates have increased GPC’s reliance on scrubber installations and reduced reliance on low sulfur coal.</w:t>
      </w:r>
    </w:p>
    <w:p w:rsidR="00752263" w:rsidRDefault="00752263" w:rsidP="00752263">
      <w:pPr>
        <w:tabs>
          <w:tab w:val="left" w:pos="720"/>
          <w:tab w:val="left" w:pos="1428"/>
          <w:tab w:val="left" w:pos="4716"/>
          <w:tab w:val="left" w:pos="4896"/>
          <w:tab w:val="left" w:pos="6718"/>
        </w:tabs>
        <w:suppressAutoHyphens/>
        <w:spacing w:after="0" w:line="240" w:lineRule="auto"/>
        <w:rPr>
          <w:rFonts w:ascii="Times New Roman" w:hAnsi="Times New Roman"/>
          <w:sz w:val="24"/>
          <w:szCs w:val="24"/>
        </w:rPr>
      </w:pPr>
    </w:p>
    <w:p w:rsidR="00150CCB" w:rsidRDefault="00150CCB" w:rsidP="00150CCB">
      <w:pPr>
        <w:tabs>
          <w:tab w:val="left" w:pos="720"/>
          <w:tab w:val="left" w:pos="1428"/>
          <w:tab w:val="left" w:pos="4716"/>
          <w:tab w:val="left" w:pos="4896"/>
          <w:tab w:val="left" w:pos="6718"/>
        </w:tabs>
        <w:suppressAutoHyphens/>
        <w:spacing w:after="0" w:line="240" w:lineRule="auto"/>
        <w:rPr>
          <w:rFonts w:ascii="Times New Roman" w:hAnsi="Times New Roman"/>
          <w:sz w:val="24"/>
          <w:szCs w:val="24"/>
        </w:rPr>
      </w:pPr>
      <w:r w:rsidRPr="00ED7E20">
        <w:rPr>
          <w:rFonts w:ascii="Times New Roman" w:hAnsi="Times New Roman"/>
          <w:sz w:val="24"/>
          <w:szCs w:val="24"/>
        </w:rPr>
        <w:t xml:space="preserve">From the time CAIR was finalized in 2005 through the litigation process, the </w:t>
      </w:r>
      <w:r w:rsidRPr="00ED7E20">
        <w:rPr>
          <w:rFonts w:ascii="Times New Roman" w:hAnsi="Times New Roman" w:cs="Arial"/>
          <w:sz w:val="24"/>
          <w:szCs w:val="20"/>
        </w:rPr>
        <w:t>SO</w:t>
      </w:r>
      <w:r w:rsidRPr="00ED7E20">
        <w:rPr>
          <w:rFonts w:ascii="Times New Roman" w:hAnsi="Times New Roman" w:cs="Arial"/>
          <w:sz w:val="24"/>
          <w:szCs w:val="20"/>
          <w:vertAlign w:val="subscript"/>
        </w:rPr>
        <w:t>2</w:t>
      </w:r>
      <w:r w:rsidRPr="00ED7E20">
        <w:rPr>
          <w:rFonts w:ascii="Times New Roman" w:hAnsi="Times New Roman"/>
          <w:sz w:val="24"/>
          <w:szCs w:val="24"/>
        </w:rPr>
        <w:t xml:space="preserve"> allowance market </w:t>
      </w:r>
      <w:r>
        <w:rPr>
          <w:rFonts w:ascii="Times New Roman" w:hAnsi="Times New Roman"/>
          <w:sz w:val="24"/>
          <w:szCs w:val="24"/>
        </w:rPr>
        <w:t>was</w:t>
      </w:r>
      <w:r w:rsidRPr="00ED7E20">
        <w:rPr>
          <w:rFonts w:ascii="Times New Roman" w:hAnsi="Times New Roman"/>
          <w:sz w:val="24"/>
          <w:szCs w:val="24"/>
        </w:rPr>
        <w:t xml:space="preserve"> marked by volatility.  As shown in the next figure (Fig. 4.1.1-1), the price for </w:t>
      </w:r>
      <w:r w:rsidRPr="00ED7E20">
        <w:rPr>
          <w:rFonts w:ascii="Times New Roman" w:hAnsi="Times New Roman" w:cs="Arial"/>
          <w:sz w:val="24"/>
          <w:szCs w:val="20"/>
        </w:rPr>
        <w:t>SO</w:t>
      </w:r>
      <w:r w:rsidRPr="00ED7E20">
        <w:rPr>
          <w:rFonts w:ascii="Times New Roman" w:hAnsi="Times New Roman" w:cs="Arial"/>
          <w:sz w:val="24"/>
          <w:szCs w:val="20"/>
          <w:vertAlign w:val="subscript"/>
        </w:rPr>
        <w:t>2</w:t>
      </w:r>
      <w:r w:rsidRPr="00ED7E20">
        <w:rPr>
          <w:rFonts w:ascii="Times New Roman" w:hAnsi="Times New Roman"/>
          <w:sz w:val="24"/>
          <w:szCs w:val="24"/>
        </w:rPr>
        <w:t xml:space="preserve"> allowances has decreased substantially from historically high prices in 2005 and 2006.  The market also responded to the July 2008 vacatur of CAIR with a decrease in price and trading.  Prices continued to fall in 201</w:t>
      </w:r>
      <w:r>
        <w:rPr>
          <w:rFonts w:ascii="Times New Roman" w:hAnsi="Times New Roman"/>
          <w:sz w:val="24"/>
          <w:szCs w:val="24"/>
        </w:rPr>
        <w:t>2</w:t>
      </w:r>
      <w:r w:rsidRPr="00ED7E20">
        <w:rPr>
          <w:rFonts w:ascii="Times New Roman" w:hAnsi="Times New Roman"/>
          <w:sz w:val="24"/>
          <w:szCs w:val="24"/>
        </w:rPr>
        <w:t xml:space="preserve"> due to recession-driven electricity demand reductions and continued uncertainty over a CAIR replacement</w:t>
      </w:r>
      <w:r>
        <w:rPr>
          <w:rFonts w:ascii="Times New Roman" w:hAnsi="Times New Roman"/>
          <w:sz w:val="24"/>
          <w:szCs w:val="24"/>
        </w:rPr>
        <w:t>.</w:t>
      </w:r>
    </w:p>
    <w:p w:rsidR="00150CCB" w:rsidRPr="00ED7E20" w:rsidRDefault="00150CCB" w:rsidP="00150CCB">
      <w:pPr>
        <w:tabs>
          <w:tab w:val="left" w:pos="720"/>
          <w:tab w:val="left" w:pos="1428"/>
          <w:tab w:val="left" w:pos="4716"/>
          <w:tab w:val="left" w:pos="4896"/>
          <w:tab w:val="left" w:pos="6718"/>
        </w:tabs>
        <w:suppressAutoHyphens/>
        <w:spacing w:after="0" w:line="240" w:lineRule="auto"/>
        <w:rPr>
          <w:rFonts w:ascii="Times New Roman" w:hAnsi="Times New Roman"/>
          <w:sz w:val="24"/>
          <w:szCs w:val="24"/>
        </w:rPr>
      </w:pPr>
    </w:p>
    <w:p w:rsidR="00150CCB" w:rsidRPr="00ED7E20" w:rsidRDefault="001D1F0E" w:rsidP="00150CCB">
      <w:pPr>
        <w:keepNext/>
        <w:suppressAutoHyphens/>
        <w:spacing w:after="0" w:line="240" w:lineRule="auto"/>
        <w:jc w:val="center"/>
        <w:rPr>
          <w:rFonts w:ascii="Times New Roman" w:hAnsi="Times New Roman"/>
          <w:sz w:val="24"/>
          <w:szCs w:val="20"/>
        </w:rPr>
      </w:pPr>
      <w:r>
        <w:rPr>
          <w:rFonts w:ascii="Times New Roman" w:hAnsi="Times New Roman"/>
          <w:noProof/>
          <w:sz w:val="24"/>
          <w:szCs w:val="20"/>
        </w:rPr>
        <w:drawing>
          <wp:inline distT="0" distB="0" distL="0" distR="0">
            <wp:extent cx="5456682" cy="3089116"/>
            <wp:effectExtent l="19050" t="0" r="10668" b="0"/>
            <wp:docPr id="11" name="Char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150CCB" w:rsidRPr="00ED7E20" w:rsidRDefault="00150CCB" w:rsidP="00150CCB">
      <w:pPr>
        <w:spacing w:after="0" w:line="240" w:lineRule="auto"/>
        <w:jc w:val="center"/>
        <w:rPr>
          <w:rFonts w:ascii="Times New Roman" w:hAnsi="Times New Roman"/>
          <w:b/>
          <w:bCs/>
          <w:sz w:val="20"/>
          <w:szCs w:val="20"/>
        </w:rPr>
      </w:pPr>
      <w:r w:rsidRPr="00ED7E20">
        <w:rPr>
          <w:rFonts w:ascii="Times New Roman" w:hAnsi="Times New Roman"/>
          <w:b/>
          <w:bCs/>
          <w:sz w:val="20"/>
          <w:szCs w:val="20"/>
        </w:rPr>
        <w:t xml:space="preserve">Figure </w:t>
      </w:r>
      <w:r>
        <w:rPr>
          <w:rFonts w:ascii="Times New Roman" w:hAnsi="Times New Roman"/>
          <w:b/>
          <w:bCs/>
          <w:sz w:val="20"/>
          <w:szCs w:val="20"/>
        </w:rPr>
        <w:t>4.1.1</w:t>
      </w:r>
      <w:r w:rsidRPr="00ED7E20">
        <w:rPr>
          <w:rFonts w:ascii="Times New Roman" w:hAnsi="Times New Roman"/>
          <w:b/>
          <w:bCs/>
          <w:sz w:val="20"/>
          <w:szCs w:val="20"/>
        </w:rPr>
        <w:noBreakHyphen/>
      </w:r>
      <w:r>
        <w:rPr>
          <w:rFonts w:ascii="Times New Roman" w:hAnsi="Times New Roman"/>
          <w:b/>
          <w:bCs/>
          <w:sz w:val="20"/>
          <w:szCs w:val="20"/>
        </w:rPr>
        <w:t>1</w:t>
      </w:r>
      <w:r w:rsidRPr="00ED7E20">
        <w:rPr>
          <w:rFonts w:ascii="Times New Roman" w:hAnsi="Times New Roman"/>
          <w:b/>
          <w:bCs/>
          <w:sz w:val="20"/>
          <w:szCs w:val="20"/>
        </w:rPr>
        <w:t xml:space="preserve"> Historic</w:t>
      </w:r>
      <w:r w:rsidR="008B39E3">
        <w:rPr>
          <w:rFonts w:ascii="Times New Roman" w:hAnsi="Times New Roman"/>
          <w:b/>
          <w:bCs/>
          <w:sz w:val="20"/>
          <w:szCs w:val="20"/>
        </w:rPr>
        <w:t>al</w:t>
      </w:r>
      <w:r w:rsidRPr="00ED7E20">
        <w:rPr>
          <w:rFonts w:ascii="Times New Roman" w:hAnsi="Times New Roman"/>
          <w:b/>
          <w:bCs/>
          <w:sz w:val="20"/>
          <w:szCs w:val="20"/>
        </w:rPr>
        <w:t xml:space="preserve"> SO</w:t>
      </w:r>
      <w:r w:rsidRPr="00ED7E20">
        <w:rPr>
          <w:rFonts w:ascii="Times New Roman" w:hAnsi="Times New Roman"/>
          <w:b/>
          <w:bCs/>
          <w:sz w:val="20"/>
          <w:szCs w:val="20"/>
          <w:vertAlign w:val="subscript"/>
        </w:rPr>
        <w:t>2</w:t>
      </w:r>
      <w:r w:rsidRPr="00ED7E20">
        <w:rPr>
          <w:rFonts w:ascii="Times New Roman" w:hAnsi="Times New Roman"/>
          <w:b/>
          <w:bCs/>
          <w:sz w:val="20"/>
          <w:szCs w:val="20"/>
        </w:rPr>
        <w:t xml:space="preserve"> Price Summary</w:t>
      </w:r>
    </w:p>
    <w:p w:rsidR="00150CCB" w:rsidRDefault="00150CCB" w:rsidP="00752263">
      <w:pPr>
        <w:tabs>
          <w:tab w:val="left" w:pos="720"/>
          <w:tab w:val="left" w:pos="1428"/>
          <w:tab w:val="left" w:pos="4716"/>
          <w:tab w:val="left" w:pos="4896"/>
          <w:tab w:val="left" w:pos="6718"/>
        </w:tabs>
        <w:suppressAutoHyphens/>
        <w:spacing w:after="0" w:line="240" w:lineRule="auto"/>
        <w:rPr>
          <w:rFonts w:ascii="Times New Roman" w:hAnsi="Times New Roman"/>
          <w:sz w:val="24"/>
          <w:szCs w:val="24"/>
        </w:rPr>
      </w:pPr>
    </w:p>
    <w:p w:rsidR="00327BAA" w:rsidRPr="00913813" w:rsidRDefault="00E107BE" w:rsidP="00752263">
      <w:pPr>
        <w:tabs>
          <w:tab w:val="left" w:pos="720"/>
          <w:tab w:val="left" w:pos="1428"/>
          <w:tab w:val="left" w:pos="4716"/>
          <w:tab w:val="left" w:pos="4896"/>
          <w:tab w:val="left" w:pos="6718"/>
        </w:tabs>
        <w:suppressAutoHyphens/>
        <w:spacing w:after="0" w:line="240" w:lineRule="auto"/>
        <w:rPr>
          <w:rFonts w:ascii="Times New Roman" w:hAnsi="Times New Roman"/>
          <w:b/>
          <w:sz w:val="24"/>
          <w:szCs w:val="24"/>
        </w:rPr>
      </w:pPr>
      <w:r w:rsidRPr="00913813">
        <w:rPr>
          <w:rFonts w:ascii="Times New Roman" w:hAnsi="Times New Roman"/>
          <w:b/>
          <w:sz w:val="24"/>
          <w:szCs w:val="24"/>
        </w:rPr>
        <w:t xml:space="preserve">REDACTED REDACTED REDACTED REDACTED REDACTED REDACTED REDACTED REDACTED REDACTED REDACTED REDACTED REDACTED REDACTED REDACTED REDACTED REDACTED REDACTED REDACTED </w:t>
      </w:r>
    </w:p>
    <w:p w:rsidR="00E107BE" w:rsidRPr="00ED7E20" w:rsidRDefault="00E107BE" w:rsidP="00752263">
      <w:pPr>
        <w:tabs>
          <w:tab w:val="left" w:pos="720"/>
          <w:tab w:val="left" w:pos="1428"/>
          <w:tab w:val="left" w:pos="4716"/>
          <w:tab w:val="left" w:pos="4896"/>
          <w:tab w:val="left" w:pos="6718"/>
        </w:tabs>
        <w:suppressAutoHyphens/>
        <w:spacing w:after="0" w:line="240" w:lineRule="auto"/>
        <w:rPr>
          <w:rFonts w:ascii="Times New Roman" w:hAnsi="Times New Roman"/>
          <w:sz w:val="24"/>
          <w:szCs w:val="24"/>
        </w:rPr>
      </w:pPr>
    </w:p>
    <w:p w:rsidR="001E5550" w:rsidRPr="00913813" w:rsidRDefault="001E5550" w:rsidP="001E5550">
      <w:pPr>
        <w:spacing w:after="0" w:line="240" w:lineRule="auto"/>
        <w:rPr>
          <w:rFonts w:ascii="Times New Roman" w:hAnsi="Times New Roman" w:cs="Arial"/>
          <w:b/>
          <w:sz w:val="24"/>
          <w:szCs w:val="24"/>
        </w:rPr>
      </w:pPr>
      <w:r w:rsidRPr="00ED7E20">
        <w:rPr>
          <w:rFonts w:ascii="Times New Roman" w:hAnsi="Times New Roman" w:cs="Arial"/>
          <w:sz w:val="24"/>
          <w:szCs w:val="24"/>
        </w:rPr>
        <w:t xml:space="preserve">Emission allowance quantities are affected by many factors including regulations, fuel, plant operation and efficiency, outages, control technology, etc., which affect the rate at which the allowances are used.  </w:t>
      </w:r>
      <w:r w:rsidR="00E107BE" w:rsidRPr="00913813">
        <w:rPr>
          <w:rFonts w:ascii="Times New Roman" w:hAnsi="Times New Roman"/>
          <w:b/>
          <w:sz w:val="24"/>
          <w:szCs w:val="24"/>
        </w:rPr>
        <w:t xml:space="preserve">REDACTED REDACTED REDACTED REDACTED REDACTED REDACTED REDACTED REDACTED REDACTED REDACTED REDACTED REDACTED REDACTED REDACTED REDACTED REDACTED REDACTED REDACTED REDACTED </w:t>
      </w:r>
    </w:p>
    <w:p w:rsidR="00752263" w:rsidRDefault="00752263" w:rsidP="00752263">
      <w:pPr>
        <w:tabs>
          <w:tab w:val="left" w:pos="720"/>
          <w:tab w:val="left" w:pos="1428"/>
          <w:tab w:val="left" w:pos="4716"/>
          <w:tab w:val="left" w:pos="4896"/>
          <w:tab w:val="left" w:pos="6718"/>
        </w:tabs>
        <w:suppressAutoHyphens/>
        <w:spacing w:after="0" w:line="240" w:lineRule="auto"/>
        <w:jc w:val="center"/>
        <w:rPr>
          <w:rFonts w:ascii="Arial" w:hAnsi="Arial"/>
          <w:b/>
          <w:bCs/>
          <w:color w:val="000080"/>
        </w:rPr>
      </w:pPr>
    </w:p>
    <w:p w:rsidR="00E138BA" w:rsidRPr="00ED7E20" w:rsidRDefault="00E138BA" w:rsidP="00E138BA">
      <w:pPr>
        <w:keepNext/>
        <w:autoSpaceDE w:val="0"/>
        <w:autoSpaceDN w:val="0"/>
        <w:adjustRightInd w:val="0"/>
        <w:spacing w:after="0" w:line="240" w:lineRule="auto"/>
        <w:rPr>
          <w:rFonts w:ascii="Times New Roman" w:hAnsi="Times New Roman"/>
          <w:b/>
          <w:bCs/>
          <w:color w:val="000080"/>
          <w:sz w:val="24"/>
          <w:szCs w:val="24"/>
        </w:rPr>
      </w:pPr>
      <w:r>
        <w:rPr>
          <w:rFonts w:ascii="Times New Roman" w:hAnsi="Times New Roman"/>
          <w:b/>
          <w:bCs/>
          <w:color w:val="000080"/>
          <w:sz w:val="24"/>
          <w:szCs w:val="24"/>
        </w:rPr>
        <w:t>MATS SO</w:t>
      </w:r>
      <w:r w:rsidRPr="00AC0261">
        <w:rPr>
          <w:rFonts w:ascii="Times New Roman" w:hAnsi="Times New Roman"/>
          <w:b/>
          <w:bCs/>
          <w:color w:val="000080"/>
          <w:sz w:val="24"/>
          <w:szCs w:val="24"/>
          <w:vertAlign w:val="subscript"/>
        </w:rPr>
        <w:t>2</w:t>
      </w:r>
      <w:r>
        <w:rPr>
          <w:rFonts w:ascii="Times New Roman" w:hAnsi="Times New Roman"/>
          <w:b/>
          <w:bCs/>
          <w:color w:val="000080"/>
          <w:sz w:val="24"/>
          <w:szCs w:val="24"/>
        </w:rPr>
        <w:t xml:space="preserve"> or Acid Gases Compliance</w:t>
      </w:r>
      <w:r w:rsidRPr="00ED7E20">
        <w:rPr>
          <w:rFonts w:ascii="Times New Roman" w:hAnsi="Times New Roman"/>
          <w:b/>
          <w:bCs/>
          <w:color w:val="000080"/>
          <w:sz w:val="24"/>
          <w:szCs w:val="24"/>
        </w:rPr>
        <w:t xml:space="preserve"> Review </w:t>
      </w:r>
    </w:p>
    <w:p w:rsidR="00913813" w:rsidRDefault="00E138BA" w:rsidP="00752263">
      <w:pPr>
        <w:tabs>
          <w:tab w:val="left" w:pos="720"/>
          <w:tab w:val="left" w:pos="1428"/>
          <w:tab w:val="left" w:pos="4716"/>
          <w:tab w:val="left" w:pos="4896"/>
          <w:tab w:val="left" w:pos="6718"/>
        </w:tabs>
        <w:suppressAutoHyphens/>
        <w:spacing w:after="0" w:line="240" w:lineRule="auto"/>
        <w:rPr>
          <w:rFonts w:ascii="Times New Roman" w:hAnsi="Times New Roman"/>
          <w:b/>
          <w:sz w:val="24"/>
          <w:szCs w:val="24"/>
        </w:rPr>
      </w:pPr>
      <w:r>
        <w:rPr>
          <w:rFonts w:ascii="Times New Roman" w:hAnsi="Times New Roman"/>
          <w:sz w:val="24"/>
          <w:szCs w:val="24"/>
        </w:rPr>
        <w:t>The MATS rule requires units</w:t>
      </w:r>
      <w:r w:rsidR="009940C2">
        <w:rPr>
          <w:rFonts w:ascii="Times New Roman" w:hAnsi="Times New Roman"/>
          <w:sz w:val="24"/>
          <w:szCs w:val="24"/>
        </w:rPr>
        <w:t xml:space="preserve"> that have scrubbers installed</w:t>
      </w:r>
      <w:r>
        <w:rPr>
          <w:rFonts w:ascii="Times New Roman" w:hAnsi="Times New Roman"/>
          <w:sz w:val="24"/>
          <w:szCs w:val="24"/>
        </w:rPr>
        <w:t xml:space="preserve"> to comply with either a limit on HCl emissions or a limit on SO</w:t>
      </w:r>
      <w:r w:rsidR="00EA4B45" w:rsidRPr="00EA4B45">
        <w:rPr>
          <w:rFonts w:ascii="Times New Roman" w:hAnsi="Times New Roman"/>
          <w:sz w:val="24"/>
          <w:szCs w:val="24"/>
          <w:vertAlign w:val="subscript"/>
        </w:rPr>
        <w:t>2</w:t>
      </w:r>
      <w:r>
        <w:rPr>
          <w:rFonts w:ascii="Times New Roman" w:hAnsi="Times New Roman"/>
          <w:sz w:val="24"/>
          <w:szCs w:val="24"/>
        </w:rPr>
        <w:t xml:space="preserve"> emissions.  </w:t>
      </w:r>
      <w:r w:rsidR="00913813">
        <w:rPr>
          <w:rFonts w:ascii="Times New Roman" w:hAnsi="Times New Roman"/>
          <w:sz w:val="24"/>
          <w:szCs w:val="24"/>
        </w:rPr>
        <w:t xml:space="preserve"> </w:t>
      </w:r>
      <w:r w:rsidR="00E107BE" w:rsidRPr="00913813">
        <w:rPr>
          <w:rFonts w:ascii="Times New Roman" w:hAnsi="Times New Roman"/>
          <w:b/>
          <w:sz w:val="24"/>
          <w:szCs w:val="24"/>
        </w:rPr>
        <w:t xml:space="preserve">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w:t>
      </w:r>
    </w:p>
    <w:p w:rsidR="00E138BA" w:rsidRPr="00ED7E20" w:rsidRDefault="00E107BE" w:rsidP="00752263">
      <w:pPr>
        <w:tabs>
          <w:tab w:val="left" w:pos="720"/>
          <w:tab w:val="left" w:pos="1428"/>
          <w:tab w:val="left" w:pos="4716"/>
          <w:tab w:val="left" w:pos="4896"/>
          <w:tab w:val="left" w:pos="6718"/>
        </w:tabs>
        <w:suppressAutoHyphens/>
        <w:spacing w:after="0" w:line="240" w:lineRule="auto"/>
        <w:rPr>
          <w:rFonts w:ascii="Times New Roman" w:hAnsi="Times New Roman"/>
          <w:sz w:val="24"/>
          <w:szCs w:val="24"/>
        </w:rPr>
      </w:pPr>
      <w:r w:rsidRPr="00913813">
        <w:rPr>
          <w:rFonts w:ascii="Times New Roman" w:hAnsi="Times New Roman"/>
          <w:b/>
          <w:sz w:val="24"/>
          <w:szCs w:val="24"/>
        </w:rPr>
        <w:t xml:space="preserve">REDACTED REDACTED </w:t>
      </w:r>
      <w:proofErr w:type="gramStart"/>
      <w:r w:rsidRPr="00913813">
        <w:rPr>
          <w:rFonts w:ascii="Times New Roman" w:hAnsi="Times New Roman"/>
          <w:b/>
          <w:sz w:val="24"/>
          <w:szCs w:val="24"/>
        </w:rPr>
        <w:t>REDACTED</w:t>
      </w:r>
      <w:r>
        <w:rPr>
          <w:rFonts w:ascii="Times New Roman" w:hAnsi="Times New Roman"/>
          <w:sz w:val="24"/>
          <w:szCs w:val="24"/>
        </w:rPr>
        <w:t xml:space="preserve"> </w:t>
      </w:r>
      <w:r w:rsidRPr="00E107BE">
        <w:rPr>
          <w:rFonts w:ascii="Times New Roman" w:hAnsi="Times New Roman"/>
          <w:sz w:val="24"/>
          <w:szCs w:val="24"/>
        </w:rPr>
        <w:t xml:space="preserve"> </w:t>
      </w:r>
      <w:r w:rsidR="009940C2">
        <w:rPr>
          <w:rFonts w:ascii="Times New Roman" w:hAnsi="Times New Roman"/>
          <w:sz w:val="24"/>
          <w:szCs w:val="24"/>
        </w:rPr>
        <w:t>Addition</w:t>
      </w:r>
      <w:r w:rsidR="00B41989">
        <w:rPr>
          <w:rFonts w:ascii="Times New Roman" w:hAnsi="Times New Roman"/>
          <w:sz w:val="24"/>
          <w:szCs w:val="24"/>
        </w:rPr>
        <w:t>al</w:t>
      </w:r>
      <w:proofErr w:type="gramEnd"/>
      <w:r w:rsidR="009940C2">
        <w:rPr>
          <w:rFonts w:ascii="Times New Roman" w:hAnsi="Times New Roman"/>
          <w:sz w:val="24"/>
          <w:szCs w:val="24"/>
        </w:rPr>
        <w:t xml:space="preserve"> detail regarding t</w:t>
      </w:r>
      <w:r w:rsidR="00E82652">
        <w:rPr>
          <w:rFonts w:ascii="Times New Roman" w:hAnsi="Times New Roman"/>
          <w:sz w:val="24"/>
          <w:szCs w:val="24"/>
        </w:rPr>
        <w:t>he MATS strategy for SO</w:t>
      </w:r>
      <w:r w:rsidR="00EA4B45" w:rsidRPr="00EA4B45">
        <w:rPr>
          <w:rFonts w:ascii="Times New Roman" w:hAnsi="Times New Roman"/>
          <w:sz w:val="24"/>
          <w:szCs w:val="24"/>
          <w:vertAlign w:val="subscript"/>
        </w:rPr>
        <w:t>2</w:t>
      </w:r>
      <w:r w:rsidR="00E82652">
        <w:rPr>
          <w:rFonts w:ascii="Times New Roman" w:hAnsi="Times New Roman"/>
          <w:sz w:val="24"/>
          <w:szCs w:val="24"/>
        </w:rPr>
        <w:t xml:space="preserve">/acid gases and the other MATS limits </w:t>
      </w:r>
      <w:r w:rsidR="009940C2">
        <w:rPr>
          <w:rFonts w:ascii="Times New Roman" w:hAnsi="Times New Roman"/>
          <w:sz w:val="24"/>
          <w:szCs w:val="24"/>
        </w:rPr>
        <w:t>is provided</w:t>
      </w:r>
      <w:r w:rsidR="00E82652">
        <w:rPr>
          <w:rFonts w:ascii="Times New Roman" w:hAnsi="Times New Roman"/>
          <w:sz w:val="24"/>
          <w:szCs w:val="24"/>
        </w:rPr>
        <w:t xml:space="preserve"> in Section 4.1.3.</w:t>
      </w:r>
    </w:p>
    <w:p w:rsidR="00396F58" w:rsidRPr="00ED7E20" w:rsidRDefault="00396F58" w:rsidP="00396F58">
      <w:pPr>
        <w:keepNext/>
        <w:autoSpaceDE w:val="0"/>
        <w:autoSpaceDN w:val="0"/>
        <w:adjustRightInd w:val="0"/>
        <w:spacing w:after="0" w:line="240" w:lineRule="auto"/>
        <w:rPr>
          <w:rFonts w:ascii="Times New Roman" w:hAnsi="Times New Roman"/>
          <w:b/>
          <w:bCs/>
          <w:color w:val="000080"/>
          <w:sz w:val="24"/>
          <w:szCs w:val="24"/>
        </w:rPr>
      </w:pPr>
      <w:r>
        <w:rPr>
          <w:rFonts w:ascii="Times New Roman" w:hAnsi="Times New Roman"/>
          <w:b/>
          <w:bCs/>
          <w:color w:val="000080"/>
          <w:sz w:val="24"/>
          <w:szCs w:val="24"/>
        </w:rPr>
        <w:t>Future Rules SO</w:t>
      </w:r>
      <w:r w:rsidR="005E5F79" w:rsidRPr="005E5F79">
        <w:rPr>
          <w:rFonts w:ascii="Times New Roman" w:hAnsi="Times New Roman"/>
          <w:sz w:val="24"/>
          <w:szCs w:val="24"/>
          <w:vertAlign w:val="subscript"/>
        </w:rPr>
        <w:t>2</w:t>
      </w:r>
      <w:r>
        <w:rPr>
          <w:rFonts w:ascii="Times New Roman" w:hAnsi="Times New Roman"/>
          <w:b/>
          <w:bCs/>
          <w:color w:val="000080"/>
          <w:sz w:val="24"/>
          <w:szCs w:val="24"/>
        </w:rPr>
        <w:t xml:space="preserve"> Compliance</w:t>
      </w:r>
      <w:r w:rsidRPr="00ED7E20">
        <w:rPr>
          <w:rFonts w:ascii="Times New Roman" w:hAnsi="Times New Roman"/>
          <w:b/>
          <w:bCs/>
          <w:color w:val="000080"/>
          <w:sz w:val="24"/>
          <w:szCs w:val="24"/>
        </w:rPr>
        <w:t xml:space="preserve"> Review </w:t>
      </w:r>
    </w:p>
    <w:p w:rsidR="00752263" w:rsidRPr="00913813" w:rsidRDefault="00396F58" w:rsidP="00752263">
      <w:pPr>
        <w:tabs>
          <w:tab w:val="left" w:pos="720"/>
          <w:tab w:val="left" w:pos="1428"/>
          <w:tab w:val="left" w:pos="4716"/>
          <w:tab w:val="left" w:pos="4896"/>
          <w:tab w:val="left" w:pos="6718"/>
        </w:tabs>
        <w:suppressAutoHyphens/>
        <w:spacing w:after="0" w:line="240" w:lineRule="auto"/>
        <w:rPr>
          <w:rFonts w:ascii="Times New Roman" w:hAnsi="Times New Roman"/>
          <w:b/>
          <w:sz w:val="24"/>
          <w:szCs w:val="24"/>
        </w:rPr>
      </w:pPr>
      <w:r>
        <w:rPr>
          <w:rFonts w:ascii="Times New Roman" w:hAnsi="Times New Roman"/>
          <w:sz w:val="24"/>
          <w:szCs w:val="20"/>
        </w:rPr>
        <w:t xml:space="preserve">Expected regulations related to the </w:t>
      </w:r>
      <w:r w:rsidR="00EB0AB0">
        <w:rPr>
          <w:rFonts w:ascii="Times New Roman" w:hAnsi="Times New Roman"/>
          <w:sz w:val="24"/>
          <w:szCs w:val="20"/>
        </w:rPr>
        <w:t>NAAQS</w:t>
      </w:r>
      <w:r>
        <w:rPr>
          <w:rFonts w:ascii="Times New Roman" w:hAnsi="Times New Roman"/>
          <w:sz w:val="24"/>
          <w:szCs w:val="20"/>
        </w:rPr>
        <w:t xml:space="preserve"> for SO</w:t>
      </w:r>
      <w:r w:rsidR="005E5F79" w:rsidRPr="005E5F79">
        <w:rPr>
          <w:rFonts w:ascii="Times New Roman" w:hAnsi="Times New Roman"/>
          <w:sz w:val="24"/>
          <w:szCs w:val="24"/>
          <w:vertAlign w:val="subscript"/>
        </w:rPr>
        <w:t>2</w:t>
      </w:r>
      <w:r>
        <w:rPr>
          <w:rFonts w:ascii="Times New Roman" w:hAnsi="Times New Roman"/>
          <w:sz w:val="24"/>
          <w:szCs w:val="20"/>
        </w:rPr>
        <w:t xml:space="preserve"> and PM2.5, the Clean Air Visibility Rule, </w:t>
      </w:r>
      <w:r w:rsidR="00EB0AB0">
        <w:rPr>
          <w:rFonts w:ascii="Times New Roman" w:hAnsi="Times New Roman"/>
          <w:sz w:val="24"/>
          <w:szCs w:val="20"/>
        </w:rPr>
        <w:t>and/</w:t>
      </w:r>
      <w:r>
        <w:rPr>
          <w:rFonts w:ascii="Times New Roman" w:hAnsi="Times New Roman"/>
          <w:sz w:val="24"/>
          <w:szCs w:val="20"/>
        </w:rPr>
        <w:t>or a future replacement for CAIR/CSAPR may drive the need for additional SO</w:t>
      </w:r>
      <w:r w:rsidR="005E5F79" w:rsidRPr="005E5F79">
        <w:rPr>
          <w:rFonts w:ascii="Times New Roman" w:hAnsi="Times New Roman"/>
          <w:sz w:val="24"/>
          <w:szCs w:val="24"/>
          <w:vertAlign w:val="subscript"/>
        </w:rPr>
        <w:t>2</w:t>
      </w:r>
      <w:r>
        <w:rPr>
          <w:rFonts w:ascii="Times New Roman" w:hAnsi="Times New Roman"/>
          <w:sz w:val="24"/>
          <w:szCs w:val="20"/>
        </w:rPr>
        <w:t xml:space="preserve"> reductions strategies in the future.  </w:t>
      </w:r>
      <w:r w:rsidR="00DB2963" w:rsidRPr="00913813">
        <w:rPr>
          <w:rFonts w:ascii="Times New Roman" w:hAnsi="Times New Roman"/>
          <w:b/>
          <w:sz w:val="24"/>
          <w:szCs w:val="24"/>
        </w:rPr>
        <w:t xml:space="preserve">REDACTED REDACTED REDACTED REDACTED REDACTED </w:t>
      </w:r>
      <w:r w:rsidR="00DB2963" w:rsidRPr="00BE1739">
        <w:rPr>
          <w:rFonts w:ascii="Times New Roman" w:hAnsi="Times New Roman"/>
          <w:b/>
        </w:rPr>
        <w:t xml:space="preserve">REDACTED REDACTED REDACTED REDACTED </w:t>
      </w:r>
      <w:proofErr w:type="gramStart"/>
      <w:r w:rsidR="00DB2963" w:rsidRPr="00BE1739">
        <w:rPr>
          <w:rFonts w:ascii="Times New Roman" w:hAnsi="Times New Roman"/>
          <w:b/>
        </w:rPr>
        <w:t>REDACT</w:t>
      </w:r>
      <w:r w:rsidR="00BE1739" w:rsidRPr="00BE1739">
        <w:rPr>
          <w:rFonts w:ascii="Times New Roman" w:hAnsi="Times New Roman"/>
          <w:b/>
        </w:rPr>
        <w:t>ED</w:t>
      </w:r>
      <w:r>
        <w:rPr>
          <w:rFonts w:ascii="Times New Roman" w:hAnsi="Times New Roman"/>
          <w:sz w:val="24"/>
          <w:szCs w:val="20"/>
        </w:rPr>
        <w:t xml:space="preserve">  Based</w:t>
      </w:r>
      <w:proofErr w:type="gramEnd"/>
      <w:r>
        <w:rPr>
          <w:rFonts w:ascii="Times New Roman" w:hAnsi="Times New Roman"/>
          <w:sz w:val="24"/>
          <w:szCs w:val="20"/>
        </w:rPr>
        <w:t xml:space="preserve"> on the deadlines in EPA rulemakings related to SO</w:t>
      </w:r>
      <w:r w:rsidR="005E5F79" w:rsidRPr="005E5F79">
        <w:rPr>
          <w:rFonts w:ascii="Times New Roman" w:hAnsi="Times New Roman"/>
          <w:sz w:val="24"/>
          <w:szCs w:val="24"/>
          <w:vertAlign w:val="subscript"/>
        </w:rPr>
        <w:t>2</w:t>
      </w:r>
      <w:r>
        <w:rPr>
          <w:rFonts w:ascii="Times New Roman" w:hAnsi="Times New Roman"/>
          <w:sz w:val="24"/>
          <w:szCs w:val="20"/>
        </w:rPr>
        <w:t xml:space="preserve"> to-date, SO</w:t>
      </w:r>
      <w:r w:rsidR="005E5F79" w:rsidRPr="005E5F79">
        <w:rPr>
          <w:rFonts w:ascii="Times New Roman" w:hAnsi="Times New Roman"/>
          <w:sz w:val="24"/>
          <w:szCs w:val="24"/>
          <w:vertAlign w:val="subscript"/>
        </w:rPr>
        <w:t>2</w:t>
      </w:r>
      <w:r>
        <w:rPr>
          <w:rFonts w:ascii="Times New Roman" w:hAnsi="Times New Roman"/>
          <w:sz w:val="24"/>
          <w:szCs w:val="20"/>
        </w:rPr>
        <w:t xml:space="preserve"> reductions may be required as early as 2017.  </w:t>
      </w:r>
      <w:r w:rsidR="00DB2963" w:rsidRPr="00913813">
        <w:rPr>
          <w:rFonts w:ascii="Times New Roman" w:hAnsi="Times New Roman"/>
          <w:b/>
          <w:sz w:val="24"/>
          <w:szCs w:val="24"/>
        </w:rPr>
        <w:t xml:space="preserve">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w:t>
      </w:r>
    </w:p>
    <w:p w:rsidR="00752263" w:rsidRPr="00913813" w:rsidRDefault="00752263" w:rsidP="00752263">
      <w:pPr>
        <w:spacing w:after="0" w:line="240" w:lineRule="auto"/>
        <w:outlineLvl w:val="2"/>
        <w:rPr>
          <w:rFonts w:ascii="Times New Roman" w:hAnsi="Times New Roman"/>
          <w:b/>
          <w:bCs/>
          <w:color w:val="000080"/>
          <w:sz w:val="24"/>
          <w:szCs w:val="24"/>
        </w:rPr>
      </w:pPr>
    </w:p>
    <w:p w:rsidR="00752263" w:rsidRDefault="00752263" w:rsidP="00111EC6">
      <w:pPr>
        <w:spacing w:after="0" w:line="240" w:lineRule="auto"/>
        <w:rPr>
          <w:rFonts w:ascii="Times New Roman" w:hAnsi="Times New Roman"/>
          <w:b/>
          <w:bCs/>
          <w:color w:val="000080"/>
          <w:sz w:val="24"/>
          <w:szCs w:val="24"/>
        </w:rPr>
      </w:pPr>
      <w:bookmarkStart w:id="30" w:name="_Toc345263814"/>
      <w:r w:rsidRPr="00E35665">
        <w:rPr>
          <w:rFonts w:ascii="Times New Roman" w:hAnsi="Times New Roman"/>
          <w:b/>
          <w:bCs/>
          <w:color w:val="000080"/>
          <w:sz w:val="24"/>
          <w:szCs w:val="24"/>
        </w:rPr>
        <w:t>4.1.2.</w:t>
      </w:r>
      <w:r w:rsidRPr="00E35665">
        <w:rPr>
          <w:rFonts w:ascii="Times New Roman" w:hAnsi="Times New Roman"/>
          <w:b/>
          <w:bCs/>
          <w:color w:val="000080"/>
          <w:sz w:val="24"/>
          <w:szCs w:val="24"/>
        </w:rPr>
        <w:tab/>
      </w:r>
      <w:r w:rsidRPr="00752263">
        <w:rPr>
          <w:rFonts w:ascii="Times New Roman" w:hAnsi="Times New Roman"/>
          <w:b/>
          <w:bCs/>
          <w:color w:val="000080"/>
          <w:sz w:val="24"/>
          <w:szCs w:val="24"/>
        </w:rPr>
        <w:t>NO</w:t>
      </w:r>
      <w:r w:rsidRPr="00752263">
        <w:rPr>
          <w:rFonts w:ascii="Times New Roman" w:hAnsi="Times New Roman"/>
          <w:b/>
          <w:bCs/>
          <w:color w:val="000080"/>
          <w:sz w:val="24"/>
          <w:szCs w:val="24"/>
          <w:vertAlign w:val="subscript"/>
        </w:rPr>
        <w:t>X</w:t>
      </w:r>
      <w:r w:rsidRPr="00752263">
        <w:rPr>
          <w:rFonts w:ascii="Times New Roman" w:hAnsi="Times New Roman"/>
          <w:b/>
          <w:bCs/>
          <w:color w:val="000080"/>
          <w:sz w:val="24"/>
          <w:szCs w:val="24"/>
        </w:rPr>
        <w:t xml:space="preserve"> Compliance</w:t>
      </w:r>
      <w:bookmarkEnd w:id="30"/>
    </w:p>
    <w:p w:rsidR="00A850FB" w:rsidRDefault="00A850FB" w:rsidP="00A850FB">
      <w:pPr>
        <w:tabs>
          <w:tab w:val="left" w:pos="1428"/>
          <w:tab w:val="left" w:pos="4716"/>
          <w:tab w:val="left" w:pos="4896"/>
          <w:tab w:val="left" w:pos="6718"/>
        </w:tabs>
        <w:suppressAutoHyphens/>
        <w:spacing w:after="0" w:line="240" w:lineRule="auto"/>
        <w:rPr>
          <w:rFonts w:ascii="Times New Roman" w:hAnsi="Times New Roman"/>
          <w:sz w:val="24"/>
          <w:szCs w:val="24"/>
        </w:rPr>
      </w:pPr>
    </w:p>
    <w:p w:rsidR="00A850FB" w:rsidRDefault="00A850FB" w:rsidP="00A850FB">
      <w:pPr>
        <w:tabs>
          <w:tab w:val="left" w:pos="1428"/>
          <w:tab w:val="left" w:pos="4716"/>
          <w:tab w:val="left" w:pos="4896"/>
          <w:tab w:val="left" w:pos="6718"/>
        </w:tabs>
        <w:suppressAutoHyphens/>
        <w:spacing w:after="0" w:line="240" w:lineRule="auto"/>
        <w:rPr>
          <w:rFonts w:ascii="Times New Roman" w:hAnsi="Times New Roman"/>
          <w:sz w:val="24"/>
          <w:szCs w:val="24"/>
        </w:rPr>
      </w:pPr>
      <w:r>
        <w:rPr>
          <w:rFonts w:ascii="Times New Roman" w:hAnsi="Times New Roman"/>
          <w:sz w:val="24"/>
          <w:szCs w:val="24"/>
        </w:rPr>
        <w:t xml:space="preserve">Since the passage of the Georgia Multipollutant Rule in 2007, the NOx controls strategy and schedule for Georgia Power have also been largely mapped out by the requirements in the Multipollutant Rule.  </w:t>
      </w:r>
      <w:r w:rsidR="00014AA9">
        <w:rPr>
          <w:rFonts w:ascii="Times New Roman" w:hAnsi="Times New Roman"/>
          <w:sz w:val="24"/>
          <w:szCs w:val="24"/>
        </w:rPr>
        <w:t>T</w:t>
      </w:r>
      <w:r w:rsidR="00014AA9" w:rsidRPr="00ED7E20">
        <w:rPr>
          <w:rFonts w:ascii="Times New Roman" w:hAnsi="Times New Roman"/>
          <w:sz w:val="24"/>
          <w:szCs w:val="24"/>
        </w:rPr>
        <w:t xml:space="preserve">he Georgia Multipollutant Rule requires the installation and operation of </w:t>
      </w:r>
      <w:r w:rsidR="00014AA9">
        <w:rPr>
          <w:rFonts w:ascii="Times New Roman" w:hAnsi="Times New Roman"/>
          <w:sz w:val="24"/>
          <w:szCs w:val="24"/>
        </w:rPr>
        <w:t xml:space="preserve">SCR </w:t>
      </w:r>
      <w:r w:rsidR="00014AA9" w:rsidRPr="00ED7E20">
        <w:rPr>
          <w:rFonts w:ascii="Times New Roman" w:hAnsi="Times New Roman"/>
          <w:sz w:val="24"/>
          <w:szCs w:val="24"/>
        </w:rPr>
        <w:t>systems at certain units by specified dates between 2008 and 2015.</w:t>
      </w:r>
      <w:r w:rsidR="00014AA9">
        <w:rPr>
          <w:rFonts w:ascii="Times New Roman" w:hAnsi="Times New Roman"/>
          <w:sz w:val="24"/>
          <w:szCs w:val="24"/>
        </w:rPr>
        <w:t xml:space="preserve">  </w:t>
      </w:r>
      <w:r>
        <w:rPr>
          <w:rFonts w:ascii="Times New Roman" w:hAnsi="Times New Roman"/>
          <w:sz w:val="24"/>
          <w:szCs w:val="24"/>
        </w:rPr>
        <w:t xml:space="preserve">The sections below review the historical, ongoing, and expected potential impacts of other rules on the NOx compliance strategy.  </w:t>
      </w:r>
    </w:p>
    <w:p w:rsidR="003C720F" w:rsidRDefault="003C720F" w:rsidP="00752263">
      <w:pPr>
        <w:spacing w:after="0" w:line="240" w:lineRule="auto"/>
        <w:outlineLvl w:val="2"/>
        <w:rPr>
          <w:rFonts w:ascii="Times New Roman" w:hAnsi="Times New Roman"/>
          <w:b/>
          <w:bCs/>
          <w:color w:val="000080"/>
          <w:sz w:val="24"/>
          <w:szCs w:val="24"/>
        </w:rPr>
      </w:pPr>
    </w:p>
    <w:p w:rsidR="003C720F" w:rsidRPr="00ED7E20" w:rsidRDefault="003C720F" w:rsidP="003C720F">
      <w:pPr>
        <w:keepNext/>
        <w:autoSpaceDE w:val="0"/>
        <w:autoSpaceDN w:val="0"/>
        <w:adjustRightInd w:val="0"/>
        <w:spacing w:after="0" w:line="240" w:lineRule="auto"/>
        <w:rPr>
          <w:rFonts w:ascii="Times New Roman" w:hAnsi="Times New Roman"/>
          <w:b/>
          <w:bCs/>
          <w:color w:val="000080"/>
          <w:sz w:val="24"/>
          <w:szCs w:val="24"/>
        </w:rPr>
      </w:pPr>
      <w:r>
        <w:rPr>
          <w:rFonts w:ascii="Times New Roman" w:hAnsi="Times New Roman"/>
          <w:b/>
          <w:bCs/>
          <w:color w:val="000080"/>
          <w:sz w:val="24"/>
          <w:szCs w:val="24"/>
        </w:rPr>
        <w:t>Acid Rain NOx Compliance</w:t>
      </w:r>
      <w:r w:rsidRPr="00ED7E20">
        <w:rPr>
          <w:rFonts w:ascii="Times New Roman" w:hAnsi="Times New Roman"/>
          <w:b/>
          <w:bCs/>
          <w:color w:val="000080"/>
          <w:sz w:val="24"/>
          <w:szCs w:val="24"/>
        </w:rPr>
        <w:t xml:space="preserve"> Review </w:t>
      </w:r>
    </w:p>
    <w:p w:rsidR="006D33C2" w:rsidRDefault="00752263" w:rsidP="006D33C2">
      <w:pPr>
        <w:widowControl w:val="0"/>
        <w:tabs>
          <w:tab w:val="left" w:pos="360"/>
        </w:tabs>
        <w:spacing w:after="0" w:line="240" w:lineRule="auto"/>
        <w:rPr>
          <w:rFonts w:ascii="Times New Roman" w:hAnsi="Times New Roman"/>
          <w:sz w:val="24"/>
          <w:szCs w:val="24"/>
        </w:rPr>
      </w:pPr>
      <w:r w:rsidRPr="00ED7E20">
        <w:rPr>
          <w:rFonts w:ascii="Times New Roman" w:hAnsi="Times New Roman"/>
          <w:sz w:val="24"/>
          <w:szCs w:val="24"/>
        </w:rPr>
        <w:t>The G</w:t>
      </w:r>
      <w:r w:rsidR="003C720F">
        <w:rPr>
          <w:rFonts w:ascii="Times New Roman" w:hAnsi="Times New Roman"/>
          <w:sz w:val="24"/>
          <w:szCs w:val="24"/>
        </w:rPr>
        <w:t>eorgia Power</w:t>
      </w:r>
      <w:r w:rsidRPr="00ED7E20">
        <w:rPr>
          <w:rFonts w:ascii="Times New Roman" w:hAnsi="Times New Roman"/>
          <w:sz w:val="24"/>
          <w:szCs w:val="24"/>
        </w:rPr>
        <w:t xml:space="preserve"> NO</w:t>
      </w:r>
      <w:r w:rsidRPr="00ED7E20">
        <w:rPr>
          <w:rFonts w:ascii="Times New Roman" w:hAnsi="Times New Roman"/>
          <w:sz w:val="24"/>
          <w:szCs w:val="24"/>
          <w:vertAlign w:val="subscript"/>
        </w:rPr>
        <w:t>X</w:t>
      </w:r>
      <w:r w:rsidRPr="00ED7E20">
        <w:rPr>
          <w:rFonts w:ascii="Times New Roman" w:hAnsi="Times New Roman"/>
          <w:sz w:val="24"/>
          <w:szCs w:val="24"/>
        </w:rPr>
        <w:t xml:space="preserve"> compliance strategy for Acid Rain compliance </w:t>
      </w:r>
      <w:r w:rsidR="002F2289">
        <w:rPr>
          <w:rFonts w:ascii="Times New Roman" w:hAnsi="Times New Roman"/>
          <w:sz w:val="24"/>
          <w:szCs w:val="24"/>
        </w:rPr>
        <w:t xml:space="preserve">historically </w:t>
      </w:r>
      <w:r w:rsidRPr="00ED7E20">
        <w:rPr>
          <w:rFonts w:ascii="Times New Roman" w:hAnsi="Times New Roman"/>
          <w:sz w:val="24"/>
          <w:szCs w:val="24"/>
        </w:rPr>
        <w:t>consisted of installing low-NO</w:t>
      </w:r>
      <w:r w:rsidRPr="00ED7E20">
        <w:rPr>
          <w:rFonts w:ascii="Times New Roman" w:hAnsi="Times New Roman"/>
          <w:sz w:val="24"/>
          <w:szCs w:val="24"/>
          <w:vertAlign w:val="subscript"/>
        </w:rPr>
        <w:t>X</w:t>
      </w:r>
      <w:r w:rsidRPr="00ED7E20">
        <w:rPr>
          <w:rFonts w:ascii="Times New Roman" w:hAnsi="Times New Roman"/>
          <w:sz w:val="24"/>
          <w:szCs w:val="24"/>
        </w:rPr>
        <w:t xml:space="preserve"> burners, over-fired air (OFA) systems, burner tips, and associated controls.  </w:t>
      </w:r>
      <w:r w:rsidR="006D33C2">
        <w:rPr>
          <w:rFonts w:ascii="Times New Roman" w:hAnsi="Times New Roman"/>
          <w:sz w:val="24"/>
          <w:szCs w:val="24"/>
        </w:rPr>
        <w:t>Georgia Power complies with the NOx requirements under the Acid Rain Program through a Southern Company system-wide NOx Averaging Plan.  Under the plan, affected units from all of Southern Company’s operating companies covered by the regulation must help the system achieve an annual-average NOx emission rate below the specified limit.</w:t>
      </w:r>
    </w:p>
    <w:p w:rsidR="00EB0AB0" w:rsidRPr="00ED7E20" w:rsidRDefault="00EB0AB0" w:rsidP="006D33C2">
      <w:pPr>
        <w:widowControl w:val="0"/>
        <w:tabs>
          <w:tab w:val="left" w:pos="360"/>
        </w:tabs>
        <w:spacing w:after="0" w:line="240" w:lineRule="auto"/>
        <w:rPr>
          <w:rFonts w:ascii="Times New Roman" w:hAnsi="Times New Roman"/>
          <w:sz w:val="24"/>
          <w:szCs w:val="24"/>
        </w:rPr>
      </w:pPr>
    </w:p>
    <w:p w:rsidR="001832A5" w:rsidRDefault="006D33C2" w:rsidP="001832A5">
      <w:pPr>
        <w:tabs>
          <w:tab w:val="left" w:pos="720"/>
        </w:tabs>
        <w:spacing w:after="0" w:line="240" w:lineRule="auto"/>
        <w:rPr>
          <w:rFonts w:ascii="Times New Roman" w:hAnsi="Times New Roman"/>
          <w:sz w:val="24"/>
          <w:szCs w:val="24"/>
        </w:rPr>
      </w:pPr>
      <w:r>
        <w:rPr>
          <w:rFonts w:ascii="Times New Roman" w:hAnsi="Times New Roman"/>
          <w:sz w:val="24"/>
          <w:szCs w:val="24"/>
        </w:rPr>
        <w:t xml:space="preserve">The </w:t>
      </w:r>
      <w:r w:rsidR="00752263" w:rsidRPr="00ED7E20">
        <w:rPr>
          <w:rFonts w:ascii="Times New Roman" w:hAnsi="Times New Roman"/>
          <w:sz w:val="24"/>
          <w:szCs w:val="24"/>
        </w:rPr>
        <w:t>NO</w:t>
      </w:r>
      <w:r w:rsidR="00752263" w:rsidRPr="00ED7E20">
        <w:rPr>
          <w:rFonts w:ascii="Times New Roman" w:hAnsi="Times New Roman"/>
          <w:sz w:val="24"/>
          <w:szCs w:val="24"/>
          <w:vertAlign w:val="subscript"/>
        </w:rPr>
        <w:t>X</w:t>
      </w:r>
      <w:r w:rsidR="00752263" w:rsidRPr="00ED7E20">
        <w:rPr>
          <w:rFonts w:ascii="Times New Roman" w:hAnsi="Times New Roman"/>
          <w:sz w:val="24"/>
          <w:szCs w:val="24"/>
        </w:rPr>
        <w:t xml:space="preserve"> averaging plan for Southern Company </w:t>
      </w:r>
      <w:r w:rsidR="00EB0AB0">
        <w:rPr>
          <w:rFonts w:ascii="Times New Roman" w:hAnsi="Times New Roman"/>
          <w:sz w:val="24"/>
          <w:szCs w:val="24"/>
        </w:rPr>
        <w:t xml:space="preserve">is </w:t>
      </w:r>
      <w:r w:rsidR="00752263" w:rsidRPr="00ED7E20">
        <w:rPr>
          <w:rFonts w:ascii="Times New Roman" w:hAnsi="Times New Roman"/>
          <w:sz w:val="24"/>
          <w:szCs w:val="24"/>
        </w:rPr>
        <w:t>filed with each State agency and the EPA.  System averaging of NO</w:t>
      </w:r>
      <w:r w:rsidR="00752263" w:rsidRPr="00ED7E20">
        <w:rPr>
          <w:rFonts w:ascii="Times New Roman" w:hAnsi="Times New Roman"/>
          <w:sz w:val="24"/>
          <w:szCs w:val="24"/>
          <w:vertAlign w:val="subscript"/>
        </w:rPr>
        <w:t>X</w:t>
      </w:r>
      <w:r w:rsidR="00752263" w:rsidRPr="00ED7E20">
        <w:rPr>
          <w:rFonts w:ascii="Times New Roman" w:hAnsi="Times New Roman"/>
          <w:sz w:val="24"/>
          <w:szCs w:val="24"/>
        </w:rPr>
        <w:t xml:space="preserve"> emissions lowers system cost and further ensures compliance with Acid Rain regulations.  </w:t>
      </w:r>
      <w:r w:rsidR="003C720F">
        <w:rPr>
          <w:rFonts w:ascii="Times New Roman" w:hAnsi="Times New Roman"/>
          <w:sz w:val="24"/>
          <w:szCs w:val="24"/>
        </w:rPr>
        <w:t>S</w:t>
      </w:r>
      <w:r w:rsidR="00752263" w:rsidRPr="00ED7E20">
        <w:rPr>
          <w:rFonts w:ascii="Times New Roman" w:hAnsi="Times New Roman"/>
          <w:sz w:val="24"/>
          <w:szCs w:val="24"/>
        </w:rPr>
        <w:t>ubsequent regulations, including ozone nonattainment area requirements, CAIR, and the Georgia Multipollutant Rule, have required further NOx reductions which provide significant additional margin for Acid Rain Program NO</w:t>
      </w:r>
      <w:r w:rsidR="00752263" w:rsidRPr="00ED7E20">
        <w:rPr>
          <w:rFonts w:ascii="Times New Roman" w:hAnsi="Times New Roman"/>
          <w:sz w:val="24"/>
          <w:szCs w:val="24"/>
          <w:vertAlign w:val="subscript"/>
        </w:rPr>
        <w:t>X</w:t>
      </w:r>
      <w:r w:rsidR="00752263" w:rsidRPr="00ED7E20">
        <w:rPr>
          <w:rFonts w:ascii="Times New Roman" w:hAnsi="Times New Roman"/>
          <w:sz w:val="24"/>
          <w:szCs w:val="24"/>
        </w:rPr>
        <w:t xml:space="preserve"> compliance.  Controls installed under these regulations, as discussed below, reduce the system average NO</w:t>
      </w:r>
      <w:r w:rsidR="00752263" w:rsidRPr="00ED7E20">
        <w:rPr>
          <w:rFonts w:ascii="Times New Roman" w:hAnsi="Times New Roman"/>
          <w:sz w:val="24"/>
          <w:szCs w:val="24"/>
          <w:vertAlign w:val="subscript"/>
        </w:rPr>
        <w:t>X</w:t>
      </w:r>
      <w:r w:rsidR="00752263" w:rsidRPr="00ED7E20">
        <w:rPr>
          <w:rFonts w:ascii="Times New Roman" w:hAnsi="Times New Roman"/>
          <w:sz w:val="24"/>
          <w:szCs w:val="24"/>
        </w:rPr>
        <w:t xml:space="preserve"> emissions well below Acid Rain Program requirements.</w:t>
      </w:r>
    </w:p>
    <w:p w:rsidR="001832A5" w:rsidRDefault="001832A5" w:rsidP="001832A5">
      <w:pPr>
        <w:tabs>
          <w:tab w:val="left" w:pos="720"/>
        </w:tabs>
        <w:spacing w:after="0" w:line="240" w:lineRule="auto"/>
        <w:rPr>
          <w:rFonts w:ascii="Times New Roman" w:hAnsi="Times New Roman"/>
          <w:b/>
          <w:bCs/>
          <w:color w:val="000080"/>
          <w:sz w:val="24"/>
          <w:szCs w:val="24"/>
        </w:rPr>
      </w:pPr>
    </w:p>
    <w:p w:rsidR="001832A5" w:rsidRPr="001832A5" w:rsidRDefault="001832A5" w:rsidP="001832A5">
      <w:pPr>
        <w:tabs>
          <w:tab w:val="left" w:pos="720"/>
        </w:tabs>
        <w:spacing w:after="0" w:line="240" w:lineRule="auto"/>
        <w:rPr>
          <w:rFonts w:ascii="Times New Roman" w:hAnsi="Times New Roman"/>
          <w:color w:val="000080"/>
          <w:sz w:val="23"/>
          <w:szCs w:val="24"/>
          <w:u w:val="single"/>
        </w:rPr>
      </w:pPr>
      <w:r w:rsidRPr="00ED7E20">
        <w:rPr>
          <w:rFonts w:ascii="Times New Roman" w:hAnsi="Times New Roman"/>
          <w:b/>
          <w:bCs/>
          <w:color w:val="000080"/>
          <w:sz w:val="24"/>
          <w:szCs w:val="24"/>
        </w:rPr>
        <w:t xml:space="preserve">Ozone Nonattainment </w:t>
      </w:r>
      <w:r>
        <w:rPr>
          <w:rFonts w:ascii="Times New Roman" w:hAnsi="Times New Roman"/>
          <w:b/>
          <w:bCs/>
          <w:color w:val="000080"/>
          <w:sz w:val="24"/>
          <w:szCs w:val="24"/>
        </w:rPr>
        <w:t xml:space="preserve">Compliance </w:t>
      </w:r>
      <w:r w:rsidRPr="00ED7E20">
        <w:rPr>
          <w:rFonts w:ascii="Times New Roman" w:hAnsi="Times New Roman"/>
          <w:b/>
          <w:bCs/>
          <w:color w:val="000080"/>
          <w:sz w:val="24"/>
          <w:szCs w:val="24"/>
        </w:rPr>
        <w:t xml:space="preserve">Review </w:t>
      </w:r>
    </w:p>
    <w:p w:rsidR="001832A5" w:rsidRPr="00ED7E20" w:rsidRDefault="001832A5" w:rsidP="001832A5">
      <w:pPr>
        <w:keepNext/>
        <w:tabs>
          <w:tab w:val="left" w:pos="720"/>
          <w:tab w:val="left" w:pos="1428"/>
          <w:tab w:val="left" w:pos="4716"/>
          <w:tab w:val="left" w:pos="4896"/>
          <w:tab w:val="left" w:pos="6718"/>
        </w:tabs>
        <w:suppressAutoHyphens/>
        <w:spacing w:after="0" w:line="240" w:lineRule="auto"/>
        <w:rPr>
          <w:rFonts w:ascii="Times New Roman" w:hAnsi="Times New Roman"/>
          <w:sz w:val="24"/>
          <w:szCs w:val="24"/>
        </w:rPr>
      </w:pPr>
      <w:r w:rsidRPr="00ED7E20">
        <w:rPr>
          <w:rFonts w:ascii="Times New Roman" w:hAnsi="Times New Roman"/>
          <w:sz w:val="24"/>
          <w:szCs w:val="24"/>
        </w:rPr>
        <w:t>To meet the NO</w:t>
      </w:r>
      <w:r w:rsidRPr="00ED7E20">
        <w:rPr>
          <w:rFonts w:ascii="Times New Roman" w:hAnsi="Times New Roman"/>
          <w:sz w:val="24"/>
          <w:szCs w:val="24"/>
          <w:vertAlign w:val="subscript"/>
        </w:rPr>
        <w:t>X</w:t>
      </w:r>
      <w:r w:rsidRPr="00ED7E20">
        <w:rPr>
          <w:rFonts w:ascii="Times New Roman" w:hAnsi="Times New Roman"/>
          <w:sz w:val="24"/>
          <w:szCs w:val="24"/>
        </w:rPr>
        <w:t xml:space="preserve"> reduction requirements for the 1-hour and </w:t>
      </w:r>
      <w:r>
        <w:rPr>
          <w:rFonts w:ascii="Times New Roman" w:hAnsi="Times New Roman"/>
          <w:sz w:val="24"/>
          <w:szCs w:val="24"/>
        </w:rPr>
        <w:t xml:space="preserve">1997 </w:t>
      </w:r>
      <w:r w:rsidRPr="00ED7E20">
        <w:rPr>
          <w:rFonts w:ascii="Times New Roman" w:hAnsi="Times New Roman"/>
          <w:sz w:val="24"/>
          <w:szCs w:val="24"/>
        </w:rPr>
        <w:t xml:space="preserve">8-hour ozone </w:t>
      </w:r>
      <w:r>
        <w:rPr>
          <w:rFonts w:ascii="Times New Roman" w:hAnsi="Times New Roman"/>
          <w:sz w:val="24"/>
          <w:szCs w:val="24"/>
        </w:rPr>
        <w:t>standards</w:t>
      </w:r>
      <w:r w:rsidRPr="00ED7E20">
        <w:rPr>
          <w:rFonts w:ascii="Times New Roman" w:hAnsi="Times New Roman"/>
          <w:sz w:val="24"/>
          <w:szCs w:val="24"/>
        </w:rPr>
        <w:t>, additional controls bey</w:t>
      </w:r>
      <w:bookmarkStart w:id="31" w:name="trc"/>
      <w:bookmarkEnd w:id="31"/>
      <w:r w:rsidRPr="00ED7E20">
        <w:rPr>
          <w:rFonts w:ascii="Times New Roman" w:hAnsi="Times New Roman"/>
          <w:sz w:val="24"/>
          <w:szCs w:val="24"/>
        </w:rPr>
        <w:t xml:space="preserve">ond those necessary for the Acid Rain Program were required.  </w:t>
      </w:r>
    </w:p>
    <w:p w:rsidR="001832A5" w:rsidRDefault="001832A5" w:rsidP="001832A5">
      <w:pPr>
        <w:tabs>
          <w:tab w:val="left" w:pos="720"/>
        </w:tabs>
        <w:spacing w:after="0" w:line="240" w:lineRule="auto"/>
        <w:rPr>
          <w:rFonts w:ascii="Times New Roman" w:hAnsi="Times New Roman"/>
          <w:b/>
          <w:bCs/>
          <w:color w:val="000080"/>
          <w:sz w:val="24"/>
          <w:szCs w:val="24"/>
        </w:rPr>
      </w:pPr>
    </w:p>
    <w:p w:rsidR="00752263" w:rsidRPr="00ED7E20" w:rsidRDefault="009C3851" w:rsidP="00752263">
      <w:pPr>
        <w:tabs>
          <w:tab w:val="left" w:pos="720"/>
          <w:tab w:val="left" w:pos="1428"/>
          <w:tab w:val="left" w:pos="4716"/>
          <w:tab w:val="left" w:pos="4896"/>
          <w:tab w:val="left" w:pos="6718"/>
        </w:tabs>
        <w:suppressAutoHyphens/>
        <w:spacing w:after="0" w:line="240" w:lineRule="auto"/>
        <w:rPr>
          <w:rFonts w:ascii="Times New Roman" w:hAnsi="Times New Roman"/>
          <w:sz w:val="24"/>
          <w:szCs w:val="24"/>
        </w:rPr>
      </w:pPr>
      <w:r>
        <w:rPr>
          <w:rFonts w:ascii="Times New Roman" w:hAnsi="Times New Roman"/>
          <w:sz w:val="24"/>
          <w:szCs w:val="24"/>
        </w:rPr>
        <w:t>Various a</w:t>
      </w:r>
      <w:r w:rsidR="00752263" w:rsidRPr="00ED7E20">
        <w:rPr>
          <w:rFonts w:ascii="Times New Roman" w:hAnsi="Times New Roman"/>
          <w:sz w:val="24"/>
          <w:szCs w:val="24"/>
        </w:rPr>
        <w:t xml:space="preserve">lternatives </w:t>
      </w:r>
      <w:r>
        <w:rPr>
          <w:rFonts w:ascii="Times New Roman" w:hAnsi="Times New Roman"/>
          <w:sz w:val="24"/>
          <w:szCs w:val="24"/>
        </w:rPr>
        <w:t xml:space="preserve">were </w:t>
      </w:r>
      <w:r w:rsidR="00752263" w:rsidRPr="00ED7E20">
        <w:rPr>
          <w:rFonts w:ascii="Times New Roman" w:hAnsi="Times New Roman"/>
          <w:sz w:val="24"/>
          <w:szCs w:val="24"/>
        </w:rPr>
        <w:t xml:space="preserve">considered </w:t>
      </w:r>
      <w:r>
        <w:rPr>
          <w:rFonts w:ascii="Times New Roman" w:hAnsi="Times New Roman"/>
          <w:sz w:val="24"/>
          <w:szCs w:val="24"/>
        </w:rPr>
        <w:t xml:space="preserve">and evaluated on a </w:t>
      </w:r>
      <w:r w:rsidR="00752263" w:rsidRPr="00ED7E20">
        <w:rPr>
          <w:rFonts w:ascii="Times New Roman" w:hAnsi="Times New Roman"/>
          <w:sz w:val="24"/>
          <w:szCs w:val="24"/>
        </w:rPr>
        <w:t xml:space="preserve">technological, operational, and economical </w:t>
      </w:r>
      <w:r>
        <w:rPr>
          <w:rFonts w:ascii="Times New Roman" w:hAnsi="Times New Roman"/>
          <w:sz w:val="24"/>
          <w:szCs w:val="24"/>
        </w:rPr>
        <w:t xml:space="preserve">basis, including SCR, overfire air, low NOx burners, use of natural gas, and various other low NOx technologies.  </w:t>
      </w:r>
      <w:r w:rsidR="00752263" w:rsidRPr="00ED7E20">
        <w:rPr>
          <w:rFonts w:ascii="Times New Roman" w:hAnsi="Times New Roman"/>
          <w:sz w:val="24"/>
          <w:szCs w:val="24"/>
        </w:rPr>
        <w:t xml:space="preserve">Analysis of the best solution for </w:t>
      </w:r>
      <w:r w:rsidR="00752263" w:rsidRPr="00ED7E20">
        <w:rPr>
          <w:rFonts w:ascii="Times New Roman" w:hAnsi="Times New Roman"/>
          <w:sz w:val="24"/>
          <w:szCs w:val="20"/>
        </w:rPr>
        <w:t>NO</w:t>
      </w:r>
      <w:r w:rsidR="00752263" w:rsidRPr="00ED7E20">
        <w:rPr>
          <w:rFonts w:ascii="Times New Roman" w:hAnsi="Times New Roman"/>
          <w:sz w:val="24"/>
          <w:szCs w:val="20"/>
          <w:vertAlign w:val="subscript"/>
        </w:rPr>
        <w:t>X</w:t>
      </w:r>
      <w:r w:rsidR="00752263" w:rsidRPr="00ED7E20">
        <w:rPr>
          <w:rFonts w:ascii="Times New Roman" w:hAnsi="Times New Roman"/>
          <w:sz w:val="24"/>
          <w:szCs w:val="24"/>
        </w:rPr>
        <w:t xml:space="preserve"> reduction at affected units consider</w:t>
      </w:r>
      <w:r>
        <w:rPr>
          <w:rFonts w:ascii="Times New Roman" w:hAnsi="Times New Roman"/>
          <w:sz w:val="24"/>
          <w:szCs w:val="24"/>
        </w:rPr>
        <w:t>ed</w:t>
      </w:r>
      <w:r w:rsidR="00752263" w:rsidRPr="00ED7E20">
        <w:rPr>
          <w:rFonts w:ascii="Times New Roman" w:hAnsi="Times New Roman"/>
          <w:sz w:val="24"/>
          <w:szCs w:val="24"/>
        </w:rPr>
        <w:t xml:space="preserve"> the capital and operating cost of the controls, as well as their performance and resulting production cost savings. </w:t>
      </w:r>
      <w:r w:rsidRPr="00ED7E20">
        <w:rPr>
          <w:rFonts w:ascii="Times New Roman" w:hAnsi="Times New Roman"/>
          <w:sz w:val="24"/>
          <w:szCs w:val="24"/>
        </w:rPr>
        <w:t>Actual compliance implementation decisions were made based on a technical review of the compliance alternatives, equipment-vendor price quotes, specific unit issues, and performance guarantees.</w:t>
      </w:r>
      <w:r w:rsidR="00752263" w:rsidRPr="00ED7E20">
        <w:rPr>
          <w:rFonts w:ascii="Times New Roman" w:hAnsi="Times New Roman"/>
          <w:sz w:val="24"/>
          <w:szCs w:val="24"/>
        </w:rPr>
        <w:t xml:space="preserve"> </w:t>
      </w:r>
      <w:r>
        <w:rPr>
          <w:rFonts w:ascii="Times New Roman" w:hAnsi="Times New Roman"/>
          <w:sz w:val="24"/>
          <w:szCs w:val="24"/>
        </w:rPr>
        <w:t xml:space="preserve"> </w:t>
      </w:r>
      <w:r w:rsidR="00752263" w:rsidRPr="00ED7E20">
        <w:rPr>
          <w:rFonts w:ascii="Times New Roman" w:hAnsi="Times New Roman"/>
          <w:sz w:val="24"/>
          <w:szCs w:val="24"/>
        </w:rPr>
        <w:t xml:space="preserve">In the case of meeting the 1-hour </w:t>
      </w:r>
      <w:r w:rsidR="00114154">
        <w:rPr>
          <w:rFonts w:ascii="Times New Roman" w:hAnsi="Times New Roman"/>
          <w:sz w:val="24"/>
          <w:szCs w:val="24"/>
        </w:rPr>
        <w:t xml:space="preserve">and </w:t>
      </w:r>
      <w:r w:rsidR="001C0320">
        <w:rPr>
          <w:rFonts w:ascii="Times New Roman" w:hAnsi="Times New Roman"/>
          <w:sz w:val="24"/>
          <w:szCs w:val="24"/>
        </w:rPr>
        <w:t xml:space="preserve">1997 </w:t>
      </w:r>
      <w:r w:rsidR="00114154">
        <w:rPr>
          <w:rFonts w:ascii="Times New Roman" w:hAnsi="Times New Roman"/>
          <w:sz w:val="24"/>
          <w:szCs w:val="24"/>
        </w:rPr>
        <w:t xml:space="preserve">8-hour ozone </w:t>
      </w:r>
      <w:r w:rsidR="00752263" w:rsidRPr="00ED7E20">
        <w:rPr>
          <w:rFonts w:ascii="Times New Roman" w:hAnsi="Times New Roman"/>
          <w:sz w:val="24"/>
          <w:szCs w:val="24"/>
        </w:rPr>
        <w:t>SIP</w:t>
      </w:r>
      <w:r w:rsidR="00114154">
        <w:rPr>
          <w:rFonts w:ascii="Times New Roman" w:hAnsi="Times New Roman"/>
          <w:sz w:val="24"/>
          <w:szCs w:val="24"/>
        </w:rPr>
        <w:t>s</w:t>
      </w:r>
      <w:r w:rsidR="00752263" w:rsidRPr="00ED7E20">
        <w:rPr>
          <w:rFonts w:ascii="Times New Roman" w:hAnsi="Times New Roman"/>
          <w:sz w:val="24"/>
          <w:szCs w:val="24"/>
        </w:rPr>
        <w:t xml:space="preserve"> for the Atlanta area, Plants McDonough</w:t>
      </w:r>
      <w:r>
        <w:rPr>
          <w:rFonts w:ascii="Times New Roman" w:hAnsi="Times New Roman"/>
          <w:sz w:val="24"/>
          <w:szCs w:val="24"/>
        </w:rPr>
        <w:t xml:space="preserve"> Units 1 and 2 (previous to their retirement)</w:t>
      </w:r>
      <w:r w:rsidR="00752263" w:rsidRPr="00ED7E20">
        <w:rPr>
          <w:rFonts w:ascii="Times New Roman" w:hAnsi="Times New Roman"/>
          <w:sz w:val="24"/>
          <w:szCs w:val="24"/>
        </w:rPr>
        <w:t>, Yates</w:t>
      </w:r>
      <w:r>
        <w:rPr>
          <w:rFonts w:ascii="Times New Roman" w:hAnsi="Times New Roman"/>
          <w:sz w:val="24"/>
          <w:szCs w:val="24"/>
        </w:rPr>
        <w:t xml:space="preserve"> Units 1 th</w:t>
      </w:r>
      <w:r w:rsidR="002F2289">
        <w:rPr>
          <w:rFonts w:ascii="Times New Roman" w:hAnsi="Times New Roman"/>
          <w:sz w:val="24"/>
          <w:szCs w:val="24"/>
        </w:rPr>
        <w:t>r</w:t>
      </w:r>
      <w:r>
        <w:rPr>
          <w:rFonts w:ascii="Times New Roman" w:hAnsi="Times New Roman"/>
          <w:sz w:val="24"/>
          <w:szCs w:val="24"/>
        </w:rPr>
        <w:t>ough 7</w:t>
      </w:r>
      <w:r w:rsidR="00752263" w:rsidRPr="00ED7E20">
        <w:rPr>
          <w:rFonts w:ascii="Times New Roman" w:hAnsi="Times New Roman"/>
          <w:sz w:val="24"/>
          <w:szCs w:val="24"/>
        </w:rPr>
        <w:t>, Bowen</w:t>
      </w:r>
      <w:r>
        <w:rPr>
          <w:rFonts w:ascii="Times New Roman" w:hAnsi="Times New Roman"/>
          <w:sz w:val="24"/>
          <w:szCs w:val="24"/>
        </w:rPr>
        <w:t xml:space="preserve"> Units 1 through 4</w:t>
      </w:r>
      <w:r w:rsidR="00752263" w:rsidRPr="00ED7E20">
        <w:rPr>
          <w:rFonts w:ascii="Times New Roman" w:hAnsi="Times New Roman"/>
          <w:sz w:val="24"/>
          <w:szCs w:val="24"/>
        </w:rPr>
        <w:t>, Wansley</w:t>
      </w:r>
      <w:r>
        <w:rPr>
          <w:rFonts w:ascii="Times New Roman" w:hAnsi="Times New Roman"/>
          <w:sz w:val="24"/>
          <w:szCs w:val="24"/>
        </w:rPr>
        <w:t xml:space="preserve"> Units 1 and 2</w:t>
      </w:r>
      <w:r w:rsidR="00752263" w:rsidRPr="00ED7E20">
        <w:rPr>
          <w:rFonts w:ascii="Times New Roman" w:hAnsi="Times New Roman"/>
          <w:sz w:val="24"/>
          <w:szCs w:val="24"/>
        </w:rPr>
        <w:t>, and Hammond</w:t>
      </w:r>
      <w:r>
        <w:rPr>
          <w:rFonts w:ascii="Times New Roman" w:hAnsi="Times New Roman"/>
          <w:sz w:val="24"/>
          <w:szCs w:val="24"/>
        </w:rPr>
        <w:t xml:space="preserve"> Units 1 through 4</w:t>
      </w:r>
      <w:r w:rsidR="00752263" w:rsidRPr="00ED7E20">
        <w:rPr>
          <w:rFonts w:ascii="Times New Roman" w:hAnsi="Times New Roman"/>
          <w:sz w:val="24"/>
          <w:szCs w:val="24"/>
        </w:rPr>
        <w:t xml:space="preserve"> m</w:t>
      </w:r>
      <w:r w:rsidR="000C1A9F">
        <w:rPr>
          <w:rFonts w:ascii="Times New Roman" w:hAnsi="Times New Roman"/>
          <w:sz w:val="24"/>
          <w:szCs w:val="24"/>
        </w:rPr>
        <w:t>e</w:t>
      </w:r>
      <w:r w:rsidR="00752263" w:rsidRPr="00ED7E20">
        <w:rPr>
          <w:rFonts w:ascii="Times New Roman" w:hAnsi="Times New Roman"/>
          <w:sz w:val="24"/>
          <w:szCs w:val="24"/>
        </w:rPr>
        <w:t>et specific source NO</w:t>
      </w:r>
      <w:r w:rsidR="00752263" w:rsidRPr="00ED7E20">
        <w:rPr>
          <w:rFonts w:ascii="Times New Roman" w:hAnsi="Times New Roman"/>
          <w:sz w:val="24"/>
          <w:szCs w:val="24"/>
          <w:vertAlign w:val="subscript"/>
        </w:rPr>
        <w:t>X</w:t>
      </w:r>
      <w:r w:rsidR="00752263" w:rsidRPr="00ED7E20">
        <w:rPr>
          <w:rFonts w:ascii="Times New Roman" w:hAnsi="Times New Roman"/>
          <w:sz w:val="24"/>
          <w:szCs w:val="24"/>
        </w:rPr>
        <w:t xml:space="preserve"> targets or an average 0.13-lb/mmBTU rate during the ozone season.  Plants Scherer </w:t>
      </w:r>
      <w:r>
        <w:rPr>
          <w:rFonts w:ascii="Times New Roman" w:hAnsi="Times New Roman"/>
          <w:sz w:val="24"/>
          <w:szCs w:val="24"/>
        </w:rPr>
        <w:t xml:space="preserve">Units 1 through 4 </w:t>
      </w:r>
      <w:r w:rsidR="00752263" w:rsidRPr="00ED7E20">
        <w:rPr>
          <w:rFonts w:ascii="Times New Roman" w:hAnsi="Times New Roman"/>
          <w:sz w:val="24"/>
          <w:szCs w:val="24"/>
        </w:rPr>
        <w:t xml:space="preserve">and Branch </w:t>
      </w:r>
      <w:r>
        <w:rPr>
          <w:rFonts w:ascii="Times New Roman" w:hAnsi="Times New Roman"/>
          <w:sz w:val="24"/>
          <w:szCs w:val="24"/>
        </w:rPr>
        <w:t xml:space="preserve">Units 1 through 4 </w:t>
      </w:r>
      <w:r w:rsidR="00752263" w:rsidRPr="00ED7E20">
        <w:rPr>
          <w:rFonts w:ascii="Times New Roman" w:hAnsi="Times New Roman"/>
          <w:sz w:val="24"/>
          <w:szCs w:val="24"/>
        </w:rPr>
        <w:t>are also affected and m</w:t>
      </w:r>
      <w:r w:rsidR="000C1A9F">
        <w:rPr>
          <w:rFonts w:ascii="Times New Roman" w:hAnsi="Times New Roman"/>
          <w:sz w:val="24"/>
          <w:szCs w:val="24"/>
        </w:rPr>
        <w:t>e</w:t>
      </w:r>
      <w:r w:rsidR="00752263" w:rsidRPr="00ED7E20">
        <w:rPr>
          <w:rFonts w:ascii="Times New Roman" w:hAnsi="Times New Roman"/>
          <w:sz w:val="24"/>
          <w:szCs w:val="24"/>
        </w:rPr>
        <w:t xml:space="preserve">et </w:t>
      </w:r>
      <w:r w:rsidR="002F2289">
        <w:rPr>
          <w:rFonts w:ascii="Times New Roman" w:hAnsi="Times New Roman"/>
          <w:sz w:val="24"/>
          <w:szCs w:val="24"/>
        </w:rPr>
        <w:t xml:space="preserve">either a </w:t>
      </w:r>
      <w:r w:rsidR="00752263" w:rsidRPr="00ED7E20">
        <w:rPr>
          <w:rFonts w:ascii="Times New Roman" w:hAnsi="Times New Roman"/>
          <w:sz w:val="24"/>
          <w:szCs w:val="24"/>
        </w:rPr>
        <w:t>specific</w:t>
      </w:r>
      <w:r w:rsidR="004033A5">
        <w:rPr>
          <w:rFonts w:ascii="Times New Roman" w:hAnsi="Times New Roman"/>
          <w:sz w:val="24"/>
          <w:szCs w:val="24"/>
        </w:rPr>
        <w:t xml:space="preserve"> source</w:t>
      </w:r>
      <w:r w:rsidR="00752263" w:rsidRPr="00ED7E20">
        <w:rPr>
          <w:rFonts w:ascii="Times New Roman" w:hAnsi="Times New Roman"/>
          <w:sz w:val="24"/>
          <w:szCs w:val="24"/>
        </w:rPr>
        <w:t xml:space="preserve"> NO</w:t>
      </w:r>
      <w:r w:rsidR="00752263" w:rsidRPr="00ED7E20">
        <w:rPr>
          <w:rFonts w:ascii="Times New Roman" w:hAnsi="Times New Roman"/>
          <w:sz w:val="24"/>
          <w:szCs w:val="24"/>
          <w:vertAlign w:val="subscript"/>
        </w:rPr>
        <w:t>X</w:t>
      </w:r>
      <w:r w:rsidR="00752263" w:rsidRPr="00ED7E20">
        <w:rPr>
          <w:rFonts w:ascii="Times New Roman" w:hAnsi="Times New Roman"/>
          <w:sz w:val="24"/>
          <w:szCs w:val="24"/>
        </w:rPr>
        <w:t xml:space="preserve"> targets or comply as part of the seven-plant</w:t>
      </w:r>
      <w:r w:rsidR="002F2289">
        <w:rPr>
          <w:rFonts w:ascii="Times New Roman" w:hAnsi="Times New Roman"/>
          <w:sz w:val="24"/>
          <w:szCs w:val="24"/>
        </w:rPr>
        <w:t xml:space="preserve"> average</w:t>
      </w:r>
      <w:r w:rsidR="00752263" w:rsidRPr="00ED7E20">
        <w:rPr>
          <w:rFonts w:ascii="Times New Roman" w:hAnsi="Times New Roman"/>
          <w:sz w:val="24"/>
          <w:szCs w:val="24"/>
        </w:rPr>
        <w:t xml:space="preserve"> 0.18-lb/mmBTU rate during the ozone season.  In addition, Plant Scherer is required to comply with</w:t>
      </w:r>
      <w:r w:rsidR="004033A5">
        <w:rPr>
          <w:rFonts w:ascii="Times New Roman" w:hAnsi="Times New Roman"/>
          <w:sz w:val="24"/>
          <w:szCs w:val="24"/>
        </w:rPr>
        <w:t xml:space="preserve"> specific source NOx targets or</w:t>
      </w:r>
      <w:r w:rsidR="00752263" w:rsidRPr="00ED7E20">
        <w:rPr>
          <w:rFonts w:ascii="Times New Roman" w:hAnsi="Times New Roman"/>
          <w:sz w:val="24"/>
          <w:szCs w:val="24"/>
        </w:rPr>
        <w:t xml:space="preserve"> a site-average emission rate of 0.17-lb/mmBTU rate during the ozone season.  The seven plant rate and the Scherer site-average rate were revised by the Georgia EPD effective May 1, 2007 to help address 8-hour ozone attainment in Macon, Georgia.  </w:t>
      </w:r>
    </w:p>
    <w:p w:rsidR="00752263" w:rsidRPr="00ED7E20" w:rsidRDefault="00752263" w:rsidP="00752263">
      <w:pPr>
        <w:tabs>
          <w:tab w:val="left" w:pos="720"/>
          <w:tab w:val="left" w:pos="1428"/>
          <w:tab w:val="left" w:pos="4716"/>
          <w:tab w:val="left" w:pos="4896"/>
          <w:tab w:val="left" w:pos="6718"/>
        </w:tabs>
        <w:suppressAutoHyphens/>
        <w:spacing w:after="0" w:line="240" w:lineRule="auto"/>
        <w:rPr>
          <w:rFonts w:ascii="Times New Roman" w:hAnsi="Times New Roman"/>
          <w:sz w:val="24"/>
          <w:szCs w:val="24"/>
        </w:rPr>
      </w:pPr>
    </w:p>
    <w:p w:rsidR="00752263" w:rsidRDefault="00752263" w:rsidP="00752263">
      <w:pPr>
        <w:keepNext/>
        <w:tabs>
          <w:tab w:val="left" w:pos="720"/>
        </w:tabs>
        <w:spacing w:after="0" w:line="240" w:lineRule="auto"/>
        <w:rPr>
          <w:rFonts w:ascii="Times New Roman" w:hAnsi="Times New Roman"/>
          <w:sz w:val="24"/>
          <w:szCs w:val="24"/>
        </w:rPr>
      </w:pPr>
      <w:r w:rsidRPr="00ED7E20">
        <w:rPr>
          <w:rFonts w:ascii="Times New Roman" w:hAnsi="Times New Roman"/>
          <w:sz w:val="24"/>
          <w:szCs w:val="24"/>
        </w:rPr>
        <w:t xml:space="preserve">Plant Scherer Units 1, 2, and 3 have </w:t>
      </w:r>
      <w:r w:rsidR="009C3851">
        <w:rPr>
          <w:rFonts w:ascii="Times New Roman" w:hAnsi="Times New Roman"/>
          <w:sz w:val="24"/>
          <w:szCs w:val="24"/>
        </w:rPr>
        <w:t xml:space="preserve">also </w:t>
      </w:r>
      <w:r w:rsidRPr="00ED7E20">
        <w:rPr>
          <w:rFonts w:ascii="Times New Roman" w:hAnsi="Times New Roman"/>
          <w:sz w:val="24"/>
          <w:szCs w:val="24"/>
        </w:rPr>
        <w:t>been switched to PRB coal to lower NO</w:t>
      </w:r>
      <w:r w:rsidRPr="00ED7E20">
        <w:rPr>
          <w:rFonts w:ascii="Times New Roman" w:hAnsi="Times New Roman"/>
          <w:sz w:val="24"/>
          <w:szCs w:val="24"/>
          <w:vertAlign w:val="subscript"/>
        </w:rPr>
        <w:t>X</w:t>
      </w:r>
      <w:r w:rsidRPr="00ED7E20">
        <w:rPr>
          <w:rFonts w:ascii="Times New Roman" w:hAnsi="Times New Roman"/>
          <w:sz w:val="24"/>
          <w:szCs w:val="24"/>
        </w:rPr>
        <w:t xml:space="preserve"> emissions. In addition to controls required to comply with ozone nonattainment area requirements, the Georgia Multipollutant Rule, requires the installation and operation of SCR systems at certain additional units by specified dates between 2008 and 2015.</w:t>
      </w:r>
    </w:p>
    <w:p w:rsidR="00114154" w:rsidRDefault="00114154" w:rsidP="00752263">
      <w:pPr>
        <w:keepNext/>
        <w:tabs>
          <w:tab w:val="left" w:pos="720"/>
        </w:tabs>
        <w:spacing w:after="0" w:line="240" w:lineRule="auto"/>
        <w:rPr>
          <w:rFonts w:ascii="Times New Roman" w:hAnsi="Times New Roman"/>
          <w:sz w:val="24"/>
          <w:szCs w:val="24"/>
        </w:rPr>
      </w:pPr>
    </w:p>
    <w:p w:rsidR="00114154" w:rsidRPr="00ED7E20" w:rsidRDefault="001C0320" w:rsidP="00752263">
      <w:pPr>
        <w:keepNext/>
        <w:tabs>
          <w:tab w:val="left" w:pos="720"/>
        </w:tabs>
        <w:spacing w:after="0" w:line="240" w:lineRule="auto"/>
        <w:rPr>
          <w:rFonts w:ascii="Times New Roman" w:hAnsi="Times New Roman"/>
          <w:sz w:val="24"/>
          <w:szCs w:val="24"/>
        </w:rPr>
      </w:pPr>
      <w:r>
        <w:rPr>
          <w:rFonts w:ascii="Times New Roman" w:hAnsi="Times New Roman"/>
          <w:sz w:val="24"/>
          <w:szCs w:val="24"/>
        </w:rPr>
        <w:t xml:space="preserve">In anticipation of possible requirements due to the Atlanta area’s designation of nonattainment with the 2008 8-hour ozone standard or due to EPA’s planned revision to the ozone standard in 2014, additional NOx reductions may be required in the future.  </w:t>
      </w:r>
      <w:r w:rsidR="00DB2963" w:rsidRPr="00913813">
        <w:rPr>
          <w:rFonts w:ascii="Times New Roman" w:hAnsi="Times New Roman"/>
          <w:b/>
          <w:sz w:val="24"/>
          <w:szCs w:val="24"/>
        </w:rPr>
        <w:t>REDACTED REDACTED REDACTED REDACTED REDACTED REDACTED REDACTED REDACTED REDACTED REDACTED REDACTED REDACTED REDACTED REDACTED REDACTED REDACTED REDACTED REDACTED</w:t>
      </w:r>
      <w:r w:rsidR="00DB2963" w:rsidRPr="00E107BE">
        <w:rPr>
          <w:rFonts w:ascii="Times New Roman" w:hAnsi="Times New Roman"/>
          <w:sz w:val="24"/>
          <w:szCs w:val="24"/>
        </w:rPr>
        <w:t xml:space="preserve"> </w:t>
      </w:r>
    </w:p>
    <w:p w:rsidR="00752263" w:rsidRPr="00ED7E20" w:rsidRDefault="00752263" w:rsidP="00752263">
      <w:pPr>
        <w:tabs>
          <w:tab w:val="left" w:pos="720"/>
        </w:tabs>
        <w:spacing w:after="0" w:line="240" w:lineRule="auto"/>
        <w:rPr>
          <w:rFonts w:ascii="Times New Roman" w:hAnsi="Times New Roman"/>
          <w:bCs/>
          <w:sz w:val="24"/>
          <w:szCs w:val="24"/>
          <w:u w:val="single"/>
        </w:rPr>
      </w:pPr>
    </w:p>
    <w:p w:rsidR="00752263" w:rsidRPr="00ED7E20" w:rsidRDefault="00752263" w:rsidP="00752263">
      <w:pPr>
        <w:keepNext/>
        <w:autoSpaceDE w:val="0"/>
        <w:autoSpaceDN w:val="0"/>
        <w:adjustRightInd w:val="0"/>
        <w:spacing w:after="0" w:line="240" w:lineRule="auto"/>
        <w:rPr>
          <w:rFonts w:ascii="Times New Roman" w:hAnsi="Times New Roman"/>
          <w:b/>
          <w:bCs/>
          <w:color w:val="000080"/>
          <w:sz w:val="24"/>
          <w:szCs w:val="24"/>
        </w:rPr>
      </w:pPr>
      <w:r w:rsidRPr="00ED7E20">
        <w:rPr>
          <w:rFonts w:ascii="Times New Roman" w:hAnsi="Times New Roman"/>
          <w:b/>
          <w:bCs/>
          <w:color w:val="000080"/>
          <w:sz w:val="24"/>
          <w:szCs w:val="24"/>
        </w:rPr>
        <w:t>CAIR Annual NO</w:t>
      </w:r>
      <w:r w:rsidRPr="00ED7E20">
        <w:rPr>
          <w:rFonts w:ascii="Times New Roman" w:hAnsi="Times New Roman"/>
          <w:b/>
          <w:bCs/>
          <w:color w:val="000080"/>
          <w:sz w:val="24"/>
          <w:szCs w:val="24"/>
          <w:vertAlign w:val="subscript"/>
        </w:rPr>
        <w:t>X</w:t>
      </w:r>
      <w:r w:rsidRPr="00ED7E20">
        <w:rPr>
          <w:rFonts w:ascii="Times New Roman" w:hAnsi="Times New Roman"/>
          <w:b/>
          <w:bCs/>
          <w:color w:val="000080"/>
          <w:sz w:val="24"/>
          <w:szCs w:val="24"/>
        </w:rPr>
        <w:t xml:space="preserve"> Compliance</w:t>
      </w:r>
      <w:r w:rsidR="000767A6">
        <w:rPr>
          <w:rFonts w:ascii="Times New Roman" w:hAnsi="Times New Roman"/>
          <w:b/>
          <w:bCs/>
          <w:color w:val="000080"/>
          <w:sz w:val="24"/>
          <w:szCs w:val="24"/>
        </w:rPr>
        <w:t xml:space="preserve"> Review</w:t>
      </w:r>
    </w:p>
    <w:p w:rsidR="00752263" w:rsidRPr="00ED7E20" w:rsidRDefault="00752263" w:rsidP="00752263">
      <w:pPr>
        <w:tabs>
          <w:tab w:val="left" w:pos="720"/>
          <w:tab w:val="left" w:pos="1428"/>
          <w:tab w:val="left" w:pos="4716"/>
          <w:tab w:val="left" w:pos="4896"/>
          <w:tab w:val="left" w:pos="6718"/>
        </w:tabs>
        <w:suppressAutoHyphens/>
        <w:spacing w:after="0" w:line="240" w:lineRule="auto"/>
        <w:rPr>
          <w:rFonts w:ascii="Times New Roman" w:hAnsi="Times New Roman"/>
          <w:sz w:val="24"/>
          <w:szCs w:val="24"/>
        </w:rPr>
      </w:pPr>
      <w:r w:rsidRPr="00ED7E20">
        <w:rPr>
          <w:rFonts w:ascii="Times New Roman" w:hAnsi="Times New Roman"/>
          <w:sz w:val="24"/>
          <w:szCs w:val="24"/>
        </w:rPr>
        <w:t>The G</w:t>
      </w:r>
      <w:r w:rsidR="00F709DE">
        <w:rPr>
          <w:rFonts w:ascii="Times New Roman" w:hAnsi="Times New Roman"/>
          <w:sz w:val="24"/>
          <w:szCs w:val="24"/>
        </w:rPr>
        <w:t>eorgia Power</w:t>
      </w:r>
      <w:r w:rsidRPr="00ED7E20">
        <w:rPr>
          <w:rFonts w:ascii="Times New Roman" w:hAnsi="Times New Roman"/>
          <w:sz w:val="24"/>
          <w:szCs w:val="24"/>
        </w:rPr>
        <w:t xml:space="preserve"> CAIR Annual NO</w:t>
      </w:r>
      <w:r w:rsidRPr="00ED7E20">
        <w:rPr>
          <w:rFonts w:ascii="Times New Roman" w:hAnsi="Times New Roman"/>
          <w:sz w:val="24"/>
          <w:szCs w:val="24"/>
          <w:vertAlign w:val="subscript"/>
        </w:rPr>
        <w:t>X</w:t>
      </w:r>
      <w:r w:rsidRPr="00ED7E20">
        <w:rPr>
          <w:rFonts w:ascii="Times New Roman" w:hAnsi="Times New Roman"/>
          <w:sz w:val="24"/>
          <w:szCs w:val="24"/>
        </w:rPr>
        <w:t xml:space="preserve"> compliance strategy involves purchasing allowances for CAIR Phase I (2009-2014) to supplement reductions from NO</w:t>
      </w:r>
      <w:r w:rsidRPr="00ED7E20">
        <w:rPr>
          <w:rFonts w:ascii="Times New Roman" w:hAnsi="Times New Roman"/>
          <w:sz w:val="24"/>
          <w:szCs w:val="24"/>
          <w:vertAlign w:val="subscript"/>
        </w:rPr>
        <w:t xml:space="preserve">X </w:t>
      </w:r>
      <w:r w:rsidRPr="00ED7E20">
        <w:rPr>
          <w:rFonts w:ascii="Times New Roman" w:hAnsi="Times New Roman"/>
          <w:sz w:val="24"/>
          <w:szCs w:val="24"/>
        </w:rPr>
        <w:t>controls.  The Annual NO</w:t>
      </w:r>
      <w:r w:rsidRPr="00ED7E20">
        <w:rPr>
          <w:rFonts w:ascii="Times New Roman" w:hAnsi="Times New Roman"/>
          <w:sz w:val="24"/>
          <w:szCs w:val="24"/>
          <w:vertAlign w:val="subscript"/>
        </w:rPr>
        <w:t>X</w:t>
      </w:r>
      <w:r w:rsidRPr="00ED7E20">
        <w:rPr>
          <w:rFonts w:ascii="Times New Roman" w:hAnsi="Times New Roman"/>
          <w:sz w:val="24"/>
          <w:szCs w:val="24"/>
        </w:rPr>
        <w:t xml:space="preserve"> strategy can include fuel switching, low NO</w:t>
      </w:r>
      <w:r w:rsidRPr="00ED7E20">
        <w:rPr>
          <w:rFonts w:ascii="Times New Roman" w:hAnsi="Times New Roman"/>
          <w:sz w:val="24"/>
          <w:szCs w:val="24"/>
          <w:vertAlign w:val="subscript"/>
        </w:rPr>
        <w:t>X</w:t>
      </w:r>
      <w:r w:rsidRPr="00ED7E20">
        <w:rPr>
          <w:rFonts w:ascii="Times New Roman" w:hAnsi="Times New Roman"/>
          <w:sz w:val="24"/>
          <w:szCs w:val="24"/>
        </w:rPr>
        <w:t xml:space="preserve"> burners, selective catalytic reduction (SCR), selective non-catalytic reduction (SNCR), </w:t>
      </w:r>
      <w:proofErr w:type="gramStart"/>
      <w:r w:rsidRPr="00ED7E20">
        <w:rPr>
          <w:rFonts w:ascii="Times New Roman" w:hAnsi="Times New Roman"/>
          <w:sz w:val="24"/>
          <w:szCs w:val="24"/>
        </w:rPr>
        <w:t>the</w:t>
      </w:r>
      <w:proofErr w:type="gramEnd"/>
      <w:r w:rsidRPr="00ED7E20">
        <w:rPr>
          <w:rFonts w:ascii="Times New Roman" w:hAnsi="Times New Roman"/>
          <w:sz w:val="24"/>
          <w:szCs w:val="24"/>
        </w:rPr>
        <w:t xml:space="preserve"> use of banked and purchased Annual NO</w:t>
      </w:r>
      <w:r w:rsidRPr="00ED7E20">
        <w:rPr>
          <w:rFonts w:ascii="Times New Roman" w:hAnsi="Times New Roman"/>
          <w:sz w:val="24"/>
          <w:szCs w:val="24"/>
          <w:vertAlign w:val="subscript"/>
        </w:rPr>
        <w:t>X</w:t>
      </w:r>
      <w:r w:rsidRPr="00ED7E20">
        <w:rPr>
          <w:rFonts w:ascii="Times New Roman" w:hAnsi="Times New Roman"/>
          <w:sz w:val="24"/>
          <w:szCs w:val="24"/>
        </w:rPr>
        <w:t xml:space="preserve"> allowances, and unit retirement.  The strategy for the purchase of allowances is included later in this section. </w:t>
      </w:r>
    </w:p>
    <w:p w:rsidR="00752263" w:rsidRPr="00ED7E20" w:rsidRDefault="00752263" w:rsidP="00752263">
      <w:pPr>
        <w:tabs>
          <w:tab w:val="left" w:pos="720"/>
          <w:tab w:val="left" w:pos="1428"/>
          <w:tab w:val="left" w:pos="4716"/>
          <w:tab w:val="left" w:pos="4896"/>
          <w:tab w:val="left" w:pos="6718"/>
        </w:tabs>
        <w:suppressAutoHyphens/>
        <w:spacing w:after="0" w:line="240" w:lineRule="auto"/>
        <w:rPr>
          <w:rFonts w:ascii="Times New Roman" w:hAnsi="Times New Roman"/>
          <w:sz w:val="24"/>
          <w:szCs w:val="24"/>
        </w:rPr>
      </w:pPr>
    </w:p>
    <w:p w:rsidR="00752263" w:rsidRDefault="00752263" w:rsidP="00752263">
      <w:pPr>
        <w:tabs>
          <w:tab w:val="left" w:pos="720"/>
          <w:tab w:val="left" w:pos="1428"/>
          <w:tab w:val="left" w:pos="4716"/>
          <w:tab w:val="left" w:pos="4896"/>
          <w:tab w:val="left" w:pos="6718"/>
        </w:tabs>
        <w:suppressAutoHyphens/>
        <w:spacing w:after="0" w:line="240" w:lineRule="auto"/>
        <w:rPr>
          <w:rFonts w:ascii="Times New Roman" w:hAnsi="Times New Roman"/>
          <w:sz w:val="24"/>
          <w:szCs w:val="24"/>
        </w:rPr>
      </w:pPr>
      <w:r w:rsidRPr="00ED7E20">
        <w:rPr>
          <w:rFonts w:ascii="Times New Roman" w:hAnsi="Times New Roman"/>
          <w:sz w:val="24"/>
          <w:szCs w:val="24"/>
        </w:rPr>
        <w:t>Like the SO</w:t>
      </w:r>
      <w:r w:rsidRPr="00ED7E20">
        <w:rPr>
          <w:rFonts w:ascii="Times New Roman" w:hAnsi="Times New Roman"/>
          <w:sz w:val="24"/>
          <w:szCs w:val="24"/>
          <w:vertAlign w:val="subscript"/>
        </w:rPr>
        <w:t>2</w:t>
      </w:r>
      <w:r w:rsidRPr="00ED7E20">
        <w:rPr>
          <w:rFonts w:ascii="Times New Roman" w:hAnsi="Times New Roman"/>
          <w:sz w:val="24"/>
          <w:szCs w:val="24"/>
        </w:rPr>
        <w:t xml:space="preserve"> market, the </w:t>
      </w:r>
      <w:r>
        <w:rPr>
          <w:rFonts w:ascii="Times New Roman" w:hAnsi="Times New Roman"/>
          <w:sz w:val="24"/>
          <w:szCs w:val="24"/>
        </w:rPr>
        <w:t xml:space="preserve">Annual </w:t>
      </w:r>
      <w:r w:rsidRPr="00ED7E20">
        <w:rPr>
          <w:rFonts w:ascii="Times New Roman" w:hAnsi="Times New Roman" w:cs="Arial"/>
          <w:sz w:val="24"/>
          <w:szCs w:val="20"/>
        </w:rPr>
        <w:t>NO</w:t>
      </w:r>
      <w:r w:rsidRPr="00ED7E20">
        <w:rPr>
          <w:rFonts w:ascii="Times New Roman" w:hAnsi="Times New Roman" w:cs="Arial"/>
          <w:sz w:val="24"/>
          <w:szCs w:val="20"/>
          <w:vertAlign w:val="subscript"/>
        </w:rPr>
        <w:t>X</w:t>
      </w:r>
      <w:r w:rsidRPr="00ED7E20">
        <w:rPr>
          <w:rFonts w:ascii="Times New Roman" w:hAnsi="Times New Roman"/>
          <w:sz w:val="24"/>
          <w:szCs w:val="24"/>
        </w:rPr>
        <w:t xml:space="preserve"> allowance market </w:t>
      </w:r>
      <w:r w:rsidR="00080992">
        <w:rPr>
          <w:rFonts w:ascii="Times New Roman" w:hAnsi="Times New Roman"/>
          <w:sz w:val="24"/>
          <w:szCs w:val="24"/>
        </w:rPr>
        <w:t>was</w:t>
      </w:r>
      <w:r w:rsidRPr="00ED7E20">
        <w:rPr>
          <w:rFonts w:ascii="Times New Roman" w:hAnsi="Times New Roman"/>
          <w:sz w:val="24"/>
          <w:szCs w:val="24"/>
        </w:rPr>
        <w:t xml:space="preserve"> marked by volatility </w:t>
      </w:r>
      <w:r w:rsidR="000C1A9F">
        <w:rPr>
          <w:rFonts w:ascii="Times New Roman" w:hAnsi="Times New Roman"/>
          <w:sz w:val="24"/>
          <w:szCs w:val="24"/>
        </w:rPr>
        <w:t xml:space="preserve">prior to and </w:t>
      </w:r>
      <w:r w:rsidRPr="00ED7E20">
        <w:rPr>
          <w:rFonts w:ascii="Times New Roman" w:hAnsi="Times New Roman"/>
          <w:sz w:val="24"/>
          <w:szCs w:val="24"/>
        </w:rPr>
        <w:t>following the CAIR</w:t>
      </w:r>
      <w:r w:rsidR="000C1A9F">
        <w:rPr>
          <w:rFonts w:ascii="Times New Roman" w:hAnsi="Times New Roman"/>
          <w:sz w:val="24"/>
          <w:szCs w:val="24"/>
        </w:rPr>
        <w:t xml:space="preserve"> litigation</w:t>
      </w:r>
      <w:r w:rsidRPr="00ED7E20">
        <w:rPr>
          <w:rFonts w:ascii="Times New Roman" w:hAnsi="Times New Roman"/>
          <w:sz w:val="24"/>
          <w:szCs w:val="24"/>
        </w:rPr>
        <w:t xml:space="preserve">.  The market for </w:t>
      </w:r>
      <w:r w:rsidRPr="00ED7E20">
        <w:rPr>
          <w:rFonts w:ascii="Times New Roman" w:hAnsi="Times New Roman" w:cs="Arial"/>
          <w:sz w:val="24"/>
          <w:szCs w:val="20"/>
        </w:rPr>
        <w:t>NO</w:t>
      </w:r>
      <w:r w:rsidRPr="00ED7E20">
        <w:rPr>
          <w:rFonts w:ascii="Times New Roman" w:hAnsi="Times New Roman" w:cs="Arial"/>
          <w:sz w:val="24"/>
          <w:szCs w:val="20"/>
          <w:vertAlign w:val="subscript"/>
        </w:rPr>
        <w:t>X</w:t>
      </w:r>
      <w:r w:rsidRPr="00ED7E20">
        <w:rPr>
          <w:rFonts w:ascii="Times New Roman" w:hAnsi="Times New Roman"/>
          <w:sz w:val="24"/>
          <w:szCs w:val="24"/>
        </w:rPr>
        <w:t xml:space="preserve"> allowances dropped in price and trading volume in July 2008 and rose in Decemb</w:t>
      </w:r>
      <w:r>
        <w:rPr>
          <w:rFonts w:ascii="Times New Roman" w:hAnsi="Times New Roman"/>
          <w:sz w:val="24"/>
          <w:szCs w:val="24"/>
        </w:rPr>
        <w:t xml:space="preserve">er 2008 following the remand.  </w:t>
      </w:r>
      <w:r w:rsidRPr="00ED7E20">
        <w:rPr>
          <w:rFonts w:ascii="Times New Roman" w:hAnsi="Times New Roman"/>
          <w:sz w:val="24"/>
          <w:szCs w:val="24"/>
        </w:rPr>
        <w:t>Prices</w:t>
      </w:r>
      <w:r w:rsidR="00F709DE">
        <w:rPr>
          <w:rFonts w:ascii="Times New Roman" w:hAnsi="Times New Roman"/>
          <w:sz w:val="24"/>
          <w:szCs w:val="24"/>
        </w:rPr>
        <w:t xml:space="preserve"> started to fall in 2009 and</w:t>
      </w:r>
      <w:r w:rsidRPr="00ED7E20">
        <w:rPr>
          <w:rFonts w:ascii="Times New Roman" w:hAnsi="Times New Roman"/>
          <w:sz w:val="24"/>
          <w:szCs w:val="24"/>
        </w:rPr>
        <w:t xml:space="preserve"> continued to fall in 201</w:t>
      </w:r>
      <w:r w:rsidR="00E76695">
        <w:rPr>
          <w:rFonts w:ascii="Times New Roman" w:hAnsi="Times New Roman"/>
          <w:sz w:val="24"/>
          <w:szCs w:val="24"/>
        </w:rPr>
        <w:t>2</w:t>
      </w:r>
      <w:r w:rsidRPr="00ED7E20">
        <w:rPr>
          <w:rFonts w:ascii="Times New Roman" w:hAnsi="Times New Roman"/>
          <w:sz w:val="24"/>
          <w:szCs w:val="24"/>
        </w:rPr>
        <w:t xml:space="preserve"> due to recession-driven electricity demand reductions and continued uncertainty over a CAIR replacement.  Figure 4.1.2-1 shows historic Annual NO</w:t>
      </w:r>
      <w:r w:rsidRPr="00ED7E20">
        <w:rPr>
          <w:rFonts w:ascii="Times New Roman" w:hAnsi="Times New Roman"/>
          <w:sz w:val="24"/>
          <w:szCs w:val="24"/>
          <w:vertAlign w:val="subscript"/>
        </w:rPr>
        <w:t>X</w:t>
      </w:r>
      <w:r w:rsidRPr="00ED7E20">
        <w:rPr>
          <w:rFonts w:ascii="Times New Roman" w:hAnsi="Times New Roman"/>
          <w:sz w:val="24"/>
          <w:szCs w:val="24"/>
        </w:rPr>
        <w:t xml:space="preserve"> prices since 2008.  </w:t>
      </w:r>
    </w:p>
    <w:p w:rsidR="00752263" w:rsidRPr="00ED7E20" w:rsidRDefault="00752263" w:rsidP="00752263">
      <w:pPr>
        <w:tabs>
          <w:tab w:val="left" w:pos="720"/>
          <w:tab w:val="left" w:pos="1428"/>
          <w:tab w:val="left" w:pos="4716"/>
          <w:tab w:val="left" w:pos="4896"/>
          <w:tab w:val="left" w:pos="6718"/>
        </w:tabs>
        <w:suppressAutoHyphens/>
        <w:spacing w:after="0" w:line="240" w:lineRule="auto"/>
        <w:rPr>
          <w:rFonts w:ascii="Times New Roman" w:hAnsi="Times New Roman"/>
          <w:sz w:val="24"/>
          <w:szCs w:val="24"/>
        </w:rPr>
      </w:pPr>
      <w:r w:rsidRPr="00ED7E20">
        <w:rPr>
          <w:rFonts w:ascii="Times New Roman" w:hAnsi="Times New Roman"/>
          <w:sz w:val="24"/>
          <w:szCs w:val="24"/>
        </w:rPr>
        <w:t>Annual NO</w:t>
      </w:r>
      <w:r w:rsidRPr="00ED7E20">
        <w:rPr>
          <w:rFonts w:ascii="Times New Roman" w:hAnsi="Times New Roman"/>
          <w:sz w:val="24"/>
          <w:szCs w:val="24"/>
          <w:vertAlign w:val="subscript"/>
        </w:rPr>
        <w:t>X</w:t>
      </w:r>
      <w:r w:rsidRPr="00ED7E20">
        <w:rPr>
          <w:rFonts w:ascii="Times New Roman" w:hAnsi="Times New Roman"/>
          <w:sz w:val="24"/>
          <w:szCs w:val="24"/>
        </w:rPr>
        <w:t xml:space="preserve"> allowance purchases and the use of NO</w:t>
      </w:r>
      <w:r w:rsidRPr="00ED7E20">
        <w:rPr>
          <w:rFonts w:ascii="Times New Roman" w:hAnsi="Times New Roman"/>
          <w:sz w:val="24"/>
          <w:szCs w:val="24"/>
          <w:vertAlign w:val="subscript"/>
        </w:rPr>
        <w:t>X</w:t>
      </w:r>
      <w:r w:rsidRPr="00ED7E20">
        <w:rPr>
          <w:rFonts w:ascii="Times New Roman" w:hAnsi="Times New Roman"/>
          <w:sz w:val="24"/>
          <w:szCs w:val="24"/>
        </w:rPr>
        <w:t xml:space="preserve"> controls </w:t>
      </w:r>
      <w:r w:rsidR="001B3998">
        <w:rPr>
          <w:rFonts w:ascii="Times New Roman" w:hAnsi="Times New Roman"/>
          <w:sz w:val="24"/>
          <w:szCs w:val="24"/>
        </w:rPr>
        <w:t>at Georgia Power units</w:t>
      </w:r>
      <w:r w:rsidRPr="00ED7E20">
        <w:rPr>
          <w:rFonts w:ascii="Times New Roman" w:hAnsi="Times New Roman"/>
          <w:sz w:val="24"/>
          <w:szCs w:val="24"/>
        </w:rPr>
        <w:t xml:space="preserve"> ha</w:t>
      </w:r>
      <w:r>
        <w:rPr>
          <w:rFonts w:ascii="Times New Roman" w:hAnsi="Times New Roman"/>
          <w:sz w:val="24"/>
          <w:szCs w:val="24"/>
        </w:rPr>
        <w:t>ve</w:t>
      </w:r>
      <w:r w:rsidRPr="00ED7E20">
        <w:rPr>
          <w:rFonts w:ascii="Times New Roman" w:hAnsi="Times New Roman"/>
          <w:sz w:val="24"/>
          <w:szCs w:val="24"/>
        </w:rPr>
        <w:t xml:space="preserve"> been instrumental in achieving CAIR Annual NO</w:t>
      </w:r>
      <w:r w:rsidRPr="00ED7E20">
        <w:rPr>
          <w:rFonts w:ascii="Times New Roman" w:hAnsi="Times New Roman"/>
          <w:sz w:val="24"/>
          <w:szCs w:val="24"/>
          <w:vertAlign w:val="subscript"/>
        </w:rPr>
        <w:t>X</w:t>
      </w:r>
      <w:r w:rsidRPr="00ED7E20">
        <w:rPr>
          <w:rFonts w:ascii="Times New Roman" w:hAnsi="Times New Roman"/>
          <w:sz w:val="24"/>
          <w:szCs w:val="24"/>
        </w:rPr>
        <w:t xml:space="preserve"> compliance.  SCR emission control equipment will </w:t>
      </w:r>
      <w:r w:rsidR="00EB0AB0">
        <w:rPr>
          <w:rFonts w:ascii="Times New Roman" w:hAnsi="Times New Roman"/>
          <w:sz w:val="24"/>
          <w:szCs w:val="24"/>
        </w:rPr>
        <w:t xml:space="preserve">continue to </w:t>
      </w:r>
      <w:r w:rsidRPr="00ED7E20">
        <w:rPr>
          <w:rFonts w:ascii="Times New Roman" w:hAnsi="Times New Roman"/>
          <w:sz w:val="24"/>
          <w:szCs w:val="24"/>
        </w:rPr>
        <w:t>play a large role in NO</w:t>
      </w:r>
      <w:r w:rsidRPr="00ED7E20">
        <w:rPr>
          <w:rFonts w:ascii="Times New Roman" w:hAnsi="Times New Roman"/>
          <w:sz w:val="24"/>
          <w:szCs w:val="24"/>
          <w:vertAlign w:val="subscript"/>
        </w:rPr>
        <w:t>X</w:t>
      </w:r>
      <w:r w:rsidRPr="00ED7E20">
        <w:rPr>
          <w:rFonts w:ascii="Times New Roman" w:hAnsi="Times New Roman"/>
          <w:sz w:val="24"/>
          <w:szCs w:val="24"/>
        </w:rPr>
        <w:t xml:space="preserve"> compliance, and, as discussed above, SCR equipment is currently being planned for additional units in Georgia.  </w:t>
      </w:r>
      <w:r w:rsidR="00DB2963" w:rsidRPr="00913813">
        <w:rPr>
          <w:rFonts w:ascii="Times New Roman" w:hAnsi="Times New Roman"/>
          <w:b/>
          <w:sz w:val="24"/>
          <w:szCs w:val="24"/>
        </w:rPr>
        <w:t xml:space="preserve">REDACTED REDACTED REDACTED REDACTED REDACTED REDACTED REDACTED REDACTED REDACTED REDACTED REDACTED REDACTED REDACTED REDACTED REDACTED REDACTED REDACTED REDACTED REDACTED REDACTED </w:t>
      </w:r>
    </w:p>
    <w:p w:rsidR="00752263" w:rsidRDefault="00752263" w:rsidP="00752263">
      <w:pPr>
        <w:tabs>
          <w:tab w:val="left" w:pos="720"/>
          <w:tab w:val="left" w:pos="1428"/>
          <w:tab w:val="left" w:pos="4716"/>
          <w:tab w:val="left" w:pos="4896"/>
          <w:tab w:val="left" w:pos="6718"/>
        </w:tabs>
        <w:suppressAutoHyphens/>
        <w:spacing w:after="0" w:line="240" w:lineRule="auto"/>
        <w:rPr>
          <w:rFonts w:ascii="Times New Roman" w:hAnsi="Times New Roman"/>
          <w:sz w:val="24"/>
          <w:szCs w:val="24"/>
        </w:rPr>
      </w:pPr>
    </w:p>
    <w:p w:rsidR="00752263" w:rsidRPr="00ED7E20" w:rsidRDefault="001D1F0E" w:rsidP="00BE7DEC">
      <w:pPr>
        <w:tabs>
          <w:tab w:val="left" w:pos="720"/>
          <w:tab w:val="left" w:pos="1428"/>
          <w:tab w:val="left" w:pos="4716"/>
          <w:tab w:val="left" w:pos="4896"/>
          <w:tab w:val="left" w:pos="6718"/>
        </w:tabs>
        <w:suppressAutoHyphens/>
        <w:spacing w:after="0" w:line="240" w:lineRule="auto"/>
        <w:jc w:val="center"/>
        <w:rPr>
          <w:rFonts w:ascii="Times New Roman" w:hAnsi="Times New Roman"/>
          <w:b/>
          <w:bCs/>
          <w:sz w:val="20"/>
          <w:szCs w:val="20"/>
        </w:rPr>
      </w:pPr>
      <w:r>
        <w:rPr>
          <w:rFonts w:ascii="Times New Roman" w:hAnsi="Times New Roman"/>
          <w:noProof/>
          <w:sz w:val="24"/>
          <w:szCs w:val="24"/>
        </w:rPr>
        <w:drawing>
          <wp:anchor distT="0" distB="0" distL="114300" distR="114300" simplePos="0" relativeHeight="251673600" behindDoc="0" locked="0" layoutInCell="1" allowOverlap="1">
            <wp:simplePos x="0" y="0"/>
            <wp:positionH relativeFrom="column">
              <wp:posOffset>219075</wp:posOffset>
            </wp:positionH>
            <wp:positionV relativeFrom="paragraph">
              <wp:align>top</wp:align>
            </wp:positionV>
            <wp:extent cx="5262245" cy="3286125"/>
            <wp:effectExtent l="19050" t="0" r="14605" b="0"/>
            <wp:wrapSquare wrapText="bothSides"/>
            <wp:docPr id="12" name="Char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anchor>
        </w:drawing>
      </w:r>
      <w:r w:rsidR="00913813">
        <w:rPr>
          <w:rFonts w:ascii="Times New Roman" w:hAnsi="Times New Roman"/>
          <w:sz w:val="24"/>
          <w:szCs w:val="24"/>
        </w:rPr>
        <w:br w:type="textWrapping" w:clear="all"/>
      </w:r>
      <w:r w:rsidR="00752263" w:rsidRPr="00ED7E20">
        <w:rPr>
          <w:rFonts w:ascii="Times New Roman" w:hAnsi="Times New Roman"/>
          <w:b/>
          <w:bCs/>
          <w:sz w:val="20"/>
          <w:szCs w:val="20"/>
        </w:rPr>
        <w:t xml:space="preserve">Figure </w:t>
      </w:r>
      <w:r w:rsidR="00752263">
        <w:rPr>
          <w:rFonts w:ascii="Times New Roman" w:hAnsi="Times New Roman"/>
          <w:b/>
          <w:bCs/>
          <w:sz w:val="20"/>
          <w:szCs w:val="20"/>
        </w:rPr>
        <w:t>4.1.2-1</w:t>
      </w:r>
      <w:r w:rsidR="00752263" w:rsidRPr="00ED7E20">
        <w:rPr>
          <w:rFonts w:ascii="Times New Roman" w:hAnsi="Times New Roman"/>
          <w:b/>
          <w:bCs/>
          <w:sz w:val="20"/>
          <w:szCs w:val="20"/>
        </w:rPr>
        <w:t xml:space="preserve"> Historic</w:t>
      </w:r>
      <w:r w:rsidR="008B39E3">
        <w:rPr>
          <w:rFonts w:ascii="Times New Roman" w:hAnsi="Times New Roman"/>
          <w:b/>
          <w:bCs/>
          <w:sz w:val="20"/>
          <w:szCs w:val="20"/>
        </w:rPr>
        <w:t>al</w:t>
      </w:r>
      <w:r w:rsidR="00752263" w:rsidRPr="00ED7E20">
        <w:rPr>
          <w:rFonts w:ascii="Times New Roman" w:hAnsi="Times New Roman"/>
          <w:b/>
          <w:bCs/>
          <w:sz w:val="20"/>
          <w:szCs w:val="20"/>
        </w:rPr>
        <w:t xml:space="preserve"> Annual NO</w:t>
      </w:r>
      <w:r w:rsidR="00752263" w:rsidRPr="00ED7E20">
        <w:rPr>
          <w:rFonts w:ascii="Times New Roman" w:hAnsi="Times New Roman"/>
          <w:b/>
          <w:bCs/>
          <w:sz w:val="20"/>
          <w:szCs w:val="20"/>
          <w:vertAlign w:val="subscript"/>
        </w:rPr>
        <w:t>X</w:t>
      </w:r>
      <w:r w:rsidR="00752263" w:rsidRPr="00ED7E20">
        <w:rPr>
          <w:rFonts w:ascii="Times New Roman" w:hAnsi="Times New Roman"/>
          <w:b/>
          <w:bCs/>
          <w:sz w:val="20"/>
          <w:szCs w:val="20"/>
        </w:rPr>
        <w:t xml:space="preserve"> Price Summary</w:t>
      </w:r>
    </w:p>
    <w:p w:rsidR="00752263" w:rsidRPr="00ED7E20" w:rsidRDefault="00752263" w:rsidP="00752263">
      <w:pPr>
        <w:spacing w:after="0" w:line="240" w:lineRule="auto"/>
        <w:rPr>
          <w:rFonts w:ascii="Times New Roman" w:hAnsi="Times New Roman"/>
          <w:sz w:val="24"/>
          <w:szCs w:val="24"/>
        </w:rPr>
      </w:pPr>
    </w:p>
    <w:p w:rsidR="00752263" w:rsidRPr="00ED7E20" w:rsidRDefault="00752263" w:rsidP="00752263">
      <w:pPr>
        <w:keepNext/>
        <w:autoSpaceDE w:val="0"/>
        <w:autoSpaceDN w:val="0"/>
        <w:adjustRightInd w:val="0"/>
        <w:spacing w:after="0" w:line="240" w:lineRule="auto"/>
        <w:rPr>
          <w:rFonts w:ascii="Times New Roman" w:hAnsi="Times New Roman"/>
          <w:b/>
          <w:bCs/>
          <w:color w:val="000080"/>
          <w:sz w:val="24"/>
          <w:szCs w:val="24"/>
        </w:rPr>
      </w:pPr>
      <w:r w:rsidRPr="00ED7E20">
        <w:rPr>
          <w:rFonts w:ascii="Times New Roman" w:hAnsi="Times New Roman"/>
          <w:b/>
          <w:bCs/>
          <w:color w:val="000080"/>
          <w:sz w:val="24"/>
          <w:szCs w:val="24"/>
        </w:rPr>
        <w:t>CAIR Seasonal NO</w:t>
      </w:r>
      <w:r w:rsidRPr="00ED7E20">
        <w:rPr>
          <w:rFonts w:ascii="Times New Roman" w:hAnsi="Times New Roman"/>
          <w:b/>
          <w:bCs/>
          <w:color w:val="000080"/>
          <w:sz w:val="24"/>
          <w:szCs w:val="24"/>
          <w:vertAlign w:val="subscript"/>
        </w:rPr>
        <w:t>X</w:t>
      </w:r>
      <w:r w:rsidRPr="00ED7E20">
        <w:rPr>
          <w:rFonts w:ascii="Times New Roman" w:hAnsi="Times New Roman"/>
          <w:b/>
          <w:bCs/>
          <w:color w:val="000080"/>
          <w:sz w:val="24"/>
          <w:szCs w:val="24"/>
        </w:rPr>
        <w:t xml:space="preserve"> Compliance</w:t>
      </w:r>
    </w:p>
    <w:p w:rsidR="00752263" w:rsidRPr="00ED7E20" w:rsidRDefault="00752263" w:rsidP="00752263">
      <w:pPr>
        <w:tabs>
          <w:tab w:val="left" w:pos="720"/>
          <w:tab w:val="left" w:pos="1428"/>
          <w:tab w:val="left" w:pos="4716"/>
          <w:tab w:val="left" w:pos="4896"/>
          <w:tab w:val="left" w:pos="6718"/>
        </w:tabs>
        <w:suppressAutoHyphens/>
        <w:spacing w:after="0" w:line="240" w:lineRule="auto"/>
        <w:rPr>
          <w:rFonts w:ascii="Times New Roman" w:hAnsi="Times New Roman"/>
          <w:sz w:val="24"/>
          <w:szCs w:val="24"/>
        </w:rPr>
      </w:pPr>
      <w:r w:rsidRPr="00ED7E20">
        <w:rPr>
          <w:rFonts w:ascii="Times New Roman" w:hAnsi="Times New Roman"/>
          <w:sz w:val="24"/>
          <w:szCs w:val="24"/>
        </w:rPr>
        <w:t>The G</w:t>
      </w:r>
      <w:r w:rsidR="00F40B6F">
        <w:rPr>
          <w:rFonts w:ascii="Times New Roman" w:hAnsi="Times New Roman"/>
          <w:sz w:val="24"/>
          <w:szCs w:val="24"/>
        </w:rPr>
        <w:t>eorgia Power</w:t>
      </w:r>
      <w:r w:rsidRPr="00ED7E20">
        <w:rPr>
          <w:rFonts w:ascii="Times New Roman" w:hAnsi="Times New Roman"/>
          <w:sz w:val="24"/>
          <w:szCs w:val="24"/>
        </w:rPr>
        <w:t xml:space="preserve"> CAIR Seasonal NO</w:t>
      </w:r>
      <w:r w:rsidRPr="00ED7E20">
        <w:rPr>
          <w:rFonts w:ascii="Times New Roman" w:hAnsi="Times New Roman"/>
          <w:sz w:val="24"/>
          <w:szCs w:val="24"/>
          <w:vertAlign w:val="subscript"/>
        </w:rPr>
        <w:t>X</w:t>
      </w:r>
      <w:r w:rsidRPr="00ED7E20">
        <w:rPr>
          <w:rFonts w:ascii="Times New Roman" w:hAnsi="Times New Roman"/>
          <w:sz w:val="24"/>
          <w:szCs w:val="24"/>
        </w:rPr>
        <w:t xml:space="preserve"> compliance strategy is functionally identical to the Annual NO</w:t>
      </w:r>
      <w:r w:rsidRPr="00ED7E20">
        <w:rPr>
          <w:rFonts w:ascii="Times New Roman" w:hAnsi="Times New Roman"/>
          <w:sz w:val="24"/>
          <w:szCs w:val="24"/>
          <w:vertAlign w:val="subscript"/>
        </w:rPr>
        <w:t>X</w:t>
      </w:r>
      <w:r w:rsidRPr="00ED7E20">
        <w:rPr>
          <w:rFonts w:ascii="Times New Roman" w:hAnsi="Times New Roman"/>
          <w:sz w:val="24"/>
          <w:szCs w:val="24"/>
        </w:rPr>
        <w:t xml:space="preserve"> compliance strategy. Compliance is assured through a mix of Seasonal NO</w:t>
      </w:r>
      <w:r w:rsidRPr="00ED7E20">
        <w:rPr>
          <w:rFonts w:ascii="Times New Roman" w:hAnsi="Times New Roman"/>
          <w:sz w:val="24"/>
          <w:szCs w:val="24"/>
          <w:vertAlign w:val="subscript"/>
        </w:rPr>
        <w:t>X</w:t>
      </w:r>
      <w:r w:rsidRPr="00ED7E20">
        <w:rPr>
          <w:rFonts w:ascii="Times New Roman" w:hAnsi="Times New Roman"/>
          <w:sz w:val="24"/>
          <w:szCs w:val="24"/>
        </w:rPr>
        <w:t xml:space="preserve"> allowance purchases and NO</w:t>
      </w:r>
      <w:r w:rsidRPr="00ED7E20">
        <w:rPr>
          <w:rFonts w:ascii="Times New Roman" w:hAnsi="Times New Roman"/>
          <w:sz w:val="24"/>
          <w:szCs w:val="24"/>
          <w:vertAlign w:val="subscript"/>
        </w:rPr>
        <w:t>X</w:t>
      </w:r>
      <w:r w:rsidRPr="00ED7E20">
        <w:rPr>
          <w:rFonts w:ascii="Times New Roman" w:hAnsi="Times New Roman"/>
          <w:sz w:val="24"/>
          <w:szCs w:val="24"/>
        </w:rPr>
        <w:t xml:space="preserve"> emission controls. Emissions control decisions are driven by Annual NO</w:t>
      </w:r>
      <w:r w:rsidRPr="00ED7E20">
        <w:rPr>
          <w:rFonts w:ascii="Times New Roman" w:hAnsi="Times New Roman"/>
          <w:sz w:val="24"/>
          <w:szCs w:val="24"/>
          <w:vertAlign w:val="subscript"/>
        </w:rPr>
        <w:t>X</w:t>
      </w:r>
      <w:r w:rsidRPr="00ED7E20">
        <w:rPr>
          <w:rFonts w:ascii="Times New Roman" w:hAnsi="Times New Roman"/>
          <w:sz w:val="24"/>
          <w:szCs w:val="24"/>
        </w:rPr>
        <w:t xml:space="preserve"> compliance.</w:t>
      </w:r>
    </w:p>
    <w:p w:rsidR="00752263" w:rsidRPr="00ED7E20" w:rsidRDefault="00752263" w:rsidP="00752263">
      <w:pPr>
        <w:tabs>
          <w:tab w:val="left" w:pos="720"/>
          <w:tab w:val="left" w:pos="1428"/>
          <w:tab w:val="left" w:pos="4716"/>
          <w:tab w:val="left" w:pos="4896"/>
          <w:tab w:val="left" w:pos="6718"/>
        </w:tabs>
        <w:suppressAutoHyphens/>
        <w:spacing w:after="0" w:line="240" w:lineRule="auto"/>
        <w:rPr>
          <w:rFonts w:ascii="Times New Roman" w:hAnsi="Times New Roman"/>
          <w:sz w:val="24"/>
          <w:szCs w:val="24"/>
        </w:rPr>
      </w:pPr>
    </w:p>
    <w:p w:rsidR="00752263" w:rsidRDefault="00752263" w:rsidP="00752263">
      <w:pPr>
        <w:tabs>
          <w:tab w:val="left" w:pos="720"/>
          <w:tab w:val="left" w:pos="1428"/>
          <w:tab w:val="left" w:pos="4716"/>
          <w:tab w:val="left" w:pos="4896"/>
          <w:tab w:val="left" w:pos="6718"/>
        </w:tabs>
        <w:suppressAutoHyphens/>
        <w:spacing w:after="0" w:line="240" w:lineRule="auto"/>
        <w:rPr>
          <w:rFonts w:ascii="Times New Roman" w:hAnsi="Times New Roman"/>
          <w:sz w:val="24"/>
          <w:szCs w:val="24"/>
        </w:rPr>
      </w:pPr>
      <w:r w:rsidRPr="00ED7E20">
        <w:rPr>
          <w:rFonts w:ascii="Times New Roman" w:hAnsi="Times New Roman"/>
          <w:sz w:val="24"/>
          <w:szCs w:val="24"/>
        </w:rPr>
        <w:t xml:space="preserve">In past years, </w:t>
      </w:r>
      <w:r w:rsidR="00F40B6F">
        <w:rPr>
          <w:rFonts w:ascii="Times New Roman" w:hAnsi="Times New Roman"/>
          <w:sz w:val="24"/>
          <w:szCs w:val="24"/>
        </w:rPr>
        <w:t>Georgia Power</w:t>
      </w:r>
      <w:r w:rsidRPr="00ED7E20">
        <w:rPr>
          <w:rFonts w:ascii="Times New Roman" w:hAnsi="Times New Roman"/>
          <w:sz w:val="24"/>
          <w:szCs w:val="24"/>
        </w:rPr>
        <w:t>’s only exposure to a Seasonal NO</w:t>
      </w:r>
      <w:r w:rsidRPr="00ED7E20">
        <w:rPr>
          <w:rFonts w:ascii="Times New Roman" w:hAnsi="Times New Roman"/>
          <w:sz w:val="24"/>
          <w:szCs w:val="24"/>
          <w:vertAlign w:val="subscript"/>
        </w:rPr>
        <w:t>X</w:t>
      </w:r>
      <w:r w:rsidRPr="00ED7E20">
        <w:rPr>
          <w:rFonts w:ascii="Times New Roman" w:hAnsi="Times New Roman"/>
          <w:sz w:val="24"/>
          <w:szCs w:val="24"/>
        </w:rPr>
        <w:t xml:space="preserve"> program was through the NO</w:t>
      </w:r>
      <w:r w:rsidRPr="00ED7E20">
        <w:rPr>
          <w:rFonts w:ascii="Times New Roman" w:hAnsi="Times New Roman"/>
          <w:sz w:val="24"/>
          <w:szCs w:val="24"/>
          <w:vertAlign w:val="subscript"/>
        </w:rPr>
        <w:t>X</w:t>
      </w:r>
      <w:r w:rsidRPr="00ED7E20">
        <w:rPr>
          <w:rFonts w:ascii="Times New Roman" w:hAnsi="Times New Roman"/>
          <w:sz w:val="24"/>
          <w:szCs w:val="24"/>
        </w:rPr>
        <w:t xml:space="preserve"> Budget Trading Program (the Regional NO</w:t>
      </w:r>
      <w:r w:rsidRPr="00ED7E20">
        <w:rPr>
          <w:rFonts w:ascii="Times New Roman" w:hAnsi="Times New Roman"/>
          <w:sz w:val="24"/>
          <w:szCs w:val="24"/>
          <w:vertAlign w:val="subscript"/>
        </w:rPr>
        <w:t>X</w:t>
      </w:r>
      <w:r w:rsidRPr="00ED7E20">
        <w:rPr>
          <w:rFonts w:ascii="Times New Roman" w:hAnsi="Times New Roman"/>
          <w:sz w:val="24"/>
          <w:szCs w:val="24"/>
        </w:rPr>
        <w:t xml:space="preserve"> SIP Call Rule), and only for units above the 32</w:t>
      </w:r>
      <w:r w:rsidRPr="00ED7E20">
        <w:rPr>
          <w:rFonts w:ascii="Times New Roman" w:hAnsi="Times New Roman"/>
          <w:sz w:val="24"/>
          <w:szCs w:val="24"/>
          <w:vertAlign w:val="superscript"/>
        </w:rPr>
        <w:t>nd</w:t>
      </w:r>
      <w:r w:rsidRPr="00ED7E20">
        <w:rPr>
          <w:rFonts w:ascii="Times New Roman" w:hAnsi="Times New Roman"/>
          <w:sz w:val="24"/>
          <w:szCs w:val="24"/>
        </w:rPr>
        <w:t xml:space="preserve"> parallel in the State of Alabama</w:t>
      </w:r>
      <w:r w:rsidR="00BD2605">
        <w:rPr>
          <w:rFonts w:ascii="Times New Roman" w:hAnsi="Times New Roman"/>
          <w:sz w:val="24"/>
          <w:szCs w:val="24"/>
        </w:rPr>
        <w:t xml:space="preserve"> (including Plant Gaston Units 1 – 4)</w:t>
      </w:r>
      <w:r w:rsidRPr="00ED7E20">
        <w:rPr>
          <w:rFonts w:ascii="Times New Roman" w:hAnsi="Times New Roman"/>
          <w:sz w:val="24"/>
          <w:szCs w:val="24"/>
        </w:rPr>
        <w:t xml:space="preserve">. </w:t>
      </w:r>
      <w:r w:rsidR="00EB0AB0">
        <w:rPr>
          <w:rFonts w:ascii="Times New Roman" w:hAnsi="Times New Roman"/>
          <w:sz w:val="24"/>
          <w:szCs w:val="24"/>
        </w:rPr>
        <w:t>Since</w:t>
      </w:r>
      <w:r w:rsidR="00F40B6F">
        <w:rPr>
          <w:rFonts w:ascii="Times New Roman" w:hAnsi="Times New Roman"/>
          <w:sz w:val="24"/>
          <w:szCs w:val="24"/>
        </w:rPr>
        <w:t xml:space="preserve"> the inception of CAIR, a</w:t>
      </w:r>
      <w:r w:rsidRPr="00ED7E20">
        <w:rPr>
          <w:rFonts w:ascii="Times New Roman" w:hAnsi="Times New Roman"/>
          <w:sz w:val="24"/>
          <w:szCs w:val="24"/>
        </w:rPr>
        <w:t>ll of the Southern Company states except</w:t>
      </w:r>
      <w:r w:rsidR="00F40B6F">
        <w:rPr>
          <w:rFonts w:ascii="Times New Roman" w:hAnsi="Times New Roman"/>
          <w:sz w:val="24"/>
          <w:szCs w:val="24"/>
        </w:rPr>
        <w:t xml:space="preserve"> for</w:t>
      </w:r>
      <w:r w:rsidRPr="00ED7E20">
        <w:rPr>
          <w:rFonts w:ascii="Times New Roman" w:hAnsi="Times New Roman"/>
          <w:sz w:val="24"/>
          <w:szCs w:val="24"/>
        </w:rPr>
        <w:t xml:space="preserve"> Georgia</w:t>
      </w:r>
      <w:r w:rsidR="00F40B6F">
        <w:rPr>
          <w:rFonts w:ascii="Times New Roman" w:hAnsi="Times New Roman"/>
          <w:sz w:val="24"/>
          <w:szCs w:val="24"/>
        </w:rPr>
        <w:t xml:space="preserve"> must comply with</w:t>
      </w:r>
      <w:r w:rsidRPr="00ED7E20">
        <w:rPr>
          <w:rFonts w:ascii="Times New Roman" w:hAnsi="Times New Roman"/>
          <w:sz w:val="24"/>
          <w:szCs w:val="24"/>
        </w:rPr>
        <w:t xml:space="preserve"> the CAIR Seasonal NO</w:t>
      </w:r>
      <w:r w:rsidRPr="00ED7E20">
        <w:rPr>
          <w:rFonts w:ascii="Times New Roman" w:hAnsi="Times New Roman"/>
          <w:sz w:val="24"/>
          <w:szCs w:val="24"/>
          <w:vertAlign w:val="subscript"/>
        </w:rPr>
        <w:t>X</w:t>
      </w:r>
      <w:r w:rsidRPr="00ED7E20">
        <w:rPr>
          <w:rFonts w:ascii="Times New Roman" w:hAnsi="Times New Roman"/>
          <w:sz w:val="24"/>
          <w:szCs w:val="24"/>
        </w:rPr>
        <w:t xml:space="preserve"> program. Thus, in 201</w:t>
      </w:r>
      <w:r w:rsidR="00E76695">
        <w:rPr>
          <w:rFonts w:ascii="Times New Roman" w:hAnsi="Times New Roman"/>
          <w:sz w:val="24"/>
          <w:szCs w:val="24"/>
        </w:rPr>
        <w:t>2</w:t>
      </w:r>
      <w:r w:rsidRPr="00ED7E20">
        <w:rPr>
          <w:rFonts w:ascii="Times New Roman" w:hAnsi="Times New Roman"/>
          <w:sz w:val="24"/>
          <w:szCs w:val="24"/>
        </w:rPr>
        <w:t>, G</w:t>
      </w:r>
      <w:r w:rsidR="00F40B6F">
        <w:rPr>
          <w:rFonts w:ascii="Times New Roman" w:hAnsi="Times New Roman"/>
          <w:sz w:val="24"/>
          <w:szCs w:val="24"/>
        </w:rPr>
        <w:t>eorgia Power</w:t>
      </w:r>
      <w:r w:rsidRPr="00ED7E20">
        <w:rPr>
          <w:rFonts w:ascii="Times New Roman" w:hAnsi="Times New Roman"/>
          <w:sz w:val="24"/>
          <w:szCs w:val="24"/>
        </w:rPr>
        <w:t>’s exposure to the CAIR Seasonal NO</w:t>
      </w:r>
      <w:r w:rsidRPr="00ED7E20">
        <w:rPr>
          <w:rFonts w:ascii="Times New Roman" w:hAnsi="Times New Roman"/>
          <w:sz w:val="24"/>
          <w:szCs w:val="24"/>
          <w:vertAlign w:val="subscript"/>
        </w:rPr>
        <w:t>X</w:t>
      </w:r>
      <w:r w:rsidRPr="00ED7E20">
        <w:rPr>
          <w:rFonts w:ascii="Times New Roman" w:hAnsi="Times New Roman"/>
          <w:sz w:val="24"/>
          <w:szCs w:val="24"/>
        </w:rPr>
        <w:t xml:space="preserve"> program is still isolated to its </w:t>
      </w:r>
      <w:r>
        <w:rPr>
          <w:rFonts w:ascii="Times New Roman" w:hAnsi="Times New Roman"/>
          <w:sz w:val="24"/>
          <w:szCs w:val="24"/>
        </w:rPr>
        <w:t xml:space="preserve">ownership interest in Plant </w:t>
      </w:r>
      <w:r w:rsidRPr="00ED7E20">
        <w:rPr>
          <w:rFonts w:ascii="Times New Roman" w:hAnsi="Times New Roman"/>
          <w:sz w:val="24"/>
          <w:szCs w:val="24"/>
        </w:rPr>
        <w:t xml:space="preserve">Gaston </w:t>
      </w:r>
      <w:r>
        <w:rPr>
          <w:rFonts w:ascii="Times New Roman" w:hAnsi="Times New Roman"/>
          <w:sz w:val="24"/>
          <w:szCs w:val="24"/>
        </w:rPr>
        <w:t>Units 1 – 4 in Alabama.</w:t>
      </w:r>
      <w:r w:rsidRPr="00ED7E20">
        <w:rPr>
          <w:rFonts w:ascii="Times New Roman" w:hAnsi="Times New Roman"/>
          <w:sz w:val="24"/>
          <w:szCs w:val="24"/>
        </w:rPr>
        <w:t xml:space="preserve">  </w:t>
      </w:r>
    </w:p>
    <w:p w:rsidR="00BE7DEC" w:rsidRDefault="00BE7DEC" w:rsidP="00752263">
      <w:pPr>
        <w:tabs>
          <w:tab w:val="left" w:pos="720"/>
          <w:tab w:val="left" w:pos="1428"/>
          <w:tab w:val="left" w:pos="4716"/>
          <w:tab w:val="left" w:pos="4896"/>
          <w:tab w:val="left" w:pos="6718"/>
        </w:tabs>
        <w:suppressAutoHyphens/>
        <w:spacing w:after="0" w:line="240" w:lineRule="auto"/>
        <w:rPr>
          <w:rFonts w:ascii="Times New Roman" w:hAnsi="Times New Roman"/>
          <w:sz w:val="24"/>
          <w:szCs w:val="24"/>
        </w:rPr>
      </w:pPr>
    </w:p>
    <w:p w:rsidR="00752263" w:rsidRDefault="00752263" w:rsidP="00752263">
      <w:pPr>
        <w:tabs>
          <w:tab w:val="left" w:pos="720"/>
          <w:tab w:val="left" w:pos="1428"/>
          <w:tab w:val="left" w:pos="4716"/>
          <w:tab w:val="left" w:pos="4896"/>
          <w:tab w:val="left" w:pos="6718"/>
        </w:tabs>
        <w:suppressAutoHyphens/>
        <w:spacing w:after="0" w:line="240" w:lineRule="auto"/>
        <w:rPr>
          <w:rFonts w:ascii="Times New Roman" w:hAnsi="Times New Roman"/>
          <w:sz w:val="24"/>
          <w:szCs w:val="24"/>
        </w:rPr>
      </w:pPr>
      <w:r w:rsidRPr="00ED7E20">
        <w:rPr>
          <w:rFonts w:ascii="Times New Roman" w:hAnsi="Times New Roman"/>
          <w:sz w:val="24"/>
          <w:szCs w:val="24"/>
        </w:rPr>
        <w:t xml:space="preserve">The needs and the costs for purchasing </w:t>
      </w:r>
      <w:r>
        <w:rPr>
          <w:rFonts w:ascii="Times New Roman" w:hAnsi="Times New Roman"/>
          <w:sz w:val="24"/>
          <w:szCs w:val="24"/>
        </w:rPr>
        <w:t>Seasonal NO</w:t>
      </w:r>
      <w:r w:rsidRPr="00460CD1">
        <w:rPr>
          <w:rFonts w:ascii="Times New Roman" w:hAnsi="Times New Roman"/>
          <w:sz w:val="24"/>
          <w:szCs w:val="24"/>
          <w:vertAlign w:val="subscript"/>
        </w:rPr>
        <w:t>x</w:t>
      </w:r>
      <w:r>
        <w:rPr>
          <w:rFonts w:ascii="Times New Roman" w:hAnsi="Times New Roman"/>
          <w:sz w:val="24"/>
          <w:szCs w:val="24"/>
        </w:rPr>
        <w:t xml:space="preserve"> </w:t>
      </w:r>
      <w:r w:rsidRPr="00ED7E20">
        <w:rPr>
          <w:rFonts w:ascii="Times New Roman" w:hAnsi="Times New Roman"/>
          <w:sz w:val="24"/>
          <w:szCs w:val="24"/>
        </w:rPr>
        <w:t>allowances vary on a year-by-year basis. The current Seasonal NO</w:t>
      </w:r>
      <w:r w:rsidRPr="00ED7E20">
        <w:rPr>
          <w:rFonts w:ascii="Times New Roman" w:hAnsi="Times New Roman"/>
          <w:sz w:val="24"/>
          <w:szCs w:val="24"/>
          <w:vertAlign w:val="subscript"/>
        </w:rPr>
        <w:t>X</w:t>
      </w:r>
      <w:r w:rsidRPr="00ED7E20">
        <w:rPr>
          <w:rFonts w:ascii="Times New Roman" w:hAnsi="Times New Roman"/>
          <w:sz w:val="24"/>
          <w:szCs w:val="24"/>
        </w:rPr>
        <w:t xml:space="preserve"> market is depressed along with </w:t>
      </w:r>
      <w:r w:rsidR="00EB0AB0">
        <w:rPr>
          <w:rFonts w:ascii="Times New Roman" w:hAnsi="Times New Roman"/>
          <w:sz w:val="24"/>
          <w:szCs w:val="24"/>
        </w:rPr>
        <w:t xml:space="preserve">the </w:t>
      </w:r>
      <w:r w:rsidRPr="00ED7E20">
        <w:rPr>
          <w:rFonts w:ascii="Times New Roman" w:hAnsi="Times New Roman"/>
          <w:sz w:val="24"/>
          <w:szCs w:val="24"/>
        </w:rPr>
        <w:t>Annual NO</w:t>
      </w:r>
      <w:r w:rsidRPr="00ED7E20">
        <w:rPr>
          <w:rFonts w:ascii="Times New Roman" w:hAnsi="Times New Roman"/>
          <w:sz w:val="24"/>
          <w:szCs w:val="24"/>
          <w:vertAlign w:val="subscript"/>
        </w:rPr>
        <w:t>X</w:t>
      </w:r>
      <w:r w:rsidRPr="00ED7E20">
        <w:rPr>
          <w:rFonts w:ascii="Times New Roman" w:hAnsi="Times New Roman"/>
          <w:sz w:val="24"/>
          <w:szCs w:val="24"/>
        </w:rPr>
        <w:t xml:space="preserve"> </w:t>
      </w:r>
      <w:r w:rsidR="00EB0AB0">
        <w:rPr>
          <w:rFonts w:ascii="Times New Roman" w:hAnsi="Times New Roman"/>
          <w:sz w:val="24"/>
          <w:szCs w:val="24"/>
        </w:rPr>
        <w:t xml:space="preserve">market </w:t>
      </w:r>
      <w:r w:rsidRPr="00ED7E20">
        <w:rPr>
          <w:rFonts w:ascii="Times New Roman" w:hAnsi="Times New Roman"/>
          <w:sz w:val="24"/>
          <w:szCs w:val="24"/>
        </w:rPr>
        <w:t xml:space="preserve">for the same reasons. </w:t>
      </w:r>
      <w:r w:rsidRPr="00ED7E20">
        <w:rPr>
          <w:rFonts w:ascii="Times New Roman" w:hAnsi="Times New Roman"/>
          <w:sz w:val="24"/>
          <w:szCs w:val="20"/>
        </w:rPr>
        <w:t>Figure 4.1.2-</w:t>
      </w:r>
      <w:r w:rsidR="00BE7DEC">
        <w:rPr>
          <w:rFonts w:ascii="Times New Roman" w:hAnsi="Times New Roman"/>
          <w:sz w:val="24"/>
          <w:szCs w:val="20"/>
        </w:rPr>
        <w:t>2</w:t>
      </w:r>
      <w:r w:rsidRPr="00ED7E20">
        <w:rPr>
          <w:rFonts w:ascii="Times New Roman" w:hAnsi="Times New Roman"/>
          <w:sz w:val="24"/>
          <w:szCs w:val="20"/>
        </w:rPr>
        <w:t xml:space="preserve"> shows historic</w:t>
      </w:r>
      <w:r w:rsidR="00F40B6F">
        <w:rPr>
          <w:rFonts w:ascii="Times New Roman" w:hAnsi="Times New Roman"/>
          <w:sz w:val="24"/>
          <w:szCs w:val="20"/>
        </w:rPr>
        <w:t>al</w:t>
      </w:r>
      <w:r w:rsidRPr="00ED7E20">
        <w:rPr>
          <w:rFonts w:ascii="Times New Roman" w:hAnsi="Times New Roman"/>
          <w:sz w:val="24"/>
          <w:szCs w:val="20"/>
        </w:rPr>
        <w:t xml:space="preserve"> Seasonal NO</w:t>
      </w:r>
      <w:r w:rsidRPr="00ED7E20">
        <w:rPr>
          <w:rFonts w:ascii="Times New Roman" w:hAnsi="Times New Roman"/>
          <w:sz w:val="24"/>
          <w:szCs w:val="20"/>
          <w:vertAlign w:val="subscript"/>
        </w:rPr>
        <w:t>X</w:t>
      </w:r>
      <w:r w:rsidRPr="00ED7E20">
        <w:rPr>
          <w:rFonts w:ascii="Times New Roman" w:hAnsi="Times New Roman"/>
          <w:sz w:val="24"/>
          <w:szCs w:val="20"/>
        </w:rPr>
        <w:t xml:space="preserve"> prices.</w:t>
      </w:r>
      <w:r w:rsidRPr="00ED7E20">
        <w:rPr>
          <w:rFonts w:ascii="Times New Roman" w:hAnsi="Times New Roman"/>
          <w:sz w:val="24"/>
          <w:szCs w:val="24"/>
        </w:rPr>
        <w:t xml:space="preserve"> </w:t>
      </w:r>
      <w:r w:rsidR="00DB2963">
        <w:rPr>
          <w:rFonts w:ascii="Times New Roman" w:hAnsi="Times New Roman"/>
          <w:sz w:val="24"/>
          <w:szCs w:val="24"/>
        </w:rPr>
        <w:t xml:space="preserve"> </w:t>
      </w:r>
      <w:r w:rsidR="00DB2963" w:rsidRPr="00913813">
        <w:rPr>
          <w:rFonts w:ascii="Times New Roman" w:hAnsi="Times New Roman"/>
          <w:b/>
          <w:sz w:val="24"/>
          <w:szCs w:val="24"/>
        </w:rPr>
        <w:t>REDACTED REDACTED REDACTED REDACTED REDACTED REDACTED REDACTED REDACTED REDACTED REDACTED REDACTED REDACTED REDACTED REDACTED REDACTED REDACTED REDACTED REDACTED REDACTED</w:t>
      </w:r>
    </w:p>
    <w:p w:rsidR="00467FF0" w:rsidRPr="00ED7E20" w:rsidRDefault="00467FF0" w:rsidP="00752263">
      <w:pPr>
        <w:tabs>
          <w:tab w:val="left" w:pos="720"/>
          <w:tab w:val="left" w:pos="1428"/>
          <w:tab w:val="left" w:pos="4716"/>
          <w:tab w:val="left" w:pos="4896"/>
          <w:tab w:val="left" w:pos="6718"/>
        </w:tabs>
        <w:suppressAutoHyphens/>
        <w:spacing w:after="0" w:line="240" w:lineRule="auto"/>
        <w:rPr>
          <w:rFonts w:ascii="Times New Roman" w:hAnsi="Times New Roman"/>
          <w:sz w:val="24"/>
          <w:szCs w:val="20"/>
        </w:rPr>
      </w:pPr>
    </w:p>
    <w:p w:rsidR="00752263" w:rsidRPr="00ED7E20" w:rsidRDefault="001D1F0E" w:rsidP="00913813">
      <w:pPr>
        <w:tabs>
          <w:tab w:val="left" w:pos="720"/>
          <w:tab w:val="left" w:pos="1428"/>
          <w:tab w:val="left" w:pos="4716"/>
          <w:tab w:val="left" w:pos="4896"/>
          <w:tab w:val="left" w:pos="6718"/>
        </w:tabs>
        <w:suppressAutoHyphens/>
        <w:spacing w:after="0" w:line="240" w:lineRule="auto"/>
        <w:rPr>
          <w:rFonts w:ascii="Times New Roman" w:hAnsi="Times New Roman"/>
          <w:b/>
          <w:color w:val="000080"/>
          <w:sz w:val="24"/>
          <w:szCs w:val="20"/>
        </w:rPr>
      </w:pPr>
      <w:r>
        <w:rPr>
          <w:rFonts w:ascii="Times New Roman" w:hAnsi="Times New Roman"/>
          <w:b/>
          <w:noProof/>
          <w:color w:val="000080"/>
          <w:sz w:val="24"/>
          <w:szCs w:val="20"/>
        </w:rPr>
        <w:drawing>
          <wp:anchor distT="0" distB="0" distL="114300" distR="114300" simplePos="0" relativeHeight="251674624" behindDoc="0" locked="0" layoutInCell="1" allowOverlap="1">
            <wp:simplePos x="0" y="0"/>
            <wp:positionH relativeFrom="column">
              <wp:posOffset>428625</wp:posOffset>
            </wp:positionH>
            <wp:positionV relativeFrom="paragraph">
              <wp:align>top</wp:align>
            </wp:positionV>
            <wp:extent cx="5521325" cy="3733800"/>
            <wp:effectExtent l="19050" t="0" r="22225" b="0"/>
            <wp:wrapSquare wrapText="bothSides"/>
            <wp:docPr id="13"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anchor>
        </w:drawing>
      </w:r>
      <w:r w:rsidR="00913813">
        <w:rPr>
          <w:rFonts w:ascii="Times New Roman" w:hAnsi="Times New Roman"/>
          <w:b/>
          <w:color w:val="000080"/>
          <w:sz w:val="24"/>
          <w:szCs w:val="20"/>
        </w:rPr>
        <w:br w:type="textWrapping" w:clear="all"/>
      </w:r>
    </w:p>
    <w:p w:rsidR="00752263" w:rsidRPr="00ED7E20" w:rsidRDefault="00752263" w:rsidP="00752263">
      <w:pPr>
        <w:spacing w:after="0" w:line="240" w:lineRule="auto"/>
        <w:jc w:val="center"/>
        <w:rPr>
          <w:rFonts w:ascii="Times New Roman" w:hAnsi="Times New Roman"/>
          <w:b/>
          <w:bCs/>
          <w:sz w:val="20"/>
          <w:szCs w:val="24"/>
        </w:rPr>
      </w:pPr>
      <w:r w:rsidRPr="00ED7E20">
        <w:rPr>
          <w:rFonts w:ascii="Times New Roman" w:hAnsi="Times New Roman"/>
          <w:b/>
          <w:bCs/>
          <w:sz w:val="20"/>
          <w:szCs w:val="20"/>
        </w:rPr>
        <w:t xml:space="preserve">Figure </w:t>
      </w:r>
      <w:r>
        <w:rPr>
          <w:rFonts w:ascii="Times New Roman" w:hAnsi="Times New Roman"/>
          <w:b/>
          <w:bCs/>
          <w:sz w:val="20"/>
          <w:szCs w:val="20"/>
        </w:rPr>
        <w:t>4.1.2-</w:t>
      </w:r>
      <w:r w:rsidR="00BE7DEC">
        <w:rPr>
          <w:rFonts w:ascii="Times New Roman" w:hAnsi="Times New Roman"/>
          <w:b/>
          <w:bCs/>
          <w:sz w:val="20"/>
          <w:szCs w:val="20"/>
        </w:rPr>
        <w:t>2</w:t>
      </w:r>
      <w:r w:rsidRPr="00ED7E20">
        <w:rPr>
          <w:rFonts w:ascii="Times New Roman" w:hAnsi="Times New Roman"/>
          <w:b/>
          <w:bCs/>
          <w:sz w:val="20"/>
          <w:szCs w:val="20"/>
        </w:rPr>
        <w:t xml:space="preserve"> Historic</w:t>
      </w:r>
      <w:r w:rsidR="008B39E3">
        <w:rPr>
          <w:rFonts w:ascii="Times New Roman" w:hAnsi="Times New Roman"/>
          <w:b/>
          <w:bCs/>
          <w:sz w:val="20"/>
          <w:szCs w:val="20"/>
        </w:rPr>
        <w:t>al</w:t>
      </w:r>
      <w:r w:rsidRPr="00ED7E20">
        <w:rPr>
          <w:rFonts w:ascii="Times New Roman" w:hAnsi="Times New Roman"/>
          <w:b/>
          <w:bCs/>
          <w:sz w:val="20"/>
          <w:szCs w:val="20"/>
        </w:rPr>
        <w:t xml:space="preserve"> Seasonal NO</w:t>
      </w:r>
      <w:r w:rsidRPr="00ED7E20">
        <w:rPr>
          <w:rFonts w:ascii="Times New Roman" w:hAnsi="Times New Roman"/>
          <w:b/>
          <w:bCs/>
          <w:sz w:val="20"/>
          <w:szCs w:val="20"/>
          <w:vertAlign w:val="subscript"/>
        </w:rPr>
        <w:t>X</w:t>
      </w:r>
      <w:r w:rsidRPr="00ED7E20">
        <w:rPr>
          <w:rFonts w:ascii="Times New Roman" w:hAnsi="Times New Roman"/>
          <w:b/>
          <w:bCs/>
          <w:sz w:val="20"/>
          <w:szCs w:val="20"/>
        </w:rPr>
        <w:t xml:space="preserve"> Price Summary</w:t>
      </w:r>
    </w:p>
    <w:p w:rsidR="00752263" w:rsidRPr="00ED7E20" w:rsidRDefault="00752263" w:rsidP="00752263">
      <w:pPr>
        <w:tabs>
          <w:tab w:val="left" w:pos="720"/>
          <w:tab w:val="left" w:pos="1428"/>
          <w:tab w:val="left" w:pos="4716"/>
          <w:tab w:val="left" w:pos="4896"/>
          <w:tab w:val="left" w:pos="6718"/>
        </w:tabs>
        <w:suppressAutoHyphens/>
        <w:spacing w:after="0" w:line="240" w:lineRule="auto"/>
        <w:rPr>
          <w:rFonts w:ascii="Times New Roman" w:hAnsi="Times New Roman"/>
          <w:sz w:val="24"/>
          <w:szCs w:val="24"/>
        </w:rPr>
      </w:pPr>
    </w:p>
    <w:p w:rsidR="001954D3" w:rsidRPr="001954D3" w:rsidRDefault="001954D3" w:rsidP="00111EC6">
      <w:pPr>
        <w:spacing w:after="0" w:line="240" w:lineRule="auto"/>
        <w:rPr>
          <w:rFonts w:ascii="Times New Roman" w:hAnsi="Times New Roman"/>
          <w:b/>
          <w:bCs/>
          <w:color w:val="000080"/>
          <w:sz w:val="24"/>
          <w:szCs w:val="24"/>
        </w:rPr>
      </w:pPr>
      <w:r w:rsidRPr="001954D3">
        <w:rPr>
          <w:rFonts w:ascii="Times New Roman" w:hAnsi="Times New Roman"/>
          <w:b/>
          <w:bCs/>
          <w:color w:val="000080"/>
          <w:sz w:val="24"/>
          <w:szCs w:val="24"/>
        </w:rPr>
        <w:t>4.1.3</w:t>
      </w:r>
      <w:r w:rsidRPr="001954D3">
        <w:rPr>
          <w:rFonts w:ascii="Times New Roman" w:hAnsi="Times New Roman"/>
          <w:b/>
          <w:bCs/>
          <w:color w:val="000080"/>
          <w:sz w:val="24"/>
          <w:szCs w:val="24"/>
        </w:rPr>
        <w:tab/>
        <w:t xml:space="preserve">Mercury and Air Toxics Standards </w:t>
      </w:r>
    </w:p>
    <w:p w:rsidR="001954D3" w:rsidRPr="00D42A04" w:rsidRDefault="001954D3" w:rsidP="001954D3">
      <w:pPr>
        <w:spacing w:after="0" w:line="240" w:lineRule="auto"/>
        <w:outlineLvl w:val="2"/>
        <w:rPr>
          <w:rFonts w:ascii="Times New Roman" w:hAnsi="Times New Roman"/>
          <w:b/>
          <w:bCs/>
          <w:color w:val="000080"/>
          <w:sz w:val="24"/>
          <w:szCs w:val="24"/>
        </w:rPr>
      </w:pPr>
    </w:p>
    <w:p w:rsidR="002A186A" w:rsidRDefault="004033A5" w:rsidP="002A186A">
      <w:pPr>
        <w:tabs>
          <w:tab w:val="left" w:pos="720"/>
          <w:tab w:val="left" w:pos="1428"/>
          <w:tab w:val="left" w:pos="4716"/>
          <w:tab w:val="left" w:pos="4896"/>
          <w:tab w:val="left" w:pos="6718"/>
        </w:tabs>
        <w:suppressAutoHyphens/>
        <w:spacing w:after="0" w:line="240" w:lineRule="auto"/>
        <w:rPr>
          <w:rFonts w:ascii="Times New Roman" w:hAnsi="Times New Roman"/>
          <w:sz w:val="24"/>
          <w:szCs w:val="20"/>
        </w:rPr>
      </w:pPr>
      <w:r>
        <w:rPr>
          <w:rFonts w:ascii="Times New Roman" w:hAnsi="Times New Roman"/>
          <w:sz w:val="24"/>
          <w:szCs w:val="20"/>
        </w:rPr>
        <w:t>In addition to the SO</w:t>
      </w:r>
      <w:r w:rsidRPr="00383648">
        <w:rPr>
          <w:rFonts w:ascii="Times New Roman" w:hAnsi="Times New Roman"/>
          <w:sz w:val="24"/>
          <w:szCs w:val="20"/>
          <w:vertAlign w:val="subscript"/>
        </w:rPr>
        <w:t>2</w:t>
      </w:r>
      <w:r>
        <w:rPr>
          <w:rFonts w:ascii="Times New Roman" w:hAnsi="Times New Roman"/>
          <w:sz w:val="24"/>
          <w:szCs w:val="20"/>
        </w:rPr>
        <w:t xml:space="preserve"> drivers for environmental compliance strategy planning discussed in the MATS section of 4.1.1, MATS also includes requirements that </w:t>
      </w:r>
      <w:r w:rsidR="00EB0AB0">
        <w:rPr>
          <w:rFonts w:ascii="Times New Roman" w:hAnsi="Times New Roman"/>
          <w:sz w:val="24"/>
          <w:szCs w:val="20"/>
        </w:rPr>
        <w:t>will</w:t>
      </w:r>
      <w:r>
        <w:rPr>
          <w:rFonts w:ascii="Times New Roman" w:hAnsi="Times New Roman"/>
          <w:sz w:val="24"/>
          <w:szCs w:val="20"/>
        </w:rPr>
        <w:t xml:space="preserve"> lead to further controls for mercury and particulate matter.</w:t>
      </w:r>
      <w:r w:rsidR="00032940" w:rsidRPr="00032940">
        <w:rPr>
          <w:rFonts w:ascii="Times New Roman" w:hAnsi="Times New Roman"/>
          <w:sz w:val="24"/>
          <w:szCs w:val="20"/>
        </w:rPr>
        <w:t xml:space="preserve"> </w:t>
      </w:r>
      <w:r w:rsidR="00032940">
        <w:rPr>
          <w:rFonts w:ascii="Times New Roman" w:hAnsi="Times New Roman"/>
          <w:sz w:val="24"/>
          <w:szCs w:val="20"/>
        </w:rPr>
        <w:t xml:space="preserve"> </w:t>
      </w:r>
      <w:r w:rsidR="00032940" w:rsidRPr="003A6291">
        <w:rPr>
          <w:rFonts w:ascii="Times New Roman" w:hAnsi="Times New Roman"/>
          <w:sz w:val="24"/>
          <w:szCs w:val="20"/>
        </w:rPr>
        <w:t>Georgia Power ha</w:t>
      </w:r>
      <w:r w:rsidR="00032940">
        <w:rPr>
          <w:rFonts w:ascii="Times New Roman" w:hAnsi="Times New Roman"/>
          <w:sz w:val="24"/>
          <w:szCs w:val="20"/>
        </w:rPr>
        <w:t>s</w:t>
      </w:r>
      <w:r w:rsidR="00032940" w:rsidRPr="003A6291">
        <w:rPr>
          <w:rFonts w:ascii="Times New Roman" w:hAnsi="Times New Roman"/>
          <w:sz w:val="24"/>
          <w:szCs w:val="20"/>
        </w:rPr>
        <w:t xml:space="preserve"> conducted an extensive review of the </w:t>
      </w:r>
      <w:r w:rsidR="00032940">
        <w:rPr>
          <w:rFonts w:ascii="Times New Roman" w:hAnsi="Times New Roman"/>
          <w:sz w:val="24"/>
          <w:szCs w:val="20"/>
        </w:rPr>
        <w:t>new</w:t>
      </w:r>
      <w:r w:rsidR="00032940" w:rsidRPr="003A6291">
        <w:rPr>
          <w:rFonts w:ascii="Times New Roman" w:hAnsi="Times New Roman"/>
          <w:sz w:val="24"/>
          <w:szCs w:val="20"/>
        </w:rPr>
        <w:t xml:space="preserve"> MATS Rule and </w:t>
      </w:r>
      <w:r w:rsidR="00032940">
        <w:rPr>
          <w:rFonts w:ascii="Times New Roman" w:hAnsi="Times New Roman"/>
          <w:sz w:val="24"/>
          <w:szCs w:val="20"/>
        </w:rPr>
        <w:t xml:space="preserve">has </w:t>
      </w:r>
      <w:r w:rsidR="00F02DC2">
        <w:rPr>
          <w:rFonts w:ascii="Times New Roman" w:hAnsi="Times New Roman"/>
          <w:sz w:val="24"/>
          <w:szCs w:val="20"/>
        </w:rPr>
        <w:t>developed</w:t>
      </w:r>
      <w:r w:rsidR="00032940">
        <w:rPr>
          <w:rFonts w:ascii="Times New Roman" w:hAnsi="Times New Roman"/>
          <w:sz w:val="24"/>
          <w:szCs w:val="20"/>
        </w:rPr>
        <w:t xml:space="preserve"> plans or</w:t>
      </w:r>
      <w:r w:rsidR="00032940" w:rsidRPr="003A6291">
        <w:rPr>
          <w:rFonts w:ascii="Times New Roman" w:hAnsi="Times New Roman"/>
          <w:sz w:val="24"/>
          <w:szCs w:val="20"/>
        </w:rPr>
        <w:t xml:space="preserve"> compliance options for </w:t>
      </w:r>
      <w:r w:rsidR="00032940">
        <w:rPr>
          <w:rFonts w:ascii="Times New Roman" w:hAnsi="Times New Roman"/>
          <w:sz w:val="24"/>
          <w:szCs w:val="20"/>
        </w:rPr>
        <w:t xml:space="preserve">all </w:t>
      </w:r>
      <w:r w:rsidR="00032940" w:rsidRPr="003A6291">
        <w:rPr>
          <w:rFonts w:ascii="Times New Roman" w:hAnsi="Times New Roman"/>
          <w:sz w:val="24"/>
          <w:szCs w:val="20"/>
        </w:rPr>
        <w:t>affected units</w:t>
      </w:r>
      <w:r w:rsidR="00032940">
        <w:rPr>
          <w:rFonts w:ascii="Times New Roman" w:hAnsi="Times New Roman"/>
          <w:sz w:val="24"/>
          <w:szCs w:val="20"/>
        </w:rPr>
        <w:t>, as discussed further below</w:t>
      </w:r>
      <w:r w:rsidR="00032940" w:rsidRPr="003A6291">
        <w:rPr>
          <w:rFonts w:ascii="Times New Roman" w:hAnsi="Times New Roman"/>
          <w:sz w:val="24"/>
          <w:szCs w:val="20"/>
        </w:rPr>
        <w:t xml:space="preserve">. </w:t>
      </w:r>
      <w:r w:rsidR="00032940">
        <w:rPr>
          <w:rFonts w:ascii="Times New Roman" w:hAnsi="Times New Roman"/>
          <w:sz w:val="24"/>
          <w:szCs w:val="20"/>
        </w:rPr>
        <w:t>Unless extensions are granted, compliance with the MATS Rule is required as of April 16, 2015.</w:t>
      </w:r>
    </w:p>
    <w:p w:rsidR="004033A5" w:rsidRDefault="004033A5" w:rsidP="002A186A">
      <w:pPr>
        <w:tabs>
          <w:tab w:val="left" w:pos="720"/>
          <w:tab w:val="left" w:pos="1428"/>
          <w:tab w:val="left" w:pos="4716"/>
          <w:tab w:val="left" w:pos="4896"/>
          <w:tab w:val="left" w:pos="6718"/>
        </w:tabs>
        <w:suppressAutoHyphens/>
        <w:spacing w:after="0" w:line="240" w:lineRule="auto"/>
        <w:rPr>
          <w:rFonts w:ascii="Times New Roman" w:hAnsi="Times New Roman"/>
          <w:sz w:val="24"/>
          <w:szCs w:val="20"/>
        </w:rPr>
      </w:pPr>
    </w:p>
    <w:p w:rsidR="00711CED" w:rsidRPr="00711CED" w:rsidRDefault="00711CED" w:rsidP="002A186A">
      <w:pPr>
        <w:tabs>
          <w:tab w:val="left" w:pos="720"/>
          <w:tab w:val="left" w:pos="1428"/>
          <w:tab w:val="left" w:pos="4716"/>
          <w:tab w:val="left" w:pos="4896"/>
          <w:tab w:val="left" w:pos="6718"/>
        </w:tabs>
        <w:suppressAutoHyphens/>
        <w:spacing w:after="0" w:line="240" w:lineRule="auto"/>
        <w:rPr>
          <w:rFonts w:ascii="Times New Roman" w:hAnsi="Times New Roman"/>
          <w:b/>
          <w:bCs/>
          <w:color w:val="000080"/>
          <w:sz w:val="24"/>
          <w:szCs w:val="24"/>
        </w:rPr>
      </w:pPr>
      <w:r w:rsidRPr="00711CED">
        <w:rPr>
          <w:rFonts w:ascii="Times New Roman" w:hAnsi="Times New Roman"/>
          <w:b/>
          <w:bCs/>
          <w:color w:val="000080"/>
          <w:sz w:val="24"/>
          <w:szCs w:val="24"/>
        </w:rPr>
        <w:t xml:space="preserve">MATS </w:t>
      </w:r>
      <w:r>
        <w:rPr>
          <w:rFonts w:ascii="Times New Roman" w:hAnsi="Times New Roman"/>
          <w:b/>
          <w:bCs/>
          <w:color w:val="000080"/>
          <w:sz w:val="24"/>
          <w:szCs w:val="24"/>
        </w:rPr>
        <w:t xml:space="preserve">Compliance </w:t>
      </w:r>
      <w:r w:rsidR="00D73777">
        <w:rPr>
          <w:rFonts w:ascii="Times New Roman" w:hAnsi="Times New Roman"/>
          <w:b/>
          <w:bCs/>
          <w:color w:val="000080"/>
          <w:sz w:val="24"/>
          <w:szCs w:val="24"/>
        </w:rPr>
        <w:t xml:space="preserve">Strategy </w:t>
      </w:r>
      <w:r w:rsidRPr="00711CED">
        <w:rPr>
          <w:rFonts w:ascii="Times New Roman" w:hAnsi="Times New Roman"/>
          <w:b/>
          <w:bCs/>
          <w:color w:val="000080"/>
          <w:sz w:val="24"/>
          <w:szCs w:val="24"/>
        </w:rPr>
        <w:t>Background</w:t>
      </w:r>
    </w:p>
    <w:p w:rsidR="00C72EE5" w:rsidRDefault="00885474" w:rsidP="002A186A">
      <w:pPr>
        <w:tabs>
          <w:tab w:val="left" w:pos="720"/>
          <w:tab w:val="left" w:pos="1428"/>
          <w:tab w:val="left" w:pos="4716"/>
          <w:tab w:val="left" w:pos="4896"/>
          <w:tab w:val="left" w:pos="6718"/>
        </w:tabs>
        <w:suppressAutoHyphens/>
        <w:spacing w:after="0" w:line="240" w:lineRule="auto"/>
        <w:rPr>
          <w:rFonts w:ascii="Times New Roman" w:hAnsi="Times New Roman"/>
          <w:sz w:val="24"/>
          <w:szCs w:val="20"/>
        </w:rPr>
      </w:pPr>
      <w:r>
        <w:rPr>
          <w:rFonts w:ascii="Times New Roman" w:hAnsi="Times New Roman"/>
          <w:sz w:val="24"/>
          <w:szCs w:val="20"/>
        </w:rPr>
        <w:t xml:space="preserve">Because of the very short compliance period associated with the MATS rule, Georgia Power devised compliance strategies for its plants in two main phases: a proposed rule strategy and a final rule strategy.  </w:t>
      </w:r>
      <w:r w:rsidR="00C72EE5">
        <w:rPr>
          <w:rFonts w:ascii="Times New Roman" w:hAnsi="Times New Roman"/>
          <w:sz w:val="24"/>
          <w:szCs w:val="20"/>
        </w:rPr>
        <w:t xml:space="preserve">This two phase </w:t>
      </w:r>
      <w:r w:rsidR="00083BCA">
        <w:rPr>
          <w:rFonts w:ascii="Times New Roman" w:hAnsi="Times New Roman"/>
          <w:sz w:val="24"/>
          <w:szCs w:val="20"/>
        </w:rPr>
        <w:t>strategy was</w:t>
      </w:r>
      <w:r w:rsidR="00C72EE5">
        <w:rPr>
          <w:rFonts w:ascii="Times New Roman" w:hAnsi="Times New Roman"/>
          <w:sz w:val="24"/>
          <w:szCs w:val="20"/>
        </w:rPr>
        <w:t xml:space="preserve"> necessary due to</w:t>
      </w:r>
      <w:r w:rsidR="00C82751">
        <w:rPr>
          <w:rFonts w:ascii="Times New Roman" w:hAnsi="Times New Roman"/>
          <w:sz w:val="24"/>
          <w:szCs w:val="20"/>
        </w:rPr>
        <w:t xml:space="preserve"> the impractical </w:t>
      </w:r>
      <w:r w:rsidR="00083BCA">
        <w:rPr>
          <w:rFonts w:ascii="Times New Roman" w:hAnsi="Times New Roman"/>
          <w:sz w:val="24"/>
          <w:szCs w:val="20"/>
        </w:rPr>
        <w:t>compliance d</w:t>
      </w:r>
      <w:r w:rsidR="00C72EE5">
        <w:rPr>
          <w:rFonts w:ascii="Times New Roman" w:hAnsi="Times New Roman"/>
          <w:sz w:val="24"/>
          <w:szCs w:val="20"/>
        </w:rPr>
        <w:t>eadline</w:t>
      </w:r>
      <w:r w:rsidR="00083BCA">
        <w:rPr>
          <w:rFonts w:ascii="Times New Roman" w:hAnsi="Times New Roman"/>
          <w:sz w:val="24"/>
          <w:szCs w:val="20"/>
        </w:rPr>
        <w:t xml:space="preserve"> </w:t>
      </w:r>
      <w:r w:rsidR="00C72EE5">
        <w:rPr>
          <w:rFonts w:ascii="Times New Roman" w:hAnsi="Times New Roman"/>
          <w:sz w:val="24"/>
          <w:szCs w:val="20"/>
        </w:rPr>
        <w:t xml:space="preserve">and the potential reliability impacts of </w:t>
      </w:r>
      <w:r w:rsidR="00083BCA">
        <w:rPr>
          <w:rFonts w:ascii="Times New Roman" w:hAnsi="Times New Roman"/>
          <w:sz w:val="24"/>
          <w:szCs w:val="20"/>
        </w:rPr>
        <w:t xml:space="preserve">the rule.  </w:t>
      </w:r>
    </w:p>
    <w:p w:rsidR="00C72EE5" w:rsidRDefault="00C72EE5" w:rsidP="002A186A">
      <w:pPr>
        <w:tabs>
          <w:tab w:val="left" w:pos="720"/>
          <w:tab w:val="left" w:pos="1428"/>
          <w:tab w:val="left" w:pos="4716"/>
          <w:tab w:val="left" w:pos="4896"/>
          <w:tab w:val="left" w:pos="6718"/>
        </w:tabs>
        <w:suppressAutoHyphens/>
        <w:spacing w:after="0" w:line="240" w:lineRule="auto"/>
        <w:rPr>
          <w:rFonts w:ascii="Times New Roman" w:hAnsi="Times New Roman"/>
          <w:sz w:val="24"/>
          <w:szCs w:val="20"/>
        </w:rPr>
      </w:pPr>
    </w:p>
    <w:p w:rsidR="002A186A" w:rsidRDefault="00C72EE5" w:rsidP="002A186A">
      <w:pPr>
        <w:tabs>
          <w:tab w:val="left" w:pos="720"/>
          <w:tab w:val="left" w:pos="1428"/>
          <w:tab w:val="left" w:pos="4716"/>
          <w:tab w:val="left" w:pos="4896"/>
          <w:tab w:val="left" w:pos="6718"/>
        </w:tabs>
        <w:suppressAutoHyphens/>
        <w:spacing w:after="0" w:line="240" w:lineRule="auto"/>
        <w:rPr>
          <w:rFonts w:ascii="Times New Roman" w:hAnsi="Times New Roman"/>
          <w:sz w:val="24"/>
          <w:szCs w:val="20"/>
        </w:rPr>
      </w:pPr>
      <w:r>
        <w:rPr>
          <w:rFonts w:ascii="Times New Roman" w:hAnsi="Times New Roman"/>
          <w:sz w:val="24"/>
          <w:szCs w:val="20"/>
        </w:rPr>
        <w:t xml:space="preserve">After review of the proposed rule that was issued in March 2011, Georgia Power determined that the proposed rule strategy should focus on compliance options for the larger units that already have scrubbers installed.  </w:t>
      </w:r>
      <w:r w:rsidR="00D73777">
        <w:rPr>
          <w:rFonts w:ascii="Times New Roman" w:hAnsi="Times New Roman"/>
          <w:sz w:val="24"/>
          <w:szCs w:val="20"/>
        </w:rPr>
        <w:t>While all of the proposed numerical emission limits for existing units in the MATS rule were very stringent, the particulate matter limit and compliance requirements, in particular, were near impossible to achieve</w:t>
      </w:r>
      <w:r w:rsidR="003313C9">
        <w:rPr>
          <w:rFonts w:ascii="Times New Roman" w:hAnsi="Times New Roman"/>
          <w:sz w:val="24"/>
          <w:szCs w:val="20"/>
        </w:rPr>
        <w:t xml:space="preserve"> without a baghouse</w:t>
      </w:r>
      <w:r w:rsidR="00D73777">
        <w:rPr>
          <w:rFonts w:ascii="Times New Roman" w:hAnsi="Times New Roman"/>
          <w:sz w:val="24"/>
          <w:szCs w:val="20"/>
        </w:rPr>
        <w:t xml:space="preserve">.  </w:t>
      </w:r>
      <w:r w:rsidR="00032940">
        <w:rPr>
          <w:rFonts w:ascii="Times New Roman" w:hAnsi="Times New Roman"/>
          <w:sz w:val="24"/>
          <w:szCs w:val="20"/>
        </w:rPr>
        <w:t xml:space="preserve">Because of the stringency and inflexibility of </w:t>
      </w:r>
      <w:r>
        <w:rPr>
          <w:rFonts w:ascii="Times New Roman" w:hAnsi="Times New Roman"/>
          <w:sz w:val="24"/>
          <w:szCs w:val="20"/>
        </w:rPr>
        <w:t xml:space="preserve">all of </w:t>
      </w:r>
      <w:r w:rsidR="00032940">
        <w:rPr>
          <w:rFonts w:ascii="Times New Roman" w:hAnsi="Times New Roman"/>
          <w:sz w:val="24"/>
          <w:szCs w:val="20"/>
        </w:rPr>
        <w:t>the proposed limits</w:t>
      </w:r>
      <w:r w:rsidR="00D73777">
        <w:rPr>
          <w:rFonts w:ascii="Times New Roman" w:hAnsi="Times New Roman"/>
          <w:sz w:val="24"/>
          <w:szCs w:val="20"/>
        </w:rPr>
        <w:t xml:space="preserve">, </w:t>
      </w:r>
      <w:r w:rsidR="00083BCA">
        <w:rPr>
          <w:rFonts w:ascii="Times New Roman" w:hAnsi="Times New Roman"/>
          <w:sz w:val="24"/>
          <w:szCs w:val="20"/>
        </w:rPr>
        <w:t xml:space="preserve">it was determined that </w:t>
      </w:r>
      <w:r w:rsidR="00032940">
        <w:rPr>
          <w:rFonts w:ascii="Times New Roman" w:hAnsi="Times New Roman"/>
          <w:sz w:val="24"/>
          <w:szCs w:val="20"/>
        </w:rPr>
        <w:t xml:space="preserve">all </w:t>
      </w:r>
      <w:r w:rsidR="002F2289">
        <w:rPr>
          <w:rFonts w:ascii="Times New Roman" w:hAnsi="Times New Roman"/>
          <w:sz w:val="24"/>
          <w:szCs w:val="20"/>
        </w:rPr>
        <w:t xml:space="preserve">coal </w:t>
      </w:r>
      <w:r w:rsidR="00032940">
        <w:rPr>
          <w:rFonts w:ascii="Times New Roman" w:hAnsi="Times New Roman"/>
          <w:sz w:val="24"/>
          <w:szCs w:val="20"/>
        </w:rPr>
        <w:t xml:space="preserve">units would require at least scrubbers and baghouses to comply.  </w:t>
      </w:r>
      <w:r w:rsidR="00DB2963" w:rsidRPr="00BE1739">
        <w:rPr>
          <w:rFonts w:ascii="Times New Roman" w:hAnsi="Times New Roman"/>
          <w:b/>
          <w:sz w:val="24"/>
          <w:szCs w:val="24"/>
        </w:rPr>
        <w:t>REDACTED REDACTED REDACTED REDACTED REDACTED REDACTED REDACTED REDACTED REDACTED REDACTED</w:t>
      </w:r>
      <w:r w:rsidR="00BE1739">
        <w:rPr>
          <w:rFonts w:ascii="Times New Roman" w:hAnsi="Times New Roman"/>
          <w:b/>
          <w:sz w:val="24"/>
          <w:szCs w:val="24"/>
        </w:rPr>
        <w:t xml:space="preserve">  </w:t>
      </w:r>
      <w:r w:rsidR="00DB1F0C">
        <w:rPr>
          <w:rFonts w:ascii="Times New Roman" w:hAnsi="Times New Roman"/>
          <w:sz w:val="24"/>
          <w:szCs w:val="20"/>
        </w:rPr>
        <w:t xml:space="preserve"> </w:t>
      </w:r>
      <w:r w:rsidR="00083BCA">
        <w:rPr>
          <w:rFonts w:ascii="Times New Roman" w:hAnsi="Times New Roman"/>
          <w:sz w:val="24"/>
          <w:szCs w:val="20"/>
        </w:rPr>
        <w:t>Therefore, f</w:t>
      </w:r>
      <w:r w:rsidR="00DB1F0C">
        <w:rPr>
          <w:rFonts w:ascii="Times New Roman" w:hAnsi="Times New Roman"/>
          <w:sz w:val="24"/>
          <w:szCs w:val="20"/>
        </w:rPr>
        <w:t>urther c</w:t>
      </w:r>
      <w:r w:rsidR="00032940">
        <w:rPr>
          <w:rFonts w:ascii="Times New Roman" w:hAnsi="Times New Roman"/>
          <w:sz w:val="24"/>
          <w:szCs w:val="20"/>
        </w:rPr>
        <w:t>ompliance evaluations and decisions for the smaller, unscrubbed units were deferred until the final rule was issued</w:t>
      </w:r>
      <w:r w:rsidR="0074787D">
        <w:rPr>
          <w:rFonts w:ascii="Times New Roman" w:hAnsi="Times New Roman"/>
          <w:sz w:val="24"/>
          <w:szCs w:val="20"/>
        </w:rPr>
        <w:t xml:space="preserve">.  </w:t>
      </w:r>
      <w:r w:rsidR="00DB2963" w:rsidRPr="00BE1739">
        <w:rPr>
          <w:rFonts w:ascii="Times New Roman" w:hAnsi="Times New Roman"/>
          <w:b/>
          <w:sz w:val="24"/>
          <w:szCs w:val="24"/>
        </w:rPr>
        <w:t>REDACTED REDACTED REDACTED REDACTED REDACTED REDACTED REDACTED REDACTED REDACTED REDACTED REDACTED REDACTED REDACTED REDACTED REDACTED REDACTED REDACTED</w:t>
      </w:r>
      <w:r w:rsidR="00BE1739">
        <w:rPr>
          <w:rFonts w:ascii="Times New Roman" w:hAnsi="Times New Roman"/>
          <w:b/>
          <w:sz w:val="24"/>
          <w:szCs w:val="24"/>
        </w:rPr>
        <w:t xml:space="preserve"> </w:t>
      </w:r>
      <w:r w:rsidR="00DB2963" w:rsidRPr="00E107BE">
        <w:rPr>
          <w:rFonts w:ascii="Times New Roman" w:hAnsi="Times New Roman"/>
          <w:sz w:val="24"/>
          <w:szCs w:val="24"/>
        </w:rPr>
        <w:t xml:space="preserve"> </w:t>
      </w:r>
      <w:r w:rsidR="0074787D">
        <w:rPr>
          <w:rFonts w:ascii="Times New Roman" w:hAnsi="Times New Roman"/>
          <w:sz w:val="24"/>
          <w:szCs w:val="20"/>
        </w:rPr>
        <w:t>Further, retrofitting existing units with baghouses invariably take</w:t>
      </w:r>
      <w:r w:rsidR="006820F1">
        <w:rPr>
          <w:rFonts w:ascii="Times New Roman" w:hAnsi="Times New Roman"/>
          <w:sz w:val="24"/>
          <w:szCs w:val="20"/>
        </w:rPr>
        <w:t>s</w:t>
      </w:r>
      <w:r w:rsidR="0074787D">
        <w:rPr>
          <w:rFonts w:ascii="Times New Roman" w:hAnsi="Times New Roman"/>
          <w:sz w:val="24"/>
          <w:szCs w:val="20"/>
        </w:rPr>
        <w:t xml:space="preserve"> longer than the three year compliance period allowed under the MATS rule</w:t>
      </w:r>
      <w:r w:rsidR="006820F1">
        <w:rPr>
          <w:rFonts w:ascii="Times New Roman" w:hAnsi="Times New Roman"/>
          <w:sz w:val="24"/>
          <w:szCs w:val="20"/>
        </w:rPr>
        <w:t>, and in many cases may take longer than the four year compliance period allowed if granted a one-year extension</w:t>
      </w:r>
      <w:r w:rsidR="0074787D">
        <w:rPr>
          <w:rFonts w:ascii="Times New Roman" w:hAnsi="Times New Roman"/>
          <w:sz w:val="24"/>
          <w:szCs w:val="20"/>
        </w:rPr>
        <w:t>.</w:t>
      </w:r>
      <w:r w:rsidR="00032940">
        <w:rPr>
          <w:rFonts w:ascii="Times New Roman" w:hAnsi="Times New Roman"/>
          <w:sz w:val="24"/>
          <w:szCs w:val="20"/>
        </w:rPr>
        <w:t xml:space="preserve"> </w:t>
      </w:r>
      <w:r w:rsidR="006820F1">
        <w:rPr>
          <w:rFonts w:ascii="Times New Roman" w:hAnsi="Times New Roman"/>
          <w:sz w:val="24"/>
          <w:szCs w:val="20"/>
        </w:rPr>
        <w:t xml:space="preserve"> I</w:t>
      </w:r>
      <w:r w:rsidR="00032940">
        <w:rPr>
          <w:rFonts w:ascii="Times New Roman" w:hAnsi="Times New Roman"/>
          <w:sz w:val="24"/>
          <w:szCs w:val="20"/>
        </w:rPr>
        <w:t>t</w:t>
      </w:r>
      <w:r w:rsidR="006820F1">
        <w:rPr>
          <w:rFonts w:ascii="Times New Roman" w:hAnsi="Times New Roman"/>
          <w:sz w:val="24"/>
          <w:szCs w:val="20"/>
        </w:rPr>
        <w:t xml:space="preserve"> became clear that it</w:t>
      </w:r>
      <w:r w:rsidR="00032940">
        <w:rPr>
          <w:rFonts w:ascii="Times New Roman" w:hAnsi="Times New Roman"/>
          <w:sz w:val="24"/>
          <w:szCs w:val="20"/>
        </w:rPr>
        <w:t xml:space="preserve"> was necessary to proceed with baghouse plans for the larger, scrubbed units </w:t>
      </w:r>
      <w:r w:rsidR="006820F1">
        <w:rPr>
          <w:rFonts w:ascii="Times New Roman" w:hAnsi="Times New Roman"/>
          <w:sz w:val="24"/>
          <w:szCs w:val="20"/>
        </w:rPr>
        <w:t xml:space="preserve">in advance of the final rule issuance </w:t>
      </w:r>
      <w:r w:rsidR="00032940">
        <w:rPr>
          <w:rFonts w:ascii="Times New Roman" w:hAnsi="Times New Roman"/>
          <w:sz w:val="24"/>
          <w:szCs w:val="20"/>
        </w:rPr>
        <w:t xml:space="preserve">to strive to meet the compliance deadlines under MATS and minimize potential </w:t>
      </w:r>
      <w:r w:rsidR="006820F1">
        <w:rPr>
          <w:rFonts w:ascii="Times New Roman" w:hAnsi="Times New Roman"/>
          <w:sz w:val="24"/>
          <w:szCs w:val="20"/>
        </w:rPr>
        <w:t>risks</w:t>
      </w:r>
      <w:r w:rsidR="00032940">
        <w:rPr>
          <w:rFonts w:ascii="Times New Roman" w:hAnsi="Times New Roman"/>
          <w:sz w:val="24"/>
          <w:szCs w:val="20"/>
        </w:rPr>
        <w:t xml:space="preserve"> to reliability.  Thus, the proposed rule strategy included installation of seven baghouses on ten units across three plants (Bowen, Hammond, and Wansley).  </w:t>
      </w:r>
    </w:p>
    <w:p w:rsidR="000068A0" w:rsidRDefault="000068A0" w:rsidP="000068A0">
      <w:pPr>
        <w:spacing w:before="240" w:after="0" w:line="240" w:lineRule="auto"/>
        <w:rPr>
          <w:rFonts w:ascii="Times New Roman" w:hAnsi="Times New Roman"/>
          <w:sz w:val="24"/>
          <w:szCs w:val="24"/>
        </w:rPr>
      </w:pPr>
      <w:r>
        <w:rPr>
          <w:rFonts w:ascii="Times New Roman" w:hAnsi="Times New Roman"/>
          <w:sz w:val="24"/>
          <w:szCs w:val="24"/>
        </w:rPr>
        <w:t>Based on the proposed rule</w:t>
      </w:r>
      <w:r w:rsidR="00083BCA">
        <w:rPr>
          <w:rFonts w:ascii="Times New Roman" w:hAnsi="Times New Roman"/>
          <w:sz w:val="24"/>
          <w:szCs w:val="24"/>
        </w:rPr>
        <w:t xml:space="preserve"> and accompanying st</w:t>
      </w:r>
      <w:r w:rsidR="002F2289">
        <w:rPr>
          <w:rFonts w:ascii="Times New Roman" w:hAnsi="Times New Roman"/>
          <w:sz w:val="24"/>
          <w:szCs w:val="24"/>
        </w:rPr>
        <w:t>r</w:t>
      </w:r>
      <w:r w:rsidR="00083BCA">
        <w:rPr>
          <w:rFonts w:ascii="Times New Roman" w:hAnsi="Times New Roman"/>
          <w:sz w:val="24"/>
          <w:szCs w:val="24"/>
        </w:rPr>
        <w:t>ategy discussed above</w:t>
      </w:r>
      <w:r>
        <w:rPr>
          <w:rFonts w:ascii="Times New Roman" w:hAnsi="Times New Roman"/>
          <w:sz w:val="24"/>
          <w:szCs w:val="24"/>
        </w:rPr>
        <w:t>, Georgia Power sought approval from the Public Service Commission (PSC</w:t>
      </w:r>
      <w:r w:rsidR="00C04B03">
        <w:rPr>
          <w:rFonts w:ascii="Times New Roman" w:hAnsi="Times New Roman"/>
          <w:sz w:val="24"/>
          <w:szCs w:val="24"/>
        </w:rPr>
        <w:t xml:space="preserve"> or the Commission</w:t>
      </w:r>
      <w:r>
        <w:rPr>
          <w:rFonts w:ascii="Times New Roman" w:hAnsi="Times New Roman"/>
          <w:sz w:val="24"/>
          <w:szCs w:val="24"/>
        </w:rPr>
        <w:t xml:space="preserve">) to begin work </w:t>
      </w:r>
      <w:r w:rsidR="00ED2B14">
        <w:rPr>
          <w:rFonts w:ascii="Times New Roman" w:hAnsi="Times New Roman"/>
          <w:sz w:val="24"/>
          <w:szCs w:val="24"/>
        </w:rPr>
        <w:t>on</w:t>
      </w:r>
      <w:r w:rsidR="002F2289">
        <w:rPr>
          <w:rFonts w:ascii="Times New Roman" w:hAnsi="Times New Roman"/>
          <w:sz w:val="24"/>
          <w:szCs w:val="24"/>
        </w:rPr>
        <w:t xml:space="preserve"> </w:t>
      </w:r>
      <w:r>
        <w:rPr>
          <w:rFonts w:ascii="Times New Roman" w:hAnsi="Times New Roman"/>
          <w:sz w:val="24"/>
          <w:szCs w:val="24"/>
        </w:rPr>
        <w:t xml:space="preserve">the installation of baghouses </w:t>
      </w:r>
      <w:r w:rsidR="00ED2B14">
        <w:rPr>
          <w:rFonts w:ascii="Times New Roman" w:hAnsi="Times New Roman"/>
          <w:sz w:val="24"/>
          <w:szCs w:val="24"/>
        </w:rPr>
        <w:t xml:space="preserve">for </w:t>
      </w:r>
      <w:r>
        <w:rPr>
          <w:rFonts w:ascii="Times New Roman" w:hAnsi="Times New Roman"/>
          <w:sz w:val="24"/>
          <w:szCs w:val="24"/>
        </w:rPr>
        <w:t xml:space="preserve">certain coal-fired units.  </w:t>
      </w:r>
      <w:r w:rsidRPr="009E421B">
        <w:rPr>
          <w:rFonts w:ascii="Times New Roman" w:hAnsi="Times New Roman"/>
          <w:sz w:val="24"/>
          <w:szCs w:val="24"/>
        </w:rPr>
        <w:t>In Docket No. 34218</w:t>
      </w:r>
      <w:r w:rsidR="009D0DCB">
        <w:rPr>
          <w:rFonts w:ascii="Times New Roman" w:hAnsi="Times New Roman"/>
          <w:sz w:val="24"/>
          <w:szCs w:val="24"/>
        </w:rPr>
        <w:t xml:space="preserve"> (2011 IRP Update)</w:t>
      </w:r>
      <w:r w:rsidRPr="009E421B">
        <w:rPr>
          <w:rFonts w:ascii="Times New Roman" w:hAnsi="Times New Roman"/>
          <w:sz w:val="24"/>
          <w:szCs w:val="24"/>
        </w:rPr>
        <w:t xml:space="preserve">, the Commission approved the expenditures necessary for the initiation of construction of </w:t>
      </w:r>
      <w:r w:rsidR="002F2289">
        <w:rPr>
          <w:rFonts w:ascii="Times New Roman" w:hAnsi="Times New Roman"/>
          <w:sz w:val="24"/>
          <w:szCs w:val="24"/>
        </w:rPr>
        <w:t xml:space="preserve">seven </w:t>
      </w:r>
      <w:r w:rsidRPr="009E421B">
        <w:rPr>
          <w:rFonts w:ascii="Times New Roman" w:hAnsi="Times New Roman"/>
          <w:sz w:val="24"/>
          <w:szCs w:val="24"/>
        </w:rPr>
        <w:t>baghouses at Plants Bowen Units 1-4, Wansley Units 1 &amp; 2, and Hammond Units 1-4</w:t>
      </w:r>
      <w:r w:rsidR="00B41989">
        <w:rPr>
          <w:rFonts w:ascii="Times New Roman" w:hAnsi="Times New Roman"/>
          <w:sz w:val="24"/>
          <w:szCs w:val="24"/>
        </w:rPr>
        <w:t xml:space="preserve"> (single common baghouse)</w:t>
      </w:r>
      <w:r w:rsidRPr="009E421B">
        <w:rPr>
          <w:rFonts w:ascii="Times New Roman" w:hAnsi="Times New Roman"/>
          <w:sz w:val="24"/>
          <w:szCs w:val="24"/>
        </w:rPr>
        <w:t xml:space="preserve">.  As discussed in the 2011 IRP Update approved by the Commission, the initial baghouse work was necessary in order to maintain the Company’s ability to strive to comply with the MATS rule on a schedule that would not jeopardize </w:t>
      </w:r>
      <w:r w:rsidR="0077785B">
        <w:rPr>
          <w:rFonts w:ascii="Times New Roman" w:hAnsi="Times New Roman"/>
          <w:sz w:val="24"/>
          <w:szCs w:val="24"/>
        </w:rPr>
        <w:t xml:space="preserve">electric system </w:t>
      </w:r>
      <w:r w:rsidRPr="009E421B">
        <w:rPr>
          <w:rFonts w:ascii="Times New Roman" w:hAnsi="Times New Roman"/>
          <w:sz w:val="24"/>
          <w:szCs w:val="24"/>
        </w:rPr>
        <w:t xml:space="preserve">reliability.  </w:t>
      </w:r>
    </w:p>
    <w:p w:rsidR="002A186A" w:rsidRDefault="002A186A" w:rsidP="002A186A">
      <w:pPr>
        <w:tabs>
          <w:tab w:val="left" w:pos="720"/>
          <w:tab w:val="left" w:pos="1428"/>
          <w:tab w:val="left" w:pos="4716"/>
          <w:tab w:val="left" w:pos="4896"/>
          <w:tab w:val="left" w:pos="6718"/>
        </w:tabs>
        <w:suppressAutoHyphens/>
        <w:spacing w:after="0" w:line="240" w:lineRule="auto"/>
        <w:rPr>
          <w:rFonts w:ascii="Times New Roman" w:hAnsi="Times New Roman"/>
          <w:sz w:val="24"/>
          <w:szCs w:val="24"/>
        </w:rPr>
      </w:pPr>
    </w:p>
    <w:p w:rsidR="005B0A73" w:rsidRPr="005B0A73" w:rsidRDefault="005B0A73" w:rsidP="002A186A">
      <w:pPr>
        <w:tabs>
          <w:tab w:val="left" w:pos="720"/>
          <w:tab w:val="left" w:pos="1428"/>
          <w:tab w:val="left" w:pos="4716"/>
          <w:tab w:val="left" w:pos="4896"/>
          <w:tab w:val="left" w:pos="6718"/>
        </w:tabs>
        <w:suppressAutoHyphens/>
        <w:spacing w:after="0" w:line="240" w:lineRule="auto"/>
        <w:rPr>
          <w:rFonts w:ascii="Times New Roman" w:hAnsi="Times New Roman"/>
          <w:b/>
          <w:bCs/>
          <w:color w:val="000080"/>
          <w:sz w:val="24"/>
          <w:szCs w:val="24"/>
        </w:rPr>
      </w:pPr>
      <w:r w:rsidRPr="00711CED">
        <w:rPr>
          <w:rFonts w:ascii="Times New Roman" w:hAnsi="Times New Roman"/>
          <w:b/>
          <w:bCs/>
          <w:color w:val="000080"/>
          <w:sz w:val="24"/>
          <w:szCs w:val="24"/>
        </w:rPr>
        <w:t xml:space="preserve">MATS </w:t>
      </w:r>
      <w:r>
        <w:rPr>
          <w:rFonts w:ascii="Times New Roman" w:hAnsi="Times New Roman"/>
          <w:b/>
          <w:bCs/>
          <w:color w:val="000080"/>
          <w:sz w:val="24"/>
          <w:szCs w:val="24"/>
        </w:rPr>
        <w:t>Compliance Strategy</w:t>
      </w:r>
    </w:p>
    <w:p w:rsidR="009D0DCB" w:rsidRDefault="009D0DCB" w:rsidP="002A186A">
      <w:pPr>
        <w:tabs>
          <w:tab w:val="left" w:pos="720"/>
          <w:tab w:val="left" w:pos="1428"/>
          <w:tab w:val="left" w:pos="4716"/>
          <w:tab w:val="left" w:pos="4896"/>
          <w:tab w:val="left" w:pos="6718"/>
        </w:tabs>
        <w:suppressAutoHyphens/>
        <w:spacing w:after="0" w:line="240" w:lineRule="auto"/>
        <w:rPr>
          <w:rFonts w:ascii="Times New Roman" w:hAnsi="Times New Roman"/>
          <w:sz w:val="24"/>
          <w:szCs w:val="24"/>
        </w:rPr>
      </w:pPr>
      <w:r w:rsidRPr="009D0DCB">
        <w:rPr>
          <w:rFonts w:ascii="Times New Roman" w:hAnsi="Times New Roman"/>
          <w:sz w:val="24"/>
          <w:szCs w:val="24"/>
        </w:rPr>
        <w:t xml:space="preserve">Since the approval of the 2011 IRP Update, Georgia Power has continued the evaluation of the requirements of the final MATS rule and the overall compliance strategy on a unit-by-unit basis for </w:t>
      </w:r>
      <w:r>
        <w:rPr>
          <w:rFonts w:ascii="Times New Roman" w:hAnsi="Times New Roman"/>
          <w:sz w:val="24"/>
          <w:szCs w:val="24"/>
        </w:rPr>
        <w:t xml:space="preserve">not only </w:t>
      </w:r>
      <w:r w:rsidRPr="009D0DCB">
        <w:rPr>
          <w:rFonts w:ascii="Times New Roman" w:hAnsi="Times New Roman"/>
          <w:sz w:val="24"/>
          <w:szCs w:val="24"/>
        </w:rPr>
        <w:t>the ten generating units at Plant Bowen Units 1–4, Plant Wansley Units 1 and 2 and Plant Hammond Units 1–4</w:t>
      </w:r>
      <w:r>
        <w:rPr>
          <w:rFonts w:ascii="Times New Roman" w:hAnsi="Times New Roman"/>
          <w:sz w:val="24"/>
          <w:szCs w:val="24"/>
        </w:rPr>
        <w:t xml:space="preserve">, but </w:t>
      </w:r>
      <w:r w:rsidR="00B41989">
        <w:rPr>
          <w:rFonts w:ascii="Times New Roman" w:hAnsi="Times New Roman"/>
          <w:sz w:val="24"/>
          <w:szCs w:val="24"/>
        </w:rPr>
        <w:t xml:space="preserve">also for </w:t>
      </w:r>
      <w:r>
        <w:rPr>
          <w:rFonts w:ascii="Times New Roman" w:hAnsi="Times New Roman"/>
          <w:sz w:val="24"/>
          <w:szCs w:val="24"/>
        </w:rPr>
        <w:t>the remaing affected coal- and oil-fired units in its fleet</w:t>
      </w:r>
      <w:r w:rsidRPr="009D0DCB">
        <w:rPr>
          <w:rFonts w:ascii="Times New Roman" w:hAnsi="Times New Roman"/>
          <w:sz w:val="24"/>
          <w:szCs w:val="24"/>
        </w:rPr>
        <w:t>.</w:t>
      </w:r>
      <w:r>
        <w:rPr>
          <w:rFonts w:ascii="Times New Roman" w:hAnsi="Times New Roman"/>
          <w:sz w:val="24"/>
          <w:szCs w:val="24"/>
        </w:rPr>
        <w:t xml:space="preserve">  As a result of that continued evaluation, the Company has amended its compliance strategy for the MATS rule and the details of th</w:t>
      </w:r>
      <w:r w:rsidR="00B41989">
        <w:rPr>
          <w:rFonts w:ascii="Times New Roman" w:hAnsi="Times New Roman"/>
          <w:sz w:val="24"/>
          <w:szCs w:val="24"/>
        </w:rPr>
        <w:t>e amended</w:t>
      </w:r>
      <w:r>
        <w:rPr>
          <w:rFonts w:ascii="Times New Roman" w:hAnsi="Times New Roman"/>
          <w:sz w:val="24"/>
          <w:szCs w:val="24"/>
        </w:rPr>
        <w:t xml:space="preserve"> strategy are presented below.</w:t>
      </w:r>
    </w:p>
    <w:p w:rsidR="009D0DCB" w:rsidRDefault="009D0DCB" w:rsidP="002A186A">
      <w:pPr>
        <w:tabs>
          <w:tab w:val="left" w:pos="720"/>
          <w:tab w:val="left" w:pos="1428"/>
          <w:tab w:val="left" w:pos="4716"/>
          <w:tab w:val="left" w:pos="4896"/>
          <w:tab w:val="left" w:pos="6718"/>
        </w:tabs>
        <w:suppressAutoHyphens/>
        <w:spacing w:after="0" w:line="240" w:lineRule="auto"/>
        <w:rPr>
          <w:rFonts w:ascii="Times New Roman" w:hAnsi="Times New Roman"/>
          <w:sz w:val="24"/>
          <w:szCs w:val="24"/>
        </w:rPr>
      </w:pPr>
    </w:p>
    <w:p w:rsidR="002A186A" w:rsidRPr="003A6291" w:rsidRDefault="009D0DCB" w:rsidP="002A186A">
      <w:pPr>
        <w:tabs>
          <w:tab w:val="left" w:pos="720"/>
          <w:tab w:val="left" w:pos="1428"/>
          <w:tab w:val="left" w:pos="4716"/>
          <w:tab w:val="left" w:pos="4896"/>
          <w:tab w:val="left" w:pos="6718"/>
        </w:tabs>
        <w:suppressAutoHyphens/>
        <w:spacing w:after="0" w:line="240" w:lineRule="auto"/>
        <w:rPr>
          <w:rFonts w:ascii="Times New Roman" w:hAnsi="Times New Roman"/>
          <w:sz w:val="24"/>
          <w:szCs w:val="24"/>
        </w:rPr>
      </w:pPr>
      <w:r>
        <w:rPr>
          <w:rFonts w:ascii="Times New Roman" w:hAnsi="Times New Roman"/>
          <w:sz w:val="24"/>
          <w:szCs w:val="24"/>
        </w:rPr>
        <w:t xml:space="preserve">Georgia Power and </w:t>
      </w:r>
      <w:r w:rsidR="002A186A" w:rsidRPr="003A6291">
        <w:rPr>
          <w:rFonts w:ascii="Times New Roman" w:hAnsi="Times New Roman"/>
          <w:sz w:val="24"/>
          <w:szCs w:val="24"/>
        </w:rPr>
        <w:t xml:space="preserve">Southern Company </w:t>
      </w:r>
      <w:r w:rsidR="002A186A">
        <w:rPr>
          <w:rFonts w:ascii="Times New Roman" w:hAnsi="Times New Roman"/>
          <w:sz w:val="24"/>
          <w:szCs w:val="24"/>
        </w:rPr>
        <w:t>are</w:t>
      </w:r>
      <w:r w:rsidR="002A186A" w:rsidRPr="003A6291">
        <w:rPr>
          <w:rFonts w:ascii="Times New Roman" w:hAnsi="Times New Roman"/>
          <w:sz w:val="24"/>
          <w:szCs w:val="24"/>
        </w:rPr>
        <w:t xml:space="preserve"> uniquely positioned to understand and implement mercury control technology appropriately across </w:t>
      </w:r>
      <w:r w:rsidR="006B683E">
        <w:rPr>
          <w:rFonts w:ascii="Times New Roman" w:hAnsi="Times New Roman"/>
          <w:sz w:val="24"/>
          <w:szCs w:val="24"/>
        </w:rPr>
        <w:t>the</w:t>
      </w:r>
      <w:r w:rsidR="002A186A" w:rsidRPr="003A6291">
        <w:rPr>
          <w:rFonts w:ascii="Times New Roman" w:hAnsi="Times New Roman"/>
          <w:sz w:val="24"/>
          <w:szCs w:val="24"/>
        </w:rPr>
        <w:t xml:space="preserve"> operating fleet in large part due to </w:t>
      </w:r>
      <w:r w:rsidR="006B683E">
        <w:rPr>
          <w:rFonts w:ascii="Times New Roman" w:hAnsi="Times New Roman"/>
          <w:sz w:val="24"/>
          <w:szCs w:val="24"/>
        </w:rPr>
        <w:t>the</w:t>
      </w:r>
      <w:r w:rsidR="002A186A" w:rsidRPr="003A6291">
        <w:rPr>
          <w:rFonts w:ascii="Times New Roman" w:hAnsi="Times New Roman"/>
          <w:sz w:val="24"/>
          <w:szCs w:val="24"/>
        </w:rPr>
        <w:t xml:space="preserve"> wealth of research and demonstration experience.  Southern </w:t>
      </w:r>
      <w:r w:rsidR="006B683E">
        <w:rPr>
          <w:rFonts w:ascii="Times New Roman" w:hAnsi="Times New Roman"/>
          <w:sz w:val="24"/>
          <w:szCs w:val="24"/>
        </w:rPr>
        <w:t xml:space="preserve">Company </w:t>
      </w:r>
      <w:r w:rsidR="002A186A" w:rsidRPr="003A6291">
        <w:rPr>
          <w:rFonts w:ascii="Times New Roman" w:hAnsi="Times New Roman"/>
          <w:sz w:val="24"/>
          <w:szCs w:val="24"/>
        </w:rPr>
        <w:t>has collaborated with the U.S. Department of Energy (DOE), the Electric Power Research Institute (EPRI), equipment suppliers, and other utilities on mercury research.  Building off of it</w:t>
      </w:r>
      <w:r w:rsidR="002A186A">
        <w:rPr>
          <w:rFonts w:ascii="Times New Roman" w:hAnsi="Times New Roman"/>
          <w:sz w:val="24"/>
          <w:szCs w:val="24"/>
        </w:rPr>
        <w:t>s</w:t>
      </w:r>
      <w:r w:rsidR="002A186A" w:rsidRPr="003A6291">
        <w:rPr>
          <w:rFonts w:ascii="Times New Roman" w:hAnsi="Times New Roman"/>
          <w:sz w:val="24"/>
          <w:szCs w:val="24"/>
        </w:rPr>
        <w:t xml:space="preserve"> previous experience,</w:t>
      </w:r>
      <w:r w:rsidR="001C14B2">
        <w:rPr>
          <w:rFonts w:ascii="Times New Roman" w:hAnsi="Times New Roman"/>
          <w:sz w:val="24"/>
          <w:szCs w:val="24"/>
        </w:rPr>
        <w:t xml:space="preserve"> t</w:t>
      </w:r>
      <w:r w:rsidR="002A186A" w:rsidRPr="003A6291">
        <w:rPr>
          <w:rFonts w:ascii="Times New Roman" w:hAnsi="Times New Roman"/>
          <w:sz w:val="24"/>
          <w:szCs w:val="24"/>
        </w:rPr>
        <w:t>he Company’s research and testing program has enabled it to make individualized, targeted decisions for each unit that optimizes the available technology while minimizing costs to the customer.</w:t>
      </w:r>
      <w:r w:rsidR="006B683E">
        <w:rPr>
          <w:rFonts w:ascii="Times New Roman" w:hAnsi="Times New Roman"/>
          <w:sz w:val="24"/>
          <w:szCs w:val="24"/>
        </w:rPr>
        <w:t xml:space="preserve">  </w:t>
      </w:r>
    </w:p>
    <w:p w:rsidR="002A186A" w:rsidRDefault="002A186A" w:rsidP="00752263">
      <w:pPr>
        <w:tabs>
          <w:tab w:val="left" w:pos="720"/>
          <w:tab w:val="left" w:pos="1428"/>
          <w:tab w:val="left" w:pos="4716"/>
          <w:tab w:val="left" w:pos="4896"/>
          <w:tab w:val="left" w:pos="6718"/>
        </w:tabs>
        <w:suppressAutoHyphens/>
        <w:spacing w:after="0" w:line="240" w:lineRule="auto"/>
        <w:rPr>
          <w:rFonts w:ascii="Times New Roman" w:hAnsi="Times New Roman"/>
          <w:sz w:val="24"/>
          <w:szCs w:val="20"/>
        </w:rPr>
      </w:pPr>
    </w:p>
    <w:p w:rsidR="00E82652" w:rsidRPr="00E82652" w:rsidRDefault="005B0A73" w:rsidP="005B0A73">
      <w:pPr>
        <w:tabs>
          <w:tab w:val="left" w:pos="450"/>
          <w:tab w:val="left" w:pos="1428"/>
          <w:tab w:val="left" w:pos="4716"/>
          <w:tab w:val="left" w:pos="4896"/>
          <w:tab w:val="left" w:pos="6718"/>
        </w:tabs>
        <w:suppressAutoHyphens/>
        <w:spacing w:after="0" w:line="240" w:lineRule="auto"/>
        <w:rPr>
          <w:rFonts w:ascii="Times New Roman" w:hAnsi="Times New Roman"/>
          <w:b/>
          <w:sz w:val="24"/>
          <w:szCs w:val="20"/>
        </w:rPr>
      </w:pPr>
      <w:r>
        <w:rPr>
          <w:rFonts w:ascii="Times New Roman" w:hAnsi="Times New Roman"/>
          <w:b/>
          <w:sz w:val="24"/>
          <w:szCs w:val="20"/>
        </w:rPr>
        <w:tab/>
      </w:r>
      <w:r w:rsidR="00E82652" w:rsidRPr="00E82652">
        <w:rPr>
          <w:rFonts w:ascii="Times New Roman" w:hAnsi="Times New Roman"/>
          <w:b/>
          <w:sz w:val="24"/>
          <w:szCs w:val="20"/>
        </w:rPr>
        <w:t>Scrubbe</w:t>
      </w:r>
      <w:r w:rsidR="002F77C0">
        <w:rPr>
          <w:rFonts w:ascii="Times New Roman" w:hAnsi="Times New Roman"/>
          <w:b/>
          <w:sz w:val="24"/>
          <w:szCs w:val="20"/>
        </w:rPr>
        <w:t>d</w:t>
      </w:r>
      <w:r w:rsidR="00E82652" w:rsidRPr="00E82652">
        <w:rPr>
          <w:rFonts w:ascii="Times New Roman" w:hAnsi="Times New Roman"/>
          <w:b/>
          <w:sz w:val="24"/>
          <w:szCs w:val="20"/>
        </w:rPr>
        <w:t xml:space="preserve"> Units</w:t>
      </w:r>
    </w:p>
    <w:p w:rsidR="00D314B6" w:rsidRPr="009E5D0F" w:rsidRDefault="00DB2963" w:rsidP="005B0A73">
      <w:pPr>
        <w:tabs>
          <w:tab w:val="left" w:pos="450"/>
          <w:tab w:val="left" w:pos="1428"/>
          <w:tab w:val="left" w:pos="4716"/>
          <w:tab w:val="left" w:pos="4896"/>
          <w:tab w:val="left" w:pos="6718"/>
        </w:tabs>
        <w:suppressAutoHyphens/>
        <w:spacing w:after="0" w:line="240" w:lineRule="auto"/>
        <w:ind w:left="450"/>
        <w:rPr>
          <w:rFonts w:ascii="Times New Roman" w:hAnsi="Times New Roman"/>
          <w:sz w:val="24"/>
          <w:szCs w:val="20"/>
          <w:highlight w:val="yellow"/>
        </w:rPr>
      </w:pPr>
      <w:r w:rsidRPr="00BE1739">
        <w:rPr>
          <w:rFonts w:ascii="Times New Roman" w:hAnsi="Times New Roman"/>
          <w:b/>
          <w:sz w:val="24"/>
          <w:szCs w:val="24"/>
        </w:rPr>
        <w:t>REDACTED REDACTED REDACTED REDACTED REDACTED REDACTED REDACTED REDACTED REDACTED REDACTED REDACTED REDACTED REDACTED REDACTED REDACTED REDACTED REDACTED</w:t>
      </w:r>
      <w:r w:rsidR="00F006D7">
        <w:rPr>
          <w:rFonts w:ascii="Times New Roman" w:hAnsi="Times New Roman"/>
          <w:b/>
          <w:sz w:val="24"/>
          <w:szCs w:val="24"/>
        </w:rPr>
        <w:t xml:space="preserve"> </w:t>
      </w:r>
      <w:r w:rsidRPr="00E107BE">
        <w:rPr>
          <w:rFonts w:ascii="Times New Roman" w:hAnsi="Times New Roman"/>
          <w:sz w:val="24"/>
          <w:szCs w:val="24"/>
        </w:rPr>
        <w:t xml:space="preserve"> </w:t>
      </w:r>
      <w:r>
        <w:rPr>
          <w:rFonts w:ascii="Times New Roman" w:hAnsi="Times New Roman"/>
          <w:sz w:val="24"/>
          <w:szCs w:val="24"/>
        </w:rPr>
        <w:t xml:space="preserve">  </w:t>
      </w:r>
      <w:r w:rsidR="001B3CFC" w:rsidRPr="00EF3B7B">
        <w:rPr>
          <w:rFonts w:ascii="Times New Roman" w:hAnsi="Times New Roman"/>
          <w:sz w:val="24"/>
          <w:szCs w:val="20"/>
        </w:rPr>
        <w:t xml:space="preserve">Units that fall into this category include the coal-fired units at Plants Bowen, Hammond, Wansley, Scherer, and Yates Unit 1.  </w:t>
      </w:r>
      <w:r w:rsidR="00FD79D5" w:rsidRPr="00EF3B7B">
        <w:rPr>
          <w:rFonts w:ascii="Times New Roman" w:hAnsi="Times New Roman"/>
          <w:sz w:val="24"/>
          <w:szCs w:val="20"/>
        </w:rPr>
        <w:t>In addition to existing scrubbers, t</w:t>
      </w:r>
      <w:r w:rsidR="001B3CFC" w:rsidRPr="00EF3B7B">
        <w:rPr>
          <w:rFonts w:ascii="Times New Roman" w:hAnsi="Times New Roman"/>
          <w:sz w:val="24"/>
          <w:szCs w:val="20"/>
        </w:rPr>
        <w:t>he units at Plant Scherer also already operate existing baghouses with activated carbon injection for mercury control.</w:t>
      </w:r>
    </w:p>
    <w:p w:rsidR="001B3CFC" w:rsidRPr="009E5D0F" w:rsidRDefault="001B3CFC" w:rsidP="005B0A73">
      <w:pPr>
        <w:tabs>
          <w:tab w:val="left" w:pos="450"/>
          <w:tab w:val="left" w:pos="1428"/>
          <w:tab w:val="left" w:pos="4716"/>
          <w:tab w:val="left" w:pos="4896"/>
          <w:tab w:val="left" w:pos="6718"/>
        </w:tabs>
        <w:suppressAutoHyphens/>
        <w:spacing w:after="0" w:line="240" w:lineRule="auto"/>
        <w:ind w:left="450"/>
        <w:rPr>
          <w:rFonts w:ascii="Times New Roman" w:hAnsi="Times New Roman"/>
          <w:sz w:val="24"/>
          <w:szCs w:val="20"/>
          <w:highlight w:val="yellow"/>
        </w:rPr>
      </w:pPr>
    </w:p>
    <w:p w:rsidR="00B25E9F" w:rsidRPr="00BE1739" w:rsidRDefault="00DB2963" w:rsidP="005B0A73">
      <w:pPr>
        <w:tabs>
          <w:tab w:val="left" w:pos="450"/>
          <w:tab w:val="left" w:pos="1428"/>
          <w:tab w:val="left" w:pos="4716"/>
          <w:tab w:val="left" w:pos="4896"/>
          <w:tab w:val="left" w:pos="6718"/>
        </w:tabs>
        <w:suppressAutoHyphens/>
        <w:spacing w:after="0" w:line="240" w:lineRule="auto"/>
        <w:ind w:left="450"/>
        <w:rPr>
          <w:rFonts w:ascii="Times New Roman" w:hAnsi="Times New Roman"/>
          <w:b/>
          <w:sz w:val="24"/>
          <w:szCs w:val="20"/>
          <w:highlight w:val="yellow"/>
        </w:rPr>
      </w:pPr>
      <w:r w:rsidRPr="00BE1739">
        <w:rPr>
          <w:rFonts w:ascii="Times New Roman" w:hAnsi="Times New Roman"/>
          <w:b/>
          <w:sz w:val="24"/>
          <w:szCs w:val="24"/>
        </w:rPr>
        <w:t xml:space="preserve">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w:t>
      </w:r>
    </w:p>
    <w:p w:rsidR="00B25E9F" w:rsidRPr="00BE1739" w:rsidRDefault="00B25E9F" w:rsidP="005B0A73">
      <w:pPr>
        <w:tabs>
          <w:tab w:val="left" w:pos="450"/>
          <w:tab w:val="left" w:pos="1428"/>
          <w:tab w:val="left" w:pos="4716"/>
          <w:tab w:val="left" w:pos="4896"/>
          <w:tab w:val="left" w:pos="6718"/>
        </w:tabs>
        <w:suppressAutoHyphens/>
        <w:spacing w:after="0" w:line="240" w:lineRule="auto"/>
        <w:ind w:left="450"/>
        <w:rPr>
          <w:rFonts w:ascii="Times New Roman" w:hAnsi="Times New Roman"/>
          <w:b/>
          <w:sz w:val="24"/>
          <w:szCs w:val="20"/>
          <w:highlight w:val="yellow"/>
        </w:rPr>
      </w:pPr>
    </w:p>
    <w:p w:rsidR="00E838A1" w:rsidRPr="00BE1739" w:rsidRDefault="00DB2963" w:rsidP="005B0A73">
      <w:pPr>
        <w:tabs>
          <w:tab w:val="left" w:pos="450"/>
          <w:tab w:val="left" w:pos="1428"/>
          <w:tab w:val="left" w:pos="4716"/>
          <w:tab w:val="left" w:pos="4896"/>
          <w:tab w:val="left" w:pos="6718"/>
        </w:tabs>
        <w:suppressAutoHyphens/>
        <w:spacing w:after="0" w:line="240" w:lineRule="auto"/>
        <w:ind w:left="450"/>
        <w:rPr>
          <w:rFonts w:ascii="Times New Roman" w:hAnsi="Times New Roman"/>
          <w:b/>
          <w:sz w:val="24"/>
          <w:szCs w:val="20"/>
        </w:rPr>
      </w:pPr>
      <w:r w:rsidRPr="00BE1739">
        <w:rPr>
          <w:rFonts w:ascii="Times New Roman" w:hAnsi="Times New Roman"/>
          <w:b/>
          <w:sz w:val="24"/>
          <w:szCs w:val="24"/>
        </w:rPr>
        <w:t xml:space="preserve">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w:t>
      </w:r>
    </w:p>
    <w:p w:rsidR="00DB2963" w:rsidRPr="00BE1739" w:rsidRDefault="00DB2963" w:rsidP="005B0A73">
      <w:pPr>
        <w:tabs>
          <w:tab w:val="left" w:pos="450"/>
          <w:tab w:val="left" w:pos="1428"/>
          <w:tab w:val="left" w:pos="4716"/>
          <w:tab w:val="left" w:pos="4896"/>
          <w:tab w:val="left" w:pos="6718"/>
        </w:tabs>
        <w:suppressAutoHyphens/>
        <w:spacing w:after="0" w:line="240" w:lineRule="auto"/>
        <w:ind w:left="450"/>
        <w:rPr>
          <w:rFonts w:ascii="Times New Roman" w:hAnsi="Times New Roman"/>
          <w:b/>
          <w:sz w:val="24"/>
          <w:szCs w:val="20"/>
        </w:rPr>
      </w:pPr>
    </w:p>
    <w:p w:rsidR="004E6E7E" w:rsidRPr="00BE1739" w:rsidRDefault="00D907DD" w:rsidP="005B0A73">
      <w:pPr>
        <w:tabs>
          <w:tab w:val="left" w:pos="450"/>
          <w:tab w:val="left" w:pos="1428"/>
          <w:tab w:val="left" w:pos="4716"/>
          <w:tab w:val="left" w:pos="4896"/>
          <w:tab w:val="left" w:pos="6718"/>
        </w:tabs>
        <w:suppressAutoHyphens/>
        <w:spacing w:after="0" w:line="240" w:lineRule="auto"/>
        <w:ind w:left="450"/>
        <w:rPr>
          <w:rFonts w:ascii="Times New Roman" w:hAnsi="Times New Roman"/>
          <w:b/>
          <w:sz w:val="24"/>
          <w:szCs w:val="20"/>
          <w:highlight w:val="yellow"/>
        </w:rPr>
      </w:pPr>
      <w:r w:rsidRPr="00EF3B7B">
        <w:rPr>
          <w:rFonts w:ascii="Times New Roman" w:hAnsi="Times New Roman"/>
          <w:sz w:val="24"/>
          <w:szCs w:val="20"/>
        </w:rPr>
        <w:t xml:space="preserve">GPC will install baghouses at Plant Bowen Units 3 &amp; 4, but will not install baghouses at Plant Bowen Units 1 &amp;2, Plant Wansley Units 1&amp;2, and Plant Hammond Units 1-4. All coal-fired units at these sites will install activated carbon injection (ACI) and </w:t>
      </w:r>
      <w:r w:rsidR="00A25AC3" w:rsidRPr="00EF3B7B">
        <w:rPr>
          <w:rFonts w:ascii="Times New Roman" w:hAnsi="Times New Roman"/>
          <w:sz w:val="24"/>
          <w:szCs w:val="20"/>
        </w:rPr>
        <w:t xml:space="preserve">SAMC </w:t>
      </w:r>
      <w:r w:rsidRPr="00EF3B7B">
        <w:rPr>
          <w:rFonts w:ascii="Times New Roman" w:hAnsi="Times New Roman"/>
          <w:sz w:val="24"/>
          <w:szCs w:val="20"/>
        </w:rPr>
        <w:t>systems upstream of either the baghouse or the electrostatic precipitator.</w:t>
      </w:r>
      <w:r w:rsidR="00E838A1" w:rsidRPr="00EF3B7B">
        <w:rPr>
          <w:rFonts w:ascii="Times New Roman" w:hAnsi="Times New Roman"/>
          <w:sz w:val="24"/>
          <w:szCs w:val="20"/>
        </w:rPr>
        <w:t xml:space="preserve">  </w:t>
      </w:r>
      <w:r w:rsidR="00DB2963" w:rsidRPr="00BE1739">
        <w:rPr>
          <w:rFonts w:ascii="Times New Roman" w:hAnsi="Times New Roman"/>
          <w:b/>
          <w:sz w:val="24"/>
          <w:szCs w:val="24"/>
        </w:rPr>
        <w:t>REDACTED</w:t>
      </w:r>
      <w:r w:rsidR="00DB2963" w:rsidRPr="00E107BE">
        <w:rPr>
          <w:rFonts w:ascii="Times New Roman" w:hAnsi="Times New Roman"/>
          <w:sz w:val="24"/>
          <w:szCs w:val="24"/>
        </w:rPr>
        <w:t xml:space="preserve"> </w:t>
      </w:r>
      <w:r w:rsidR="00DB2963" w:rsidRPr="00BE1739">
        <w:rPr>
          <w:rFonts w:ascii="Times New Roman" w:hAnsi="Times New Roman"/>
          <w:b/>
          <w:sz w:val="24"/>
          <w:szCs w:val="24"/>
        </w:rPr>
        <w:t xml:space="preserve">REDACTED REDACTED REDACTED REDACTED REDACTED REDACTED REDACTED REDACTED </w:t>
      </w:r>
    </w:p>
    <w:p w:rsidR="004E6E7E" w:rsidRPr="00BE1739" w:rsidRDefault="004E6E7E" w:rsidP="005B0A73">
      <w:pPr>
        <w:tabs>
          <w:tab w:val="left" w:pos="450"/>
          <w:tab w:val="left" w:pos="1428"/>
          <w:tab w:val="left" w:pos="4716"/>
          <w:tab w:val="left" w:pos="4896"/>
          <w:tab w:val="left" w:pos="6718"/>
        </w:tabs>
        <w:suppressAutoHyphens/>
        <w:spacing w:after="0" w:line="240" w:lineRule="auto"/>
        <w:rPr>
          <w:rFonts w:ascii="Times New Roman" w:hAnsi="Times New Roman"/>
          <w:b/>
          <w:sz w:val="24"/>
          <w:szCs w:val="20"/>
          <w:highlight w:val="yellow"/>
        </w:rPr>
      </w:pPr>
    </w:p>
    <w:p w:rsidR="004E6E7E" w:rsidRPr="00BE1739" w:rsidRDefault="00DB2963" w:rsidP="005B0A73">
      <w:pPr>
        <w:tabs>
          <w:tab w:val="left" w:pos="450"/>
          <w:tab w:val="left" w:pos="1428"/>
          <w:tab w:val="left" w:pos="4716"/>
          <w:tab w:val="left" w:pos="4896"/>
          <w:tab w:val="left" w:pos="6718"/>
        </w:tabs>
        <w:suppressAutoHyphens/>
        <w:spacing w:after="0" w:line="240" w:lineRule="auto"/>
        <w:ind w:left="450"/>
        <w:rPr>
          <w:rFonts w:ascii="Times New Roman" w:hAnsi="Times New Roman"/>
          <w:b/>
          <w:sz w:val="24"/>
          <w:szCs w:val="20"/>
          <w:highlight w:val="yellow"/>
        </w:rPr>
      </w:pPr>
      <w:r w:rsidRPr="00BE1739">
        <w:rPr>
          <w:rFonts w:ascii="Times New Roman" w:hAnsi="Times New Roman"/>
          <w:b/>
          <w:sz w:val="24"/>
          <w:szCs w:val="24"/>
        </w:rPr>
        <w:t xml:space="preserve">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w:t>
      </w:r>
    </w:p>
    <w:p w:rsidR="00752263" w:rsidRPr="00BE1739" w:rsidRDefault="00752263" w:rsidP="00752263">
      <w:pPr>
        <w:tabs>
          <w:tab w:val="left" w:pos="720"/>
          <w:tab w:val="left" w:pos="1428"/>
          <w:tab w:val="left" w:pos="4716"/>
          <w:tab w:val="left" w:pos="4896"/>
          <w:tab w:val="left" w:pos="6718"/>
        </w:tabs>
        <w:suppressAutoHyphens/>
        <w:spacing w:after="0" w:line="240" w:lineRule="auto"/>
        <w:rPr>
          <w:rFonts w:ascii="Times New Roman" w:hAnsi="Times New Roman"/>
          <w:b/>
          <w:sz w:val="24"/>
          <w:szCs w:val="20"/>
          <w:highlight w:val="yellow"/>
        </w:rPr>
      </w:pPr>
    </w:p>
    <w:p w:rsidR="00EC65CF" w:rsidRPr="00BE1739" w:rsidRDefault="00DB2963" w:rsidP="00286110">
      <w:pPr>
        <w:tabs>
          <w:tab w:val="left" w:pos="720"/>
          <w:tab w:val="left" w:pos="1428"/>
          <w:tab w:val="left" w:pos="4716"/>
          <w:tab w:val="left" w:pos="4896"/>
          <w:tab w:val="left" w:pos="6718"/>
        </w:tabs>
        <w:suppressAutoHyphens/>
        <w:spacing w:after="0" w:line="240" w:lineRule="auto"/>
        <w:ind w:left="450"/>
        <w:rPr>
          <w:rFonts w:ascii="Times New Roman" w:hAnsi="Times New Roman"/>
          <w:b/>
          <w:sz w:val="24"/>
          <w:szCs w:val="20"/>
          <w:highlight w:val="yellow"/>
        </w:rPr>
      </w:pPr>
      <w:r w:rsidRPr="00BE1739">
        <w:rPr>
          <w:rFonts w:ascii="Times New Roman" w:hAnsi="Times New Roman"/>
          <w:b/>
          <w:sz w:val="24"/>
          <w:szCs w:val="24"/>
        </w:rPr>
        <w:t xml:space="preserve">REDACTED REDACTED REDACTED REDACTED REDACTED REDACTED REDACTED REDACTED REDACTED REDACTED REDACTED REDACTED REDACTED REDACTED REDACTED REDACTED REDACTED REDACTED REDACTED REDACTED REDACTED REDACTED REDACTED REDACTED REDACTED </w:t>
      </w:r>
    </w:p>
    <w:p w:rsidR="00E838A1" w:rsidRPr="009E5D0F" w:rsidRDefault="00E838A1" w:rsidP="00286110">
      <w:pPr>
        <w:tabs>
          <w:tab w:val="left" w:pos="720"/>
          <w:tab w:val="left" w:pos="1428"/>
          <w:tab w:val="left" w:pos="4716"/>
          <w:tab w:val="left" w:pos="4896"/>
          <w:tab w:val="left" w:pos="6718"/>
        </w:tabs>
        <w:suppressAutoHyphens/>
        <w:spacing w:after="0" w:line="240" w:lineRule="auto"/>
        <w:ind w:left="450"/>
        <w:rPr>
          <w:rFonts w:ascii="Times New Roman" w:hAnsi="Times New Roman"/>
          <w:sz w:val="24"/>
          <w:szCs w:val="20"/>
          <w:highlight w:val="yellow"/>
        </w:rPr>
      </w:pPr>
    </w:p>
    <w:p w:rsidR="00E838A1" w:rsidRPr="009E5D0F" w:rsidRDefault="00E838A1" w:rsidP="00286110">
      <w:pPr>
        <w:tabs>
          <w:tab w:val="left" w:pos="720"/>
          <w:tab w:val="left" w:pos="1428"/>
          <w:tab w:val="left" w:pos="4716"/>
          <w:tab w:val="left" w:pos="4896"/>
          <w:tab w:val="left" w:pos="6718"/>
        </w:tabs>
        <w:suppressAutoHyphens/>
        <w:spacing w:after="0" w:line="240" w:lineRule="auto"/>
        <w:ind w:left="450"/>
        <w:rPr>
          <w:rFonts w:ascii="Times New Roman" w:hAnsi="Times New Roman"/>
          <w:sz w:val="24"/>
          <w:szCs w:val="20"/>
          <w:highlight w:val="yellow"/>
        </w:rPr>
      </w:pPr>
      <w:r w:rsidRPr="00EF3B7B">
        <w:rPr>
          <w:rFonts w:ascii="Times New Roman" w:hAnsi="Times New Roman"/>
          <w:sz w:val="24"/>
          <w:szCs w:val="20"/>
        </w:rPr>
        <w:t xml:space="preserve">Yates Unit 1 is a unique case in the Georgia Power fleet because it operates an existing, older standalone scrubber at a relatively small coal-fired unit.  </w:t>
      </w:r>
      <w:r w:rsidR="00DB2963" w:rsidRPr="00BE1739">
        <w:rPr>
          <w:rFonts w:ascii="Times New Roman" w:hAnsi="Times New Roman"/>
          <w:b/>
          <w:sz w:val="24"/>
          <w:szCs w:val="24"/>
        </w:rPr>
        <w:t>REDACTED REDACTED</w:t>
      </w:r>
      <w:r w:rsidR="00DB2963" w:rsidRPr="00E107BE">
        <w:rPr>
          <w:rFonts w:ascii="Times New Roman" w:hAnsi="Times New Roman"/>
          <w:sz w:val="24"/>
          <w:szCs w:val="24"/>
        </w:rPr>
        <w:t xml:space="preserve"> </w:t>
      </w:r>
      <w:r w:rsidR="00DB2963" w:rsidRPr="00BE1739">
        <w:rPr>
          <w:rFonts w:ascii="Times New Roman" w:hAnsi="Times New Roman"/>
          <w:b/>
          <w:sz w:val="24"/>
          <w:szCs w:val="24"/>
        </w:rPr>
        <w:t>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w:t>
      </w:r>
      <w:r w:rsidR="00DB2963" w:rsidRPr="00E107BE">
        <w:rPr>
          <w:rFonts w:ascii="Times New Roman" w:hAnsi="Times New Roman"/>
          <w:sz w:val="24"/>
          <w:szCs w:val="24"/>
        </w:rPr>
        <w:t xml:space="preserve"> </w:t>
      </w:r>
    </w:p>
    <w:p w:rsidR="00752263" w:rsidRPr="009E5D0F" w:rsidRDefault="00752263" w:rsidP="00752263">
      <w:pPr>
        <w:tabs>
          <w:tab w:val="left" w:pos="720"/>
          <w:tab w:val="left" w:pos="1428"/>
          <w:tab w:val="left" w:pos="4716"/>
          <w:tab w:val="left" w:pos="4896"/>
          <w:tab w:val="left" w:pos="6718"/>
        </w:tabs>
        <w:suppressAutoHyphens/>
        <w:spacing w:after="0" w:line="240" w:lineRule="auto"/>
        <w:rPr>
          <w:rFonts w:ascii="Times New Roman" w:hAnsi="Times New Roman"/>
          <w:sz w:val="24"/>
          <w:szCs w:val="24"/>
          <w:highlight w:val="yellow"/>
        </w:rPr>
      </w:pPr>
    </w:p>
    <w:p w:rsidR="002F77C0" w:rsidRPr="00EF3B7B" w:rsidRDefault="002F77C0" w:rsidP="00286110">
      <w:pPr>
        <w:tabs>
          <w:tab w:val="left" w:pos="720"/>
          <w:tab w:val="left" w:pos="1428"/>
          <w:tab w:val="left" w:pos="4716"/>
          <w:tab w:val="left" w:pos="4896"/>
          <w:tab w:val="left" w:pos="6718"/>
        </w:tabs>
        <w:suppressAutoHyphens/>
        <w:spacing w:after="0" w:line="240" w:lineRule="auto"/>
        <w:ind w:left="450"/>
        <w:rPr>
          <w:rFonts w:ascii="Times New Roman" w:hAnsi="Times New Roman"/>
          <w:b/>
          <w:sz w:val="24"/>
          <w:szCs w:val="24"/>
        </w:rPr>
      </w:pPr>
      <w:r w:rsidRPr="00EF3B7B">
        <w:rPr>
          <w:rFonts w:ascii="Times New Roman" w:hAnsi="Times New Roman"/>
          <w:b/>
          <w:sz w:val="24"/>
          <w:szCs w:val="24"/>
        </w:rPr>
        <w:t>Non-scrubbed Units</w:t>
      </w:r>
    </w:p>
    <w:p w:rsidR="00286110" w:rsidRPr="00EF3B7B" w:rsidRDefault="006B683E" w:rsidP="00286110">
      <w:pPr>
        <w:tabs>
          <w:tab w:val="left" w:pos="720"/>
          <w:tab w:val="left" w:pos="1428"/>
          <w:tab w:val="left" w:pos="4716"/>
          <w:tab w:val="left" w:pos="4896"/>
          <w:tab w:val="left" w:pos="6718"/>
        </w:tabs>
        <w:suppressAutoHyphens/>
        <w:spacing w:after="0" w:line="240" w:lineRule="auto"/>
        <w:ind w:left="450"/>
        <w:rPr>
          <w:rFonts w:ascii="Times New Roman" w:hAnsi="Times New Roman"/>
          <w:sz w:val="24"/>
          <w:szCs w:val="24"/>
        </w:rPr>
      </w:pPr>
      <w:r w:rsidRPr="00EF3B7B">
        <w:rPr>
          <w:rFonts w:ascii="Times New Roman" w:hAnsi="Times New Roman"/>
          <w:sz w:val="24"/>
          <w:szCs w:val="24"/>
        </w:rPr>
        <w:t xml:space="preserve">For units that do not already have scrubbers, the chosen compliance strategy is based on site-specific factors and evaluations.  </w:t>
      </w:r>
      <w:r w:rsidR="00286110" w:rsidRPr="00EF3B7B">
        <w:rPr>
          <w:rFonts w:ascii="Times New Roman" w:hAnsi="Times New Roman"/>
          <w:sz w:val="24"/>
          <w:szCs w:val="24"/>
        </w:rPr>
        <w:t>The strategies for these units are discussed below:</w:t>
      </w:r>
    </w:p>
    <w:p w:rsidR="00286110" w:rsidRPr="009E5D0F" w:rsidRDefault="00286110" w:rsidP="00286110">
      <w:pPr>
        <w:tabs>
          <w:tab w:val="left" w:pos="720"/>
          <w:tab w:val="left" w:pos="1428"/>
          <w:tab w:val="left" w:pos="4716"/>
          <w:tab w:val="left" w:pos="4896"/>
          <w:tab w:val="left" w:pos="6718"/>
        </w:tabs>
        <w:suppressAutoHyphens/>
        <w:spacing w:after="0" w:line="240" w:lineRule="auto"/>
        <w:ind w:left="450"/>
        <w:rPr>
          <w:rFonts w:ascii="Times New Roman" w:hAnsi="Times New Roman"/>
          <w:sz w:val="24"/>
          <w:szCs w:val="24"/>
          <w:highlight w:val="yellow"/>
        </w:rPr>
      </w:pPr>
    </w:p>
    <w:p w:rsidR="002F77C0" w:rsidRPr="009E5D0F" w:rsidRDefault="006B683E" w:rsidP="00286110">
      <w:pPr>
        <w:tabs>
          <w:tab w:val="left" w:pos="720"/>
          <w:tab w:val="left" w:pos="1428"/>
          <w:tab w:val="left" w:pos="4716"/>
          <w:tab w:val="left" w:pos="4896"/>
          <w:tab w:val="left" w:pos="6718"/>
        </w:tabs>
        <w:suppressAutoHyphens/>
        <w:spacing w:after="0" w:line="240" w:lineRule="auto"/>
        <w:ind w:left="450"/>
        <w:rPr>
          <w:rFonts w:ascii="Times New Roman" w:hAnsi="Times New Roman"/>
          <w:sz w:val="24"/>
          <w:szCs w:val="24"/>
          <w:highlight w:val="yellow"/>
        </w:rPr>
      </w:pPr>
      <w:r w:rsidRPr="00EF3B7B">
        <w:rPr>
          <w:rFonts w:ascii="Times New Roman" w:hAnsi="Times New Roman"/>
          <w:sz w:val="24"/>
          <w:szCs w:val="24"/>
        </w:rPr>
        <w:t>Units at</w:t>
      </w:r>
      <w:r w:rsidR="00E82652" w:rsidRPr="00EF3B7B">
        <w:rPr>
          <w:rFonts w:ascii="Times New Roman" w:hAnsi="Times New Roman"/>
          <w:sz w:val="24"/>
          <w:szCs w:val="24"/>
        </w:rPr>
        <w:t xml:space="preserve"> two plants, Plant Yates Units 6 and 7 and Plant Gaston Units 1-4 (SEGCO), will </w:t>
      </w:r>
      <w:r w:rsidR="00D71A6B" w:rsidRPr="00EF3B7B">
        <w:rPr>
          <w:rFonts w:ascii="Times New Roman" w:hAnsi="Times New Roman"/>
          <w:sz w:val="24"/>
          <w:szCs w:val="24"/>
        </w:rPr>
        <w:t>switch to</w:t>
      </w:r>
      <w:r w:rsidR="0095664A" w:rsidRPr="00EF3B7B">
        <w:rPr>
          <w:rFonts w:ascii="Times New Roman" w:hAnsi="Times New Roman"/>
          <w:sz w:val="24"/>
          <w:szCs w:val="24"/>
        </w:rPr>
        <w:t xml:space="preserve"> natural gas as the primary fuel</w:t>
      </w:r>
      <w:r w:rsidR="00E82652" w:rsidRPr="00EF3B7B">
        <w:rPr>
          <w:rFonts w:ascii="Times New Roman" w:hAnsi="Times New Roman"/>
          <w:sz w:val="24"/>
          <w:szCs w:val="24"/>
        </w:rPr>
        <w:t xml:space="preserve">.  By </w:t>
      </w:r>
      <w:r w:rsidR="0095664A" w:rsidRPr="00EF3B7B">
        <w:rPr>
          <w:rFonts w:ascii="Times New Roman" w:hAnsi="Times New Roman"/>
          <w:sz w:val="24"/>
          <w:szCs w:val="24"/>
        </w:rPr>
        <w:t xml:space="preserve">switching </w:t>
      </w:r>
      <w:r w:rsidR="00E82652" w:rsidRPr="00EF3B7B">
        <w:rPr>
          <w:rFonts w:ascii="Times New Roman" w:hAnsi="Times New Roman"/>
          <w:sz w:val="24"/>
          <w:szCs w:val="24"/>
        </w:rPr>
        <w:t>to natural gas, these units will no longer be subject to MATS</w:t>
      </w:r>
      <w:r w:rsidR="00513491" w:rsidRPr="00EF3B7B">
        <w:rPr>
          <w:rFonts w:ascii="Times New Roman" w:hAnsi="Times New Roman"/>
          <w:sz w:val="24"/>
          <w:szCs w:val="24"/>
        </w:rPr>
        <w:t>,</w:t>
      </w:r>
      <w:r w:rsidR="00E82652" w:rsidRPr="00EF3B7B">
        <w:rPr>
          <w:rFonts w:ascii="Times New Roman" w:hAnsi="Times New Roman"/>
          <w:sz w:val="24"/>
          <w:szCs w:val="24"/>
        </w:rPr>
        <w:t xml:space="preserve"> because MATS applies only to coal- and oil-fired units.  </w:t>
      </w:r>
      <w:r w:rsidR="00DB2963" w:rsidRPr="00BE1739">
        <w:rPr>
          <w:rFonts w:ascii="Times New Roman" w:hAnsi="Times New Roman"/>
          <w:b/>
          <w:sz w:val="24"/>
          <w:szCs w:val="24"/>
        </w:rPr>
        <w:t>REDACTED REDACTED REDACTED REDACTED REDACTED REDACTED REDACTED REDACTED REDACTED REDACTED REDACTED REDACTED REDACTED</w:t>
      </w:r>
      <w:r w:rsidR="00DB2963" w:rsidRPr="00E107BE">
        <w:rPr>
          <w:rFonts w:ascii="Times New Roman" w:hAnsi="Times New Roman"/>
          <w:sz w:val="24"/>
          <w:szCs w:val="24"/>
        </w:rPr>
        <w:t xml:space="preserve"> </w:t>
      </w:r>
      <w:r w:rsidR="00BE1739" w:rsidRPr="00BE1739">
        <w:rPr>
          <w:rFonts w:ascii="Times New Roman" w:hAnsi="Times New Roman"/>
          <w:b/>
          <w:sz w:val="24"/>
          <w:szCs w:val="24"/>
        </w:rPr>
        <w:t>REDACTED</w:t>
      </w:r>
    </w:p>
    <w:p w:rsidR="002F77C0" w:rsidRPr="009E5D0F" w:rsidRDefault="002F77C0" w:rsidP="00286110">
      <w:pPr>
        <w:tabs>
          <w:tab w:val="left" w:pos="720"/>
          <w:tab w:val="left" w:pos="1428"/>
          <w:tab w:val="left" w:pos="4716"/>
          <w:tab w:val="left" w:pos="4896"/>
          <w:tab w:val="left" w:pos="6718"/>
        </w:tabs>
        <w:suppressAutoHyphens/>
        <w:spacing w:after="0" w:line="240" w:lineRule="auto"/>
        <w:ind w:left="450"/>
        <w:rPr>
          <w:rFonts w:ascii="Times New Roman" w:hAnsi="Times New Roman"/>
          <w:sz w:val="24"/>
          <w:szCs w:val="24"/>
          <w:highlight w:val="yellow"/>
        </w:rPr>
      </w:pPr>
    </w:p>
    <w:p w:rsidR="006B683E" w:rsidRPr="00BE1739" w:rsidRDefault="00E82652" w:rsidP="00286110">
      <w:pPr>
        <w:tabs>
          <w:tab w:val="left" w:pos="720"/>
          <w:tab w:val="left" w:pos="1428"/>
          <w:tab w:val="left" w:pos="4716"/>
          <w:tab w:val="left" w:pos="4896"/>
          <w:tab w:val="left" w:pos="6718"/>
        </w:tabs>
        <w:suppressAutoHyphens/>
        <w:spacing w:after="0" w:line="240" w:lineRule="auto"/>
        <w:ind w:left="450"/>
        <w:rPr>
          <w:rFonts w:ascii="Times New Roman" w:hAnsi="Times New Roman"/>
          <w:b/>
          <w:sz w:val="24"/>
          <w:szCs w:val="24"/>
          <w:highlight w:val="yellow"/>
        </w:rPr>
      </w:pPr>
      <w:r w:rsidRPr="00EF3B7B">
        <w:rPr>
          <w:rFonts w:ascii="Times New Roman" w:hAnsi="Times New Roman"/>
          <w:sz w:val="24"/>
          <w:szCs w:val="24"/>
        </w:rPr>
        <w:t xml:space="preserve">Plant McIntosh Unit 1 </w:t>
      </w:r>
      <w:r w:rsidR="00286110" w:rsidRPr="00EF3B7B">
        <w:rPr>
          <w:rFonts w:ascii="Times New Roman" w:hAnsi="Times New Roman"/>
          <w:sz w:val="24"/>
          <w:szCs w:val="24"/>
        </w:rPr>
        <w:t>will</w:t>
      </w:r>
      <w:r w:rsidRPr="00EF3B7B">
        <w:rPr>
          <w:rFonts w:ascii="Times New Roman" w:hAnsi="Times New Roman"/>
          <w:sz w:val="24"/>
          <w:szCs w:val="24"/>
        </w:rPr>
        <w:t xml:space="preserve"> switch from bituminous coal to sub-bituminous coal (PRB)</w:t>
      </w:r>
      <w:r w:rsidR="002D2770" w:rsidRPr="00EF3B7B">
        <w:rPr>
          <w:rFonts w:ascii="Times New Roman" w:hAnsi="Times New Roman"/>
          <w:sz w:val="24"/>
          <w:szCs w:val="24"/>
        </w:rPr>
        <w:t xml:space="preserve"> pending additional evaluation</w:t>
      </w:r>
      <w:r w:rsidRPr="00EF3B7B">
        <w:rPr>
          <w:rFonts w:ascii="Times New Roman" w:hAnsi="Times New Roman"/>
          <w:sz w:val="24"/>
          <w:szCs w:val="24"/>
        </w:rPr>
        <w:t xml:space="preserve">.  </w:t>
      </w:r>
      <w:r w:rsidR="00DB2963" w:rsidRPr="00BE1739">
        <w:rPr>
          <w:rFonts w:ascii="Times New Roman" w:hAnsi="Times New Roman"/>
          <w:b/>
          <w:sz w:val="24"/>
          <w:szCs w:val="24"/>
        </w:rPr>
        <w:t>REDACTED REDACTED REDACTED REDACTED</w:t>
      </w:r>
      <w:r w:rsidR="00DB2963" w:rsidRPr="00E107BE">
        <w:rPr>
          <w:rFonts w:ascii="Times New Roman" w:hAnsi="Times New Roman"/>
          <w:sz w:val="24"/>
          <w:szCs w:val="24"/>
        </w:rPr>
        <w:t xml:space="preserve"> </w:t>
      </w:r>
      <w:r w:rsidR="00DB2963" w:rsidRPr="00BE1739">
        <w:rPr>
          <w:rFonts w:ascii="Times New Roman" w:hAnsi="Times New Roman"/>
          <w:b/>
          <w:sz w:val="24"/>
          <w:szCs w:val="24"/>
        </w:rPr>
        <w:t xml:space="preserve">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w:t>
      </w:r>
    </w:p>
    <w:p w:rsidR="00F87D27" w:rsidRPr="009E5D0F" w:rsidRDefault="00F87D27" w:rsidP="00286110">
      <w:pPr>
        <w:tabs>
          <w:tab w:val="left" w:pos="720"/>
          <w:tab w:val="left" w:pos="1428"/>
          <w:tab w:val="left" w:pos="4716"/>
          <w:tab w:val="left" w:pos="4896"/>
          <w:tab w:val="left" w:pos="6718"/>
        </w:tabs>
        <w:suppressAutoHyphens/>
        <w:spacing w:after="0" w:line="240" w:lineRule="auto"/>
        <w:ind w:left="450"/>
        <w:rPr>
          <w:rFonts w:ascii="Times New Roman" w:hAnsi="Times New Roman"/>
          <w:sz w:val="24"/>
          <w:szCs w:val="24"/>
          <w:highlight w:val="yellow"/>
        </w:rPr>
      </w:pPr>
    </w:p>
    <w:p w:rsidR="00236C82" w:rsidRPr="00BE1739" w:rsidRDefault="00236C82" w:rsidP="00286110">
      <w:pPr>
        <w:tabs>
          <w:tab w:val="left" w:pos="720"/>
          <w:tab w:val="left" w:pos="1428"/>
          <w:tab w:val="left" w:pos="4716"/>
          <w:tab w:val="left" w:pos="4896"/>
          <w:tab w:val="left" w:pos="6718"/>
        </w:tabs>
        <w:suppressAutoHyphens/>
        <w:spacing w:after="0" w:line="240" w:lineRule="auto"/>
        <w:ind w:left="450"/>
        <w:rPr>
          <w:rFonts w:ascii="Times New Roman" w:hAnsi="Times New Roman"/>
          <w:b/>
          <w:sz w:val="24"/>
          <w:szCs w:val="24"/>
        </w:rPr>
      </w:pPr>
      <w:r w:rsidRPr="00EF3B7B">
        <w:rPr>
          <w:rFonts w:ascii="Times New Roman" w:hAnsi="Times New Roman"/>
          <w:sz w:val="24"/>
          <w:szCs w:val="24"/>
        </w:rPr>
        <w:t xml:space="preserve">The Plant Mitchell Unit 3 conversion to biomass was certified in 2009 but has been on hold due to uncertainty in the final Industrial Boiler MACT and other EPA rulemakings.  </w:t>
      </w:r>
      <w:r w:rsidR="00790358" w:rsidRPr="00EF3B7B">
        <w:rPr>
          <w:rFonts w:ascii="Times New Roman" w:hAnsi="Times New Roman"/>
          <w:sz w:val="24"/>
          <w:szCs w:val="24"/>
        </w:rPr>
        <w:t xml:space="preserve">A final Industrial Boiler MACT was issued in December 2012, but additional time is required to fully evaluate the final requirements and their impact on the project.  </w:t>
      </w:r>
      <w:r w:rsidR="00DB2963" w:rsidRPr="00BE1739">
        <w:rPr>
          <w:rFonts w:ascii="Times New Roman" w:hAnsi="Times New Roman"/>
          <w:b/>
          <w:sz w:val="24"/>
          <w:szCs w:val="24"/>
        </w:rPr>
        <w:t xml:space="preserve">REDACTED REDACTED REDACTED REDACTED REDACTED REDACTED REDACTED REDACTED REDACTED REDACTED REDACTED REDACTED REDACTED REDACTED REDACTED REDACTED REDACTED REDACTED REDACTED REDACTED REDACTED REDACTED REDACTED REDACTED REDACTED REDACTED REDACTED REDACTED REDACTED REDACTED </w:t>
      </w:r>
    </w:p>
    <w:p w:rsidR="00DB2963" w:rsidRDefault="00DB2963" w:rsidP="00286110">
      <w:pPr>
        <w:tabs>
          <w:tab w:val="left" w:pos="720"/>
          <w:tab w:val="left" w:pos="1428"/>
          <w:tab w:val="left" w:pos="4716"/>
          <w:tab w:val="left" w:pos="4896"/>
          <w:tab w:val="left" w:pos="6718"/>
        </w:tabs>
        <w:suppressAutoHyphens/>
        <w:spacing w:after="0" w:line="240" w:lineRule="auto"/>
        <w:ind w:left="450"/>
        <w:rPr>
          <w:rFonts w:ascii="Times New Roman" w:hAnsi="Times New Roman"/>
          <w:sz w:val="24"/>
          <w:szCs w:val="24"/>
        </w:rPr>
      </w:pPr>
    </w:p>
    <w:p w:rsidR="00E000C8" w:rsidRPr="00BE1739" w:rsidRDefault="002C17C1" w:rsidP="00286110">
      <w:pPr>
        <w:tabs>
          <w:tab w:val="left" w:pos="720"/>
          <w:tab w:val="left" w:pos="1428"/>
          <w:tab w:val="left" w:pos="4716"/>
          <w:tab w:val="left" w:pos="4896"/>
          <w:tab w:val="left" w:pos="6718"/>
        </w:tabs>
        <w:suppressAutoHyphens/>
        <w:spacing w:after="0" w:line="240" w:lineRule="auto"/>
        <w:ind w:left="450"/>
        <w:rPr>
          <w:rFonts w:ascii="Times New Roman" w:hAnsi="Times New Roman"/>
          <w:b/>
          <w:sz w:val="24"/>
          <w:szCs w:val="24"/>
        </w:rPr>
      </w:pPr>
      <w:r w:rsidRPr="00EF3B7B">
        <w:rPr>
          <w:rFonts w:ascii="Times New Roman" w:hAnsi="Times New Roman"/>
          <w:sz w:val="24"/>
          <w:szCs w:val="24"/>
        </w:rPr>
        <w:t xml:space="preserve">For all other unscrubbed units, options for compliance are </w:t>
      </w:r>
      <w:r w:rsidR="0095664A" w:rsidRPr="00EF3B7B">
        <w:rPr>
          <w:rFonts w:ascii="Times New Roman" w:hAnsi="Times New Roman"/>
          <w:sz w:val="24"/>
          <w:szCs w:val="24"/>
        </w:rPr>
        <w:t xml:space="preserve">very </w:t>
      </w:r>
      <w:r w:rsidRPr="00EF3B7B">
        <w:rPr>
          <w:rFonts w:ascii="Times New Roman" w:hAnsi="Times New Roman"/>
          <w:sz w:val="24"/>
          <w:szCs w:val="24"/>
        </w:rPr>
        <w:t>limited and/or cost</w:t>
      </w:r>
      <w:r w:rsidR="00790358" w:rsidRPr="00EF3B7B">
        <w:rPr>
          <w:rFonts w:ascii="Times New Roman" w:hAnsi="Times New Roman"/>
          <w:sz w:val="24"/>
          <w:szCs w:val="24"/>
        </w:rPr>
        <w:t>ly</w:t>
      </w:r>
      <w:r w:rsidRPr="00EF3B7B">
        <w:rPr>
          <w:rFonts w:ascii="Times New Roman" w:hAnsi="Times New Roman"/>
          <w:sz w:val="24"/>
          <w:szCs w:val="24"/>
        </w:rPr>
        <w:t xml:space="preserve">.  </w:t>
      </w:r>
      <w:r w:rsidR="00E000C8" w:rsidRPr="00EF3B7B">
        <w:rPr>
          <w:rFonts w:ascii="Times New Roman" w:hAnsi="Times New Roman"/>
          <w:sz w:val="24"/>
          <w:szCs w:val="24"/>
        </w:rPr>
        <w:t xml:space="preserve">Branch Units 3 and 4 are required to install SCR and scrubber under the Georgia Multipollutant Rule. </w:t>
      </w:r>
      <w:r w:rsidR="00DB2963">
        <w:rPr>
          <w:rFonts w:ascii="Times New Roman" w:hAnsi="Times New Roman"/>
          <w:sz w:val="24"/>
          <w:szCs w:val="24"/>
        </w:rPr>
        <w:t xml:space="preserve"> </w:t>
      </w:r>
      <w:r w:rsidR="00DB2963" w:rsidRPr="00BE1739">
        <w:rPr>
          <w:rFonts w:ascii="Times New Roman" w:hAnsi="Times New Roman"/>
          <w:b/>
          <w:sz w:val="24"/>
          <w:szCs w:val="24"/>
        </w:rPr>
        <w:t>REDACTED REDACTED REDACTED REDACTED REDACTED</w:t>
      </w:r>
      <w:r w:rsidR="00DB2963" w:rsidRPr="00DB2963">
        <w:rPr>
          <w:rFonts w:ascii="Times New Roman" w:hAnsi="Times New Roman"/>
          <w:sz w:val="24"/>
          <w:szCs w:val="24"/>
        </w:rPr>
        <w:t xml:space="preserve"> </w:t>
      </w:r>
      <w:r w:rsidR="00DB2963" w:rsidRPr="00BE1739">
        <w:rPr>
          <w:rFonts w:ascii="Times New Roman" w:hAnsi="Times New Roman"/>
          <w:b/>
          <w:sz w:val="24"/>
          <w:szCs w:val="24"/>
        </w:rPr>
        <w:t>REDACTED REDACTED REDACTED REDACTED REDACTED REDACTED REDACTED REDACTED REDACTED REDACTED REDACTED REDACTED REDACTED REDACTED REDACTED REDACTED REDACTED REDACTED REDACTED REDACTED REDACTED REDACTED</w:t>
      </w:r>
    </w:p>
    <w:p w:rsidR="00DB2963" w:rsidRPr="009E5D0F" w:rsidRDefault="00DB2963" w:rsidP="00286110">
      <w:pPr>
        <w:tabs>
          <w:tab w:val="left" w:pos="720"/>
          <w:tab w:val="left" w:pos="1428"/>
          <w:tab w:val="left" w:pos="4716"/>
          <w:tab w:val="left" w:pos="4896"/>
          <w:tab w:val="left" w:pos="6718"/>
        </w:tabs>
        <w:suppressAutoHyphens/>
        <w:spacing w:after="0" w:line="240" w:lineRule="auto"/>
        <w:ind w:left="450"/>
        <w:rPr>
          <w:rFonts w:ascii="Times New Roman" w:hAnsi="Times New Roman"/>
          <w:sz w:val="24"/>
          <w:szCs w:val="24"/>
          <w:highlight w:val="yellow"/>
        </w:rPr>
      </w:pPr>
    </w:p>
    <w:p w:rsidR="00F87D27" w:rsidRPr="00BE1739" w:rsidRDefault="00DB2963" w:rsidP="00286110">
      <w:pPr>
        <w:tabs>
          <w:tab w:val="left" w:pos="720"/>
          <w:tab w:val="left" w:pos="1428"/>
          <w:tab w:val="left" w:pos="4716"/>
          <w:tab w:val="left" w:pos="4896"/>
          <w:tab w:val="left" w:pos="6718"/>
        </w:tabs>
        <w:suppressAutoHyphens/>
        <w:spacing w:after="0" w:line="240" w:lineRule="auto"/>
        <w:ind w:left="450"/>
        <w:rPr>
          <w:rFonts w:ascii="Times New Roman" w:hAnsi="Times New Roman"/>
          <w:b/>
          <w:sz w:val="24"/>
          <w:szCs w:val="24"/>
        </w:rPr>
      </w:pPr>
      <w:r w:rsidRPr="00BE1739">
        <w:rPr>
          <w:rFonts w:ascii="Times New Roman" w:hAnsi="Times New Roman"/>
          <w:b/>
          <w:sz w:val="24"/>
          <w:szCs w:val="24"/>
        </w:rPr>
        <w:t xml:space="preserve">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w:t>
      </w:r>
    </w:p>
    <w:p w:rsidR="006B683E" w:rsidRDefault="006B683E" w:rsidP="00752263">
      <w:pPr>
        <w:tabs>
          <w:tab w:val="left" w:pos="720"/>
          <w:tab w:val="left" w:pos="1428"/>
          <w:tab w:val="left" w:pos="4716"/>
          <w:tab w:val="left" w:pos="4896"/>
          <w:tab w:val="left" w:pos="6718"/>
        </w:tabs>
        <w:suppressAutoHyphens/>
        <w:spacing w:after="0" w:line="240" w:lineRule="auto"/>
        <w:rPr>
          <w:rFonts w:ascii="Times New Roman" w:hAnsi="Times New Roman"/>
          <w:sz w:val="24"/>
          <w:szCs w:val="24"/>
        </w:rPr>
      </w:pPr>
    </w:p>
    <w:p w:rsidR="002C599A" w:rsidRPr="002C599A" w:rsidRDefault="002C599A" w:rsidP="00752263">
      <w:pPr>
        <w:tabs>
          <w:tab w:val="left" w:pos="720"/>
          <w:tab w:val="left" w:pos="1428"/>
          <w:tab w:val="left" w:pos="4716"/>
          <w:tab w:val="left" w:pos="4896"/>
          <w:tab w:val="left" w:pos="6718"/>
        </w:tabs>
        <w:suppressAutoHyphens/>
        <w:spacing w:after="0" w:line="240" w:lineRule="auto"/>
        <w:rPr>
          <w:rFonts w:ascii="Times New Roman" w:hAnsi="Times New Roman"/>
          <w:b/>
          <w:sz w:val="24"/>
          <w:szCs w:val="24"/>
        </w:rPr>
      </w:pPr>
      <w:r w:rsidRPr="00E377C9">
        <w:rPr>
          <w:rFonts w:ascii="Times New Roman" w:hAnsi="Times New Roman"/>
          <w:b/>
          <w:bCs/>
          <w:color w:val="000080"/>
          <w:sz w:val="24"/>
          <w:szCs w:val="24"/>
        </w:rPr>
        <w:t>MATS Schedule</w:t>
      </w:r>
    </w:p>
    <w:p w:rsidR="00752263" w:rsidRDefault="00752263" w:rsidP="00752263">
      <w:pPr>
        <w:pStyle w:val="BBBodyTextFlush"/>
        <w:spacing w:after="0"/>
      </w:pPr>
      <w:r>
        <w:rPr>
          <w:szCs w:val="20"/>
        </w:rPr>
        <w:t xml:space="preserve">As a critical part of the MATS compliance strategy, </w:t>
      </w:r>
      <w:r w:rsidR="00BB177A">
        <w:rPr>
          <w:szCs w:val="20"/>
        </w:rPr>
        <w:t>Georgia Power</w:t>
      </w:r>
      <w:r w:rsidR="00BB177A" w:rsidRPr="00EC65CF">
        <w:rPr>
          <w:szCs w:val="20"/>
        </w:rPr>
        <w:t xml:space="preserve"> will need to utilize all tools necessary to strive to meet the compliance deadline including seeking available extensions. </w:t>
      </w:r>
      <w:r w:rsidR="00BB177A">
        <w:rPr>
          <w:szCs w:val="20"/>
        </w:rPr>
        <w:t xml:space="preserve"> </w:t>
      </w:r>
      <w:r>
        <w:t xml:space="preserve">This additional time for compliance </w:t>
      </w:r>
      <w:r w:rsidR="00BB177A">
        <w:t>may be</w:t>
      </w:r>
      <w:r>
        <w:t xml:space="preserve"> necessary for the installation of controls and the multitude of other compliance and operational planning, such as: startup/shutdown, monitoring and testing, balance of plant impacts, operational management, boiler tuning, personnel training, among other compliance considerations.  Th</w:t>
      </w:r>
      <w:r w:rsidR="00BB177A">
        <w:t>e</w:t>
      </w:r>
      <w:r>
        <w:t xml:space="preserve"> schedule </w:t>
      </w:r>
      <w:r w:rsidR="00BB177A">
        <w:t>for implementing controls will also</w:t>
      </w:r>
      <w:r>
        <w:t xml:space="preserve"> reflect the necessity of coordinating multiple outages across the Southern Company’s integrated generating systems and within the region.  </w:t>
      </w:r>
      <w:r w:rsidR="00DB2963" w:rsidRPr="00BE1739">
        <w:rPr>
          <w:b/>
        </w:rPr>
        <w:t xml:space="preserve">REDACTED REDACTED REDACTED REDACTED REDACTED REDACTED REDACTED REDACTED REDACTED REDACTED REDACTED REDACTED REDACTED REDACTED REDACTED REDACTED REDACTED REDACTED REDACTED REDACTED REDACTED REDACTED </w:t>
      </w:r>
    </w:p>
    <w:p w:rsidR="00961768" w:rsidRDefault="00961768" w:rsidP="00752263">
      <w:pPr>
        <w:autoSpaceDE w:val="0"/>
        <w:autoSpaceDN w:val="0"/>
        <w:adjustRightInd w:val="0"/>
        <w:spacing w:after="0" w:line="240" w:lineRule="auto"/>
        <w:jc w:val="both"/>
        <w:outlineLvl w:val="1"/>
        <w:rPr>
          <w:rFonts w:ascii="Times New Roman" w:hAnsi="Times New Roman"/>
          <w:b/>
          <w:bCs/>
          <w:color w:val="000080"/>
          <w:sz w:val="24"/>
          <w:szCs w:val="24"/>
        </w:rPr>
      </w:pPr>
    </w:p>
    <w:p w:rsidR="00752263" w:rsidRPr="00ED7E20" w:rsidRDefault="00752263" w:rsidP="00752263">
      <w:pPr>
        <w:autoSpaceDE w:val="0"/>
        <w:autoSpaceDN w:val="0"/>
        <w:adjustRightInd w:val="0"/>
        <w:spacing w:after="0" w:line="240" w:lineRule="auto"/>
        <w:jc w:val="both"/>
        <w:outlineLvl w:val="1"/>
        <w:rPr>
          <w:rFonts w:ascii="Times New Roman" w:hAnsi="Times New Roman"/>
          <w:b/>
          <w:bCs/>
          <w:color w:val="000080"/>
          <w:sz w:val="24"/>
          <w:szCs w:val="24"/>
        </w:rPr>
      </w:pPr>
      <w:bookmarkStart w:id="32" w:name="_Toc347314856"/>
      <w:r>
        <w:rPr>
          <w:rFonts w:ascii="Times New Roman" w:hAnsi="Times New Roman"/>
          <w:b/>
          <w:bCs/>
          <w:color w:val="000080"/>
          <w:sz w:val="24"/>
          <w:szCs w:val="24"/>
        </w:rPr>
        <w:t>4.2</w:t>
      </w:r>
      <w:r>
        <w:rPr>
          <w:rFonts w:ascii="Times New Roman" w:hAnsi="Times New Roman"/>
          <w:b/>
          <w:bCs/>
          <w:color w:val="000080"/>
          <w:sz w:val="24"/>
          <w:szCs w:val="24"/>
        </w:rPr>
        <w:tab/>
      </w:r>
      <w:r w:rsidRPr="00ED7E20">
        <w:rPr>
          <w:rFonts w:ascii="Times New Roman" w:hAnsi="Times New Roman"/>
          <w:b/>
          <w:bCs/>
          <w:color w:val="000080"/>
          <w:sz w:val="24"/>
          <w:szCs w:val="24"/>
        </w:rPr>
        <w:t>Water</w:t>
      </w:r>
      <w:r w:rsidR="00AD00B8">
        <w:rPr>
          <w:rFonts w:ascii="Times New Roman" w:hAnsi="Times New Roman"/>
          <w:b/>
          <w:bCs/>
          <w:color w:val="000080"/>
          <w:sz w:val="24"/>
          <w:szCs w:val="24"/>
        </w:rPr>
        <w:t xml:space="preserve"> Compliance</w:t>
      </w:r>
      <w:r w:rsidRPr="00ED7E20">
        <w:rPr>
          <w:rFonts w:ascii="Times New Roman" w:hAnsi="Times New Roman"/>
          <w:b/>
          <w:bCs/>
          <w:color w:val="000080"/>
          <w:sz w:val="24"/>
          <w:szCs w:val="24"/>
        </w:rPr>
        <w:t xml:space="preserve"> Strategy Review</w:t>
      </w:r>
      <w:bookmarkEnd w:id="32"/>
    </w:p>
    <w:p w:rsidR="00752263" w:rsidRPr="00ED7E20" w:rsidRDefault="00752263" w:rsidP="002C599A">
      <w:pPr>
        <w:autoSpaceDE w:val="0"/>
        <w:autoSpaceDN w:val="0"/>
        <w:adjustRightInd w:val="0"/>
        <w:spacing w:after="0" w:line="240" w:lineRule="auto"/>
        <w:jc w:val="both"/>
        <w:outlineLvl w:val="1"/>
        <w:rPr>
          <w:rFonts w:ascii="Times New Roman" w:hAnsi="Times New Roman"/>
          <w:sz w:val="24"/>
          <w:szCs w:val="24"/>
        </w:rPr>
      </w:pPr>
    </w:p>
    <w:p w:rsidR="00752263" w:rsidRPr="00ED7E20" w:rsidRDefault="002C599A" w:rsidP="00752263">
      <w:pPr>
        <w:keepNext/>
        <w:spacing w:after="0" w:line="240" w:lineRule="auto"/>
        <w:rPr>
          <w:rFonts w:ascii="Times New Roman" w:hAnsi="Times New Roman"/>
          <w:sz w:val="24"/>
          <w:szCs w:val="24"/>
        </w:rPr>
      </w:pPr>
      <w:r>
        <w:rPr>
          <w:rFonts w:ascii="Times New Roman" w:hAnsi="Times New Roman"/>
          <w:sz w:val="24"/>
          <w:szCs w:val="24"/>
        </w:rPr>
        <w:t>The Water</w:t>
      </w:r>
      <w:r w:rsidR="0074787D">
        <w:rPr>
          <w:rFonts w:ascii="Times New Roman" w:hAnsi="Times New Roman"/>
          <w:sz w:val="24"/>
          <w:szCs w:val="24"/>
        </w:rPr>
        <w:t xml:space="preserve"> Compliance</w:t>
      </w:r>
      <w:r>
        <w:rPr>
          <w:rFonts w:ascii="Times New Roman" w:hAnsi="Times New Roman"/>
          <w:sz w:val="24"/>
          <w:szCs w:val="24"/>
        </w:rPr>
        <w:t xml:space="preserve"> Strategy considers a variety of existing and pending regulations related to both water quality and biological impacts.  The strategy considers both nationwide standards as well as state requirements developed for specific water bodies.   The potential impacts to Georgia Power are discussed below.</w:t>
      </w:r>
      <w:r w:rsidR="002F2289">
        <w:rPr>
          <w:rFonts w:ascii="Times New Roman" w:hAnsi="Times New Roman"/>
          <w:sz w:val="24"/>
          <w:szCs w:val="24"/>
        </w:rPr>
        <w:t xml:space="preserve">  </w:t>
      </w:r>
    </w:p>
    <w:p w:rsidR="00752263" w:rsidRPr="00ED7E20" w:rsidRDefault="00752263" w:rsidP="00752263">
      <w:pPr>
        <w:keepNext/>
        <w:spacing w:after="0" w:line="240" w:lineRule="auto"/>
        <w:rPr>
          <w:rFonts w:ascii="Times New Roman" w:hAnsi="Times New Roman"/>
          <w:sz w:val="24"/>
          <w:szCs w:val="24"/>
        </w:rPr>
      </w:pPr>
    </w:p>
    <w:p w:rsidR="00752263" w:rsidRPr="00ED7E20" w:rsidRDefault="00752263" w:rsidP="00752263">
      <w:pPr>
        <w:keepNext/>
        <w:autoSpaceDE w:val="0"/>
        <w:autoSpaceDN w:val="0"/>
        <w:adjustRightInd w:val="0"/>
        <w:spacing w:after="0" w:line="240" w:lineRule="auto"/>
        <w:rPr>
          <w:rFonts w:ascii="Times New Roman" w:hAnsi="Times New Roman"/>
          <w:b/>
          <w:bCs/>
          <w:color w:val="000080"/>
          <w:sz w:val="24"/>
          <w:szCs w:val="24"/>
        </w:rPr>
      </w:pPr>
      <w:r w:rsidRPr="00ED7E20">
        <w:rPr>
          <w:rFonts w:ascii="Times New Roman" w:hAnsi="Times New Roman"/>
          <w:b/>
          <w:bCs/>
          <w:color w:val="000080"/>
          <w:sz w:val="24"/>
          <w:szCs w:val="24"/>
        </w:rPr>
        <w:t>Water Intake Structures</w:t>
      </w:r>
      <w:r w:rsidR="00FA2C9C">
        <w:rPr>
          <w:rFonts w:ascii="Times New Roman" w:hAnsi="Times New Roman"/>
          <w:b/>
          <w:bCs/>
          <w:color w:val="000080"/>
          <w:sz w:val="24"/>
          <w:szCs w:val="24"/>
        </w:rPr>
        <w:t>/Cooling Towers</w:t>
      </w:r>
      <w:r w:rsidRPr="00ED7E20">
        <w:rPr>
          <w:rFonts w:ascii="Times New Roman" w:hAnsi="Times New Roman"/>
          <w:b/>
          <w:bCs/>
          <w:color w:val="000080"/>
          <w:sz w:val="24"/>
          <w:szCs w:val="24"/>
        </w:rPr>
        <w:t xml:space="preserve"> </w:t>
      </w:r>
    </w:p>
    <w:p w:rsidR="00752263" w:rsidRPr="00ED7E20" w:rsidRDefault="00752263" w:rsidP="00752263">
      <w:pPr>
        <w:spacing w:after="0" w:line="240" w:lineRule="auto"/>
        <w:rPr>
          <w:rFonts w:ascii="Times New Roman" w:hAnsi="Times New Roman"/>
          <w:sz w:val="24"/>
          <w:szCs w:val="24"/>
        </w:rPr>
      </w:pPr>
      <w:r w:rsidRPr="00ED7E20">
        <w:rPr>
          <w:rFonts w:ascii="Times New Roman" w:hAnsi="Times New Roman"/>
          <w:sz w:val="24"/>
          <w:szCs w:val="24"/>
        </w:rPr>
        <w:t>Georgia Power is currently evaluating compliance alternatives for the proposed Section 316(b) rule</w:t>
      </w:r>
      <w:r w:rsidR="00C04B03">
        <w:rPr>
          <w:rFonts w:ascii="Times New Roman" w:hAnsi="Times New Roman"/>
          <w:sz w:val="24"/>
          <w:szCs w:val="24"/>
        </w:rPr>
        <w:t xml:space="preserve">.  </w:t>
      </w:r>
      <w:r w:rsidR="00DB2963" w:rsidRPr="00BE1739">
        <w:rPr>
          <w:rFonts w:ascii="Times New Roman" w:hAnsi="Times New Roman"/>
          <w:b/>
          <w:sz w:val="24"/>
          <w:szCs w:val="24"/>
        </w:rPr>
        <w:t xml:space="preserve">REDACTED REDACTED REDACTED REDACTED REDACTED REDACTED REDACTED REDACTED REDACTED REDACTED REDACTED REDACTED REDACTED REDACTED REDACTED REDACTED </w:t>
      </w:r>
      <w:r w:rsidR="001C14B2">
        <w:rPr>
          <w:rFonts w:ascii="Times New Roman" w:hAnsi="Times New Roman"/>
          <w:sz w:val="24"/>
          <w:szCs w:val="24"/>
        </w:rPr>
        <w:t xml:space="preserve">  The current strategy is based</w:t>
      </w:r>
      <w:r w:rsidR="00D46460">
        <w:rPr>
          <w:rFonts w:ascii="Times New Roman" w:hAnsi="Times New Roman"/>
          <w:sz w:val="24"/>
          <w:szCs w:val="24"/>
        </w:rPr>
        <w:t xml:space="preserve"> on</w:t>
      </w:r>
      <w:r w:rsidR="001C14B2">
        <w:rPr>
          <w:rFonts w:ascii="Times New Roman" w:hAnsi="Times New Roman"/>
          <w:sz w:val="24"/>
          <w:szCs w:val="24"/>
        </w:rPr>
        <w:t xml:space="preserve"> </w:t>
      </w:r>
      <w:r w:rsidR="00FA2C9C">
        <w:rPr>
          <w:rFonts w:ascii="Times New Roman" w:hAnsi="Times New Roman"/>
          <w:sz w:val="24"/>
          <w:szCs w:val="24"/>
        </w:rPr>
        <w:t xml:space="preserve">unit-specific evaluations </w:t>
      </w:r>
      <w:r w:rsidR="00D46460">
        <w:rPr>
          <w:rFonts w:ascii="Times New Roman" w:hAnsi="Times New Roman"/>
          <w:sz w:val="24"/>
          <w:szCs w:val="24"/>
        </w:rPr>
        <w:t xml:space="preserve">for </w:t>
      </w:r>
      <w:r w:rsidR="001C14B2">
        <w:rPr>
          <w:rFonts w:ascii="Times New Roman" w:hAnsi="Times New Roman"/>
          <w:sz w:val="24"/>
          <w:szCs w:val="24"/>
        </w:rPr>
        <w:t>the proposed rule</w:t>
      </w:r>
      <w:r w:rsidR="00FA2C9C">
        <w:rPr>
          <w:rFonts w:ascii="Times New Roman" w:hAnsi="Times New Roman"/>
          <w:sz w:val="24"/>
          <w:szCs w:val="24"/>
        </w:rPr>
        <w:t>.</w:t>
      </w:r>
      <w:r w:rsidR="001C14B2">
        <w:rPr>
          <w:rFonts w:ascii="Times New Roman" w:hAnsi="Times New Roman"/>
          <w:sz w:val="24"/>
          <w:szCs w:val="24"/>
        </w:rPr>
        <w:t xml:space="preserve">  The strategy may change depending on the requirements of the final rule. </w:t>
      </w:r>
      <w:r w:rsidRPr="00ED7E20">
        <w:rPr>
          <w:rFonts w:ascii="Times New Roman" w:hAnsi="Times New Roman"/>
          <w:sz w:val="24"/>
          <w:szCs w:val="24"/>
        </w:rPr>
        <w:t xml:space="preserve">  </w:t>
      </w:r>
    </w:p>
    <w:p w:rsidR="00EC3E67" w:rsidRDefault="00EC3E67" w:rsidP="00752263">
      <w:pPr>
        <w:keepNext/>
        <w:autoSpaceDE w:val="0"/>
        <w:autoSpaceDN w:val="0"/>
        <w:adjustRightInd w:val="0"/>
        <w:spacing w:after="0" w:line="240" w:lineRule="auto"/>
        <w:rPr>
          <w:rFonts w:ascii="Times New Roman" w:hAnsi="Times New Roman"/>
          <w:b/>
          <w:bCs/>
          <w:color w:val="000080"/>
          <w:sz w:val="24"/>
          <w:szCs w:val="24"/>
        </w:rPr>
      </w:pPr>
    </w:p>
    <w:p w:rsidR="00FA2C9C" w:rsidRPr="00BE1739" w:rsidRDefault="00DB2963" w:rsidP="00752263">
      <w:pPr>
        <w:keepNext/>
        <w:autoSpaceDE w:val="0"/>
        <w:autoSpaceDN w:val="0"/>
        <w:adjustRightInd w:val="0"/>
        <w:spacing w:after="0" w:line="240" w:lineRule="auto"/>
        <w:rPr>
          <w:rFonts w:ascii="Times New Roman" w:hAnsi="Times New Roman"/>
          <w:b/>
          <w:bCs/>
          <w:color w:val="000080"/>
          <w:sz w:val="24"/>
          <w:szCs w:val="24"/>
        </w:rPr>
      </w:pPr>
      <w:r w:rsidRPr="00BE1739">
        <w:rPr>
          <w:rFonts w:ascii="Times New Roman" w:hAnsi="Times New Roman"/>
          <w:b/>
          <w:sz w:val="24"/>
          <w:szCs w:val="24"/>
        </w:rPr>
        <w:t>REDACTED REDACTED REDACTED REDACTED REDACTED REDACTED REDACTED REDACTED REDACTED REDACTED REDACTED REDACTED REDACTED REDACTED REDACTED REDACTED REDACTED REDACTED REDACTE</w:t>
      </w:r>
      <w:r w:rsidR="00BE1739">
        <w:rPr>
          <w:rFonts w:ascii="Times New Roman" w:hAnsi="Times New Roman"/>
          <w:b/>
          <w:sz w:val="24"/>
          <w:szCs w:val="24"/>
        </w:rPr>
        <w:t>D</w:t>
      </w:r>
    </w:p>
    <w:p w:rsidR="00FA2C9C" w:rsidRDefault="00FA2C9C" w:rsidP="00752263">
      <w:pPr>
        <w:keepNext/>
        <w:autoSpaceDE w:val="0"/>
        <w:autoSpaceDN w:val="0"/>
        <w:adjustRightInd w:val="0"/>
        <w:spacing w:after="0" w:line="240" w:lineRule="auto"/>
        <w:rPr>
          <w:rFonts w:ascii="Times New Roman" w:hAnsi="Times New Roman"/>
          <w:b/>
          <w:bCs/>
          <w:color w:val="000080"/>
          <w:sz w:val="24"/>
          <w:szCs w:val="24"/>
        </w:rPr>
      </w:pPr>
    </w:p>
    <w:p w:rsidR="00752263" w:rsidRPr="00ED7E20" w:rsidRDefault="00752263" w:rsidP="00752263">
      <w:pPr>
        <w:keepNext/>
        <w:autoSpaceDE w:val="0"/>
        <w:autoSpaceDN w:val="0"/>
        <w:adjustRightInd w:val="0"/>
        <w:spacing w:after="0" w:line="240" w:lineRule="auto"/>
        <w:rPr>
          <w:rFonts w:ascii="Times New Roman" w:hAnsi="Times New Roman"/>
          <w:b/>
          <w:bCs/>
          <w:color w:val="000080"/>
          <w:sz w:val="24"/>
          <w:szCs w:val="24"/>
        </w:rPr>
      </w:pPr>
      <w:r w:rsidRPr="00ED7E20">
        <w:rPr>
          <w:rFonts w:ascii="Times New Roman" w:hAnsi="Times New Roman"/>
          <w:b/>
          <w:bCs/>
          <w:color w:val="000080"/>
          <w:sz w:val="24"/>
          <w:szCs w:val="24"/>
        </w:rPr>
        <w:t>Wastewater Treatment Facilities</w:t>
      </w:r>
    </w:p>
    <w:p w:rsidR="00752263" w:rsidRDefault="00CA546E" w:rsidP="00752263">
      <w:pPr>
        <w:spacing w:after="0" w:line="240" w:lineRule="auto"/>
        <w:rPr>
          <w:rFonts w:ascii="Times New Roman" w:hAnsi="Times New Roman"/>
          <w:sz w:val="24"/>
          <w:szCs w:val="24"/>
        </w:rPr>
      </w:pPr>
      <w:r>
        <w:rPr>
          <w:rFonts w:ascii="Times New Roman" w:hAnsi="Times New Roman"/>
          <w:sz w:val="24"/>
          <w:szCs w:val="24"/>
        </w:rPr>
        <w:t xml:space="preserve">There are several drivers that </w:t>
      </w:r>
      <w:r w:rsidR="001C14B2">
        <w:rPr>
          <w:rFonts w:ascii="Times New Roman" w:hAnsi="Times New Roman"/>
          <w:sz w:val="24"/>
          <w:szCs w:val="24"/>
        </w:rPr>
        <w:t>may</w:t>
      </w:r>
      <w:r>
        <w:rPr>
          <w:rFonts w:ascii="Times New Roman" w:hAnsi="Times New Roman"/>
          <w:sz w:val="24"/>
          <w:szCs w:val="24"/>
        </w:rPr>
        <w:t xml:space="preserve"> </w:t>
      </w:r>
      <w:r w:rsidR="001C14B2">
        <w:rPr>
          <w:rFonts w:ascii="Times New Roman" w:hAnsi="Times New Roman"/>
          <w:sz w:val="24"/>
          <w:szCs w:val="24"/>
        </w:rPr>
        <w:t>compel</w:t>
      </w:r>
      <w:r>
        <w:rPr>
          <w:rFonts w:ascii="Times New Roman" w:hAnsi="Times New Roman"/>
          <w:sz w:val="24"/>
          <w:szCs w:val="24"/>
        </w:rPr>
        <w:t xml:space="preserve"> wastewater treatment on multiple waste streams </w:t>
      </w:r>
      <w:r w:rsidR="00DA59AE">
        <w:rPr>
          <w:rFonts w:ascii="Times New Roman" w:hAnsi="Times New Roman"/>
          <w:sz w:val="24"/>
          <w:szCs w:val="24"/>
        </w:rPr>
        <w:t xml:space="preserve">at </w:t>
      </w:r>
      <w:r w:rsidR="00EC3E67">
        <w:rPr>
          <w:rFonts w:ascii="Times New Roman" w:hAnsi="Times New Roman"/>
          <w:sz w:val="24"/>
          <w:szCs w:val="24"/>
        </w:rPr>
        <w:t>G</w:t>
      </w:r>
      <w:r w:rsidR="00FA2C9C">
        <w:rPr>
          <w:rFonts w:ascii="Times New Roman" w:hAnsi="Times New Roman"/>
          <w:sz w:val="24"/>
          <w:szCs w:val="24"/>
        </w:rPr>
        <w:t>eorgia Power</w:t>
      </w:r>
      <w:r w:rsidR="00EC3E67">
        <w:rPr>
          <w:rFonts w:ascii="Times New Roman" w:hAnsi="Times New Roman"/>
          <w:sz w:val="24"/>
          <w:szCs w:val="24"/>
        </w:rPr>
        <w:t xml:space="preserve"> plants</w:t>
      </w:r>
      <w:r>
        <w:rPr>
          <w:rFonts w:ascii="Times New Roman" w:hAnsi="Times New Roman"/>
          <w:sz w:val="24"/>
          <w:szCs w:val="24"/>
        </w:rPr>
        <w:t xml:space="preserve">. </w:t>
      </w:r>
      <w:r w:rsidR="00B94DF7">
        <w:rPr>
          <w:rFonts w:ascii="Times New Roman" w:hAnsi="Times New Roman"/>
          <w:sz w:val="24"/>
          <w:szCs w:val="24"/>
        </w:rPr>
        <w:t>P</w:t>
      </w:r>
      <w:r w:rsidR="001C14B2">
        <w:rPr>
          <w:rFonts w:ascii="Times New Roman" w:hAnsi="Times New Roman"/>
          <w:sz w:val="24"/>
          <w:szCs w:val="24"/>
        </w:rPr>
        <w:t xml:space="preserve">reliminary information released by EPA indicates that </w:t>
      </w:r>
      <w:r w:rsidR="0097720D">
        <w:rPr>
          <w:rFonts w:ascii="Times New Roman" w:hAnsi="Times New Roman"/>
          <w:sz w:val="24"/>
          <w:szCs w:val="24"/>
        </w:rPr>
        <w:t>the upcoming Steam Effluent Limit</w:t>
      </w:r>
      <w:r w:rsidR="00740BE8">
        <w:rPr>
          <w:rFonts w:ascii="Times New Roman" w:hAnsi="Times New Roman"/>
          <w:sz w:val="24"/>
          <w:szCs w:val="24"/>
        </w:rPr>
        <w:t>ation</w:t>
      </w:r>
      <w:r w:rsidR="0097720D">
        <w:rPr>
          <w:rFonts w:ascii="Times New Roman" w:hAnsi="Times New Roman"/>
          <w:sz w:val="24"/>
          <w:szCs w:val="24"/>
        </w:rPr>
        <w:t xml:space="preserve"> Guidelines</w:t>
      </w:r>
      <w:r w:rsidR="00EC3E67">
        <w:rPr>
          <w:rFonts w:ascii="Times New Roman" w:hAnsi="Times New Roman"/>
          <w:sz w:val="24"/>
          <w:szCs w:val="24"/>
        </w:rPr>
        <w:t xml:space="preserve"> </w:t>
      </w:r>
      <w:r w:rsidR="0097720D">
        <w:rPr>
          <w:rFonts w:ascii="Times New Roman" w:hAnsi="Times New Roman"/>
          <w:sz w:val="24"/>
          <w:szCs w:val="24"/>
        </w:rPr>
        <w:t>(ELGs)</w:t>
      </w:r>
      <w:r w:rsidR="001C14B2" w:rsidRPr="001C14B2">
        <w:rPr>
          <w:rFonts w:ascii="Times New Roman" w:hAnsi="Times New Roman"/>
          <w:sz w:val="24"/>
          <w:szCs w:val="24"/>
        </w:rPr>
        <w:t xml:space="preserve"> </w:t>
      </w:r>
      <w:r w:rsidR="001C14B2">
        <w:rPr>
          <w:rFonts w:ascii="Times New Roman" w:hAnsi="Times New Roman"/>
          <w:sz w:val="24"/>
          <w:szCs w:val="24"/>
        </w:rPr>
        <w:t>may include stringent wastewater treatment limits</w:t>
      </w:r>
      <w:r w:rsidR="00B94DF7">
        <w:rPr>
          <w:rFonts w:ascii="Times New Roman" w:hAnsi="Times New Roman"/>
          <w:sz w:val="24"/>
          <w:szCs w:val="24"/>
        </w:rPr>
        <w:t xml:space="preserve"> for scrubber systems that have been installed across the Georgia Power system to meet air regulations</w:t>
      </w:r>
      <w:r w:rsidR="0097720D">
        <w:rPr>
          <w:rFonts w:ascii="Times New Roman" w:hAnsi="Times New Roman"/>
          <w:sz w:val="24"/>
          <w:szCs w:val="24"/>
        </w:rPr>
        <w:t xml:space="preserve">. </w:t>
      </w:r>
      <w:r w:rsidR="00C04B03">
        <w:rPr>
          <w:rFonts w:ascii="Times New Roman" w:hAnsi="Times New Roman"/>
          <w:sz w:val="24"/>
          <w:szCs w:val="24"/>
        </w:rPr>
        <w:t xml:space="preserve"> </w:t>
      </w:r>
      <w:r w:rsidR="0097720D">
        <w:rPr>
          <w:rFonts w:ascii="Times New Roman" w:hAnsi="Times New Roman"/>
          <w:sz w:val="24"/>
          <w:szCs w:val="24"/>
        </w:rPr>
        <w:t xml:space="preserve">In addition to </w:t>
      </w:r>
      <w:r w:rsidR="00B94DF7">
        <w:rPr>
          <w:rFonts w:ascii="Times New Roman" w:hAnsi="Times New Roman"/>
          <w:sz w:val="24"/>
          <w:szCs w:val="24"/>
        </w:rPr>
        <w:t>scrubber</w:t>
      </w:r>
      <w:r w:rsidR="0097720D">
        <w:rPr>
          <w:rFonts w:ascii="Times New Roman" w:hAnsi="Times New Roman"/>
          <w:sz w:val="24"/>
          <w:szCs w:val="24"/>
        </w:rPr>
        <w:t xml:space="preserve"> wastewater limits, the ELGs also </w:t>
      </w:r>
      <w:r w:rsidR="001C14B2">
        <w:rPr>
          <w:rFonts w:ascii="Times New Roman" w:hAnsi="Times New Roman"/>
          <w:sz w:val="24"/>
          <w:szCs w:val="24"/>
        </w:rPr>
        <w:t xml:space="preserve">may impact </w:t>
      </w:r>
      <w:r w:rsidR="0097720D">
        <w:rPr>
          <w:rFonts w:ascii="Times New Roman" w:hAnsi="Times New Roman"/>
          <w:sz w:val="24"/>
          <w:szCs w:val="24"/>
        </w:rPr>
        <w:t xml:space="preserve">handling of fly ash, bottom ash, and </w:t>
      </w:r>
      <w:r w:rsidR="00DA59AE">
        <w:rPr>
          <w:rFonts w:ascii="Times New Roman" w:hAnsi="Times New Roman"/>
          <w:sz w:val="24"/>
          <w:szCs w:val="24"/>
        </w:rPr>
        <w:t>flue gas mercury control waste</w:t>
      </w:r>
      <w:r w:rsidR="0097720D">
        <w:rPr>
          <w:rFonts w:ascii="Times New Roman" w:hAnsi="Times New Roman"/>
          <w:sz w:val="24"/>
          <w:szCs w:val="24"/>
        </w:rPr>
        <w:t>, as well as landfill leachate</w:t>
      </w:r>
      <w:r w:rsidR="00DA59AE">
        <w:rPr>
          <w:rFonts w:ascii="Times New Roman" w:hAnsi="Times New Roman"/>
          <w:sz w:val="24"/>
          <w:szCs w:val="24"/>
        </w:rPr>
        <w:t xml:space="preserve"> and nonchemical metal cleaning waste</w:t>
      </w:r>
      <w:r w:rsidR="001C14B2">
        <w:rPr>
          <w:rFonts w:ascii="Times New Roman" w:hAnsi="Times New Roman"/>
          <w:sz w:val="24"/>
          <w:szCs w:val="24"/>
        </w:rPr>
        <w:t xml:space="preserve"> treatment requirements</w:t>
      </w:r>
      <w:r w:rsidR="0097720D">
        <w:rPr>
          <w:rFonts w:ascii="Times New Roman" w:hAnsi="Times New Roman"/>
          <w:sz w:val="24"/>
          <w:szCs w:val="24"/>
        </w:rPr>
        <w:t xml:space="preserve">. </w:t>
      </w:r>
      <w:r w:rsidR="00DA59AE">
        <w:rPr>
          <w:rFonts w:ascii="Times New Roman" w:hAnsi="Times New Roman"/>
          <w:sz w:val="24"/>
          <w:szCs w:val="24"/>
        </w:rPr>
        <w:t xml:space="preserve">State water quality standards and TMDLs for impaired waterbodies also have the potential to require </w:t>
      </w:r>
      <w:r w:rsidR="00EC3E67">
        <w:rPr>
          <w:rFonts w:ascii="Times New Roman" w:hAnsi="Times New Roman"/>
          <w:sz w:val="24"/>
          <w:szCs w:val="24"/>
        </w:rPr>
        <w:t xml:space="preserve">stringent </w:t>
      </w:r>
      <w:r w:rsidR="00DA59AE">
        <w:rPr>
          <w:rFonts w:ascii="Times New Roman" w:hAnsi="Times New Roman"/>
          <w:sz w:val="24"/>
          <w:szCs w:val="24"/>
        </w:rPr>
        <w:t>wastewater treatment.</w:t>
      </w:r>
    </w:p>
    <w:p w:rsidR="002274ED" w:rsidRDefault="002274ED" w:rsidP="00752263">
      <w:pPr>
        <w:spacing w:after="0" w:line="240" w:lineRule="auto"/>
        <w:rPr>
          <w:rFonts w:ascii="Times New Roman" w:hAnsi="Times New Roman"/>
          <w:sz w:val="24"/>
          <w:szCs w:val="24"/>
        </w:rPr>
      </w:pPr>
    </w:p>
    <w:p w:rsidR="00EC3E67" w:rsidRDefault="00EC3E67" w:rsidP="00752263">
      <w:pPr>
        <w:spacing w:after="0" w:line="240" w:lineRule="auto"/>
        <w:rPr>
          <w:rFonts w:ascii="Times New Roman" w:hAnsi="Times New Roman"/>
          <w:sz w:val="24"/>
          <w:szCs w:val="24"/>
        </w:rPr>
      </w:pPr>
      <w:r>
        <w:rPr>
          <w:rFonts w:ascii="Times New Roman" w:hAnsi="Times New Roman"/>
          <w:sz w:val="24"/>
          <w:szCs w:val="24"/>
        </w:rPr>
        <w:t xml:space="preserve">Southern Company has been actively engaged with EPA and the electric power industry to compile information for the ELG rulemaking process. By providing critical data and evaluating the feasibility and costs of available treatment technologies, Southern Company seeks to ensure compliance in the most cost-effective and efficient manner, while providing for continued protection of water quality and aquatic resources. </w:t>
      </w:r>
    </w:p>
    <w:p w:rsidR="0066755E" w:rsidRDefault="0066755E" w:rsidP="00752263">
      <w:pPr>
        <w:spacing w:after="0" w:line="240" w:lineRule="auto"/>
        <w:rPr>
          <w:rFonts w:ascii="Times New Roman" w:hAnsi="Times New Roman"/>
          <w:sz w:val="24"/>
          <w:szCs w:val="24"/>
        </w:rPr>
      </w:pPr>
    </w:p>
    <w:p w:rsidR="0066755E" w:rsidRPr="00BE1739" w:rsidRDefault="00DB2963" w:rsidP="0066755E">
      <w:pPr>
        <w:tabs>
          <w:tab w:val="center" w:pos="4392"/>
        </w:tabs>
        <w:suppressAutoHyphens/>
        <w:spacing w:after="0" w:line="240" w:lineRule="auto"/>
        <w:rPr>
          <w:rFonts w:ascii="Times New Roman" w:hAnsi="Times New Roman"/>
          <w:b/>
          <w:sz w:val="24"/>
          <w:szCs w:val="24"/>
        </w:rPr>
      </w:pPr>
      <w:r w:rsidRPr="00BE1739">
        <w:rPr>
          <w:rFonts w:ascii="Times New Roman" w:hAnsi="Times New Roman"/>
          <w:b/>
          <w:sz w:val="24"/>
          <w:szCs w:val="24"/>
        </w:rPr>
        <w:t xml:space="preserve">REDACTED REDACTED REDACTED REDACTED REDACTED REDACTED REDACTED REDACTED REDACTED REDACTED REDACTED REDACTED REDACTED REDACTED REDACTED REDACTED REDACTED REDACTED REDACTED REDACTED REDACTED REDACTED REDACTED REDACTED REDACTED REDACTED </w:t>
      </w:r>
    </w:p>
    <w:p w:rsidR="00FB6BE7" w:rsidRDefault="00FB6BE7" w:rsidP="0066755E">
      <w:pPr>
        <w:tabs>
          <w:tab w:val="center" w:pos="4392"/>
        </w:tabs>
        <w:suppressAutoHyphens/>
        <w:spacing w:after="0" w:line="240" w:lineRule="auto"/>
        <w:rPr>
          <w:rFonts w:ascii="Times New Roman" w:hAnsi="Times New Roman"/>
          <w:sz w:val="24"/>
          <w:szCs w:val="24"/>
        </w:rPr>
      </w:pPr>
    </w:p>
    <w:p w:rsidR="00EC3E67" w:rsidRDefault="00EC3E67" w:rsidP="00EC3E67">
      <w:pPr>
        <w:spacing w:after="0" w:line="240" w:lineRule="auto"/>
        <w:rPr>
          <w:rFonts w:ascii="Times New Roman" w:hAnsi="Times New Roman"/>
          <w:sz w:val="24"/>
          <w:szCs w:val="24"/>
        </w:rPr>
      </w:pPr>
      <w:r>
        <w:rPr>
          <w:rFonts w:ascii="Times New Roman" w:hAnsi="Times New Roman"/>
          <w:sz w:val="24"/>
          <w:szCs w:val="24"/>
        </w:rPr>
        <w:t xml:space="preserve">In order to meet the growing challenges of water treatment and supply issues, </w:t>
      </w:r>
      <w:r w:rsidRPr="00EC3E67">
        <w:rPr>
          <w:rFonts w:ascii="Times New Roman" w:hAnsi="Times New Roman"/>
          <w:sz w:val="24"/>
          <w:szCs w:val="24"/>
        </w:rPr>
        <w:t xml:space="preserve">Georgia Power </w:t>
      </w:r>
      <w:r w:rsidR="006D26A9">
        <w:rPr>
          <w:rFonts w:ascii="Times New Roman" w:hAnsi="Times New Roman"/>
          <w:sz w:val="24"/>
          <w:szCs w:val="24"/>
        </w:rPr>
        <w:t xml:space="preserve">has </w:t>
      </w:r>
      <w:r w:rsidR="00B234B5">
        <w:rPr>
          <w:rFonts w:ascii="Times New Roman" w:hAnsi="Times New Roman"/>
          <w:sz w:val="24"/>
          <w:szCs w:val="24"/>
        </w:rPr>
        <w:t xml:space="preserve">funded and created </w:t>
      </w:r>
      <w:r w:rsidR="00740BE8">
        <w:rPr>
          <w:rFonts w:ascii="Times New Roman" w:hAnsi="Times New Roman"/>
          <w:sz w:val="24"/>
          <w:szCs w:val="24"/>
        </w:rPr>
        <w:t>the</w:t>
      </w:r>
      <w:r w:rsidRPr="00EC3E67">
        <w:rPr>
          <w:rFonts w:ascii="Times New Roman" w:hAnsi="Times New Roman"/>
          <w:sz w:val="24"/>
          <w:szCs w:val="24"/>
        </w:rPr>
        <w:t xml:space="preserve"> Water Research Center (WRC),</w:t>
      </w:r>
      <w:r>
        <w:rPr>
          <w:rFonts w:ascii="Times New Roman" w:hAnsi="Times New Roman"/>
          <w:sz w:val="24"/>
          <w:szCs w:val="24"/>
        </w:rPr>
        <w:t xml:space="preserve"> </w:t>
      </w:r>
      <w:r w:rsidRPr="00EC3E67">
        <w:rPr>
          <w:rFonts w:ascii="Times New Roman" w:hAnsi="Times New Roman"/>
          <w:sz w:val="24"/>
          <w:szCs w:val="24"/>
        </w:rPr>
        <w:t>a first-of-its-kind facility for water conservation</w:t>
      </w:r>
      <w:r>
        <w:rPr>
          <w:rFonts w:ascii="Times New Roman" w:hAnsi="Times New Roman"/>
          <w:sz w:val="24"/>
          <w:szCs w:val="24"/>
        </w:rPr>
        <w:t xml:space="preserve"> and</w:t>
      </w:r>
      <w:r w:rsidRPr="00EC3E67">
        <w:rPr>
          <w:rFonts w:ascii="Times New Roman" w:hAnsi="Times New Roman"/>
          <w:sz w:val="24"/>
          <w:szCs w:val="24"/>
        </w:rPr>
        <w:t xml:space="preserve"> technology</w:t>
      </w:r>
      <w:r>
        <w:rPr>
          <w:rFonts w:ascii="Times New Roman" w:hAnsi="Times New Roman"/>
          <w:sz w:val="24"/>
          <w:szCs w:val="24"/>
        </w:rPr>
        <w:t xml:space="preserve"> </w:t>
      </w:r>
      <w:r w:rsidRPr="00EC3E67">
        <w:rPr>
          <w:rFonts w:ascii="Times New Roman" w:hAnsi="Times New Roman"/>
          <w:sz w:val="24"/>
          <w:szCs w:val="24"/>
        </w:rPr>
        <w:t>development. The center</w:t>
      </w:r>
      <w:r w:rsidR="0029486C">
        <w:rPr>
          <w:rFonts w:ascii="Times New Roman" w:hAnsi="Times New Roman"/>
          <w:sz w:val="24"/>
          <w:szCs w:val="24"/>
        </w:rPr>
        <w:t xml:space="preserve"> began operation in the </w:t>
      </w:r>
      <w:proofErr w:type="gramStart"/>
      <w:r w:rsidR="0029486C">
        <w:rPr>
          <w:rFonts w:ascii="Times New Roman" w:hAnsi="Times New Roman"/>
          <w:sz w:val="24"/>
          <w:szCs w:val="24"/>
        </w:rPr>
        <w:t>Fall</w:t>
      </w:r>
      <w:proofErr w:type="gramEnd"/>
      <w:r w:rsidR="0029486C">
        <w:rPr>
          <w:rFonts w:ascii="Times New Roman" w:hAnsi="Times New Roman"/>
          <w:sz w:val="24"/>
          <w:szCs w:val="24"/>
        </w:rPr>
        <w:t xml:space="preserve"> of 2012 and</w:t>
      </w:r>
      <w:r w:rsidRPr="00EC3E67">
        <w:rPr>
          <w:rFonts w:ascii="Times New Roman" w:hAnsi="Times New Roman"/>
          <w:sz w:val="24"/>
          <w:szCs w:val="24"/>
        </w:rPr>
        <w:t xml:space="preserve"> is a collaboration with EPRI and the Southern</w:t>
      </w:r>
      <w:r>
        <w:rPr>
          <w:rFonts w:ascii="Times New Roman" w:hAnsi="Times New Roman"/>
          <w:sz w:val="24"/>
          <w:szCs w:val="24"/>
        </w:rPr>
        <w:t xml:space="preserve"> </w:t>
      </w:r>
      <w:r w:rsidRPr="00EC3E67">
        <w:rPr>
          <w:rFonts w:ascii="Times New Roman" w:hAnsi="Times New Roman"/>
          <w:sz w:val="24"/>
          <w:szCs w:val="24"/>
        </w:rPr>
        <w:t>Research Institute (SRI).</w:t>
      </w:r>
      <w:r>
        <w:rPr>
          <w:rFonts w:ascii="Times New Roman" w:hAnsi="Times New Roman"/>
          <w:sz w:val="24"/>
          <w:szCs w:val="24"/>
        </w:rPr>
        <w:t xml:space="preserve"> </w:t>
      </w:r>
      <w:r w:rsidRPr="00EC3E67">
        <w:rPr>
          <w:rFonts w:ascii="Times New Roman" w:hAnsi="Times New Roman"/>
          <w:sz w:val="24"/>
          <w:szCs w:val="24"/>
        </w:rPr>
        <w:t>Located at Plant Bowen in northwest Georgia, the WRC will</w:t>
      </w:r>
      <w:r>
        <w:rPr>
          <w:rFonts w:ascii="Times New Roman" w:hAnsi="Times New Roman"/>
          <w:sz w:val="24"/>
          <w:szCs w:val="24"/>
        </w:rPr>
        <w:t xml:space="preserve"> </w:t>
      </w:r>
      <w:r w:rsidRPr="00EC3E67">
        <w:rPr>
          <w:rFonts w:ascii="Times New Roman" w:hAnsi="Times New Roman"/>
          <w:sz w:val="24"/>
          <w:szCs w:val="24"/>
        </w:rPr>
        <w:t>allow companies worldwide to test technologies to improve</w:t>
      </w:r>
      <w:r>
        <w:rPr>
          <w:rFonts w:ascii="Times New Roman" w:hAnsi="Times New Roman"/>
          <w:sz w:val="24"/>
          <w:szCs w:val="24"/>
        </w:rPr>
        <w:t xml:space="preserve"> </w:t>
      </w:r>
      <w:r w:rsidRPr="00EC3E67">
        <w:rPr>
          <w:rFonts w:ascii="Times New Roman" w:hAnsi="Times New Roman"/>
          <w:sz w:val="24"/>
          <w:szCs w:val="24"/>
        </w:rPr>
        <w:t xml:space="preserve">water </w:t>
      </w:r>
      <w:r w:rsidR="002F2289">
        <w:rPr>
          <w:rFonts w:ascii="Times New Roman" w:hAnsi="Times New Roman"/>
          <w:sz w:val="24"/>
          <w:szCs w:val="24"/>
        </w:rPr>
        <w:t xml:space="preserve">use </w:t>
      </w:r>
      <w:r w:rsidRPr="00EC3E67">
        <w:rPr>
          <w:rFonts w:ascii="Times New Roman" w:hAnsi="Times New Roman"/>
          <w:sz w:val="24"/>
          <w:szCs w:val="24"/>
        </w:rPr>
        <w:t>efficiency</w:t>
      </w:r>
      <w:r>
        <w:rPr>
          <w:rFonts w:ascii="Times New Roman" w:hAnsi="Times New Roman"/>
          <w:sz w:val="24"/>
          <w:szCs w:val="24"/>
        </w:rPr>
        <w:t xml:space="preserve"> and </w:t>
      </w:r>
      <w:r w:rsidR="002F2289">
        <w:rPr>
          <w:rFonts w:ascii="Times New Roman" w:hAnsi="Times New Roman"/>
          <w:sz w:val="24"/>
          <w:szCs w:val="24"/>
        </w:rPr>
        <w:t xml:space="preserve">water </w:t>
      </w:r>
      <w:r>
        <w:rPr>
          <w:rFonts w:ascii="Times New Roman" w:hAnsi="Times New Roman"/>
          <w:sz w:val="24"/>
          <w:szCs w:val="24"/>
        </w:rPr>
        <w:t>treatment</w:t>
      </w:r>
      <w:r w:rsidR="002F2289">
        <w:rPr>
          <w:rFonts w:ascii="Times New Roman" w:hAnsi="Times New Roman"/>
          <w:sz w:val="24"/>
          <w:szCs w:val="24"/>
        </w:rPr>
        <w:t xml:space="preserve"> that may be required for compliance with upcoming regulations</w:t>
      </w:r>
      <w:r>
        <w:rPr>
          <w:rFonts w:ascii="Times New Roman" w:hAnsi="Times New Roman"/>
          <w:sz w:val="24"/>
          <w:szCs w:val="24"/>
        </w:rPr>
        <w:t>.</w:t>
      </w:r>
    </w:p>
    <w:p w:rsidR="00752263" w:rsidRDefault="00752263" w:rsidP="00752263">
      <w:pPr>
        <w:tabs>
          <w:tab w:val="center" w:pos="4392"/>
        </w:tabs>
        <w:suppressAutoHyphens/>
        <w:spacing w:after="0" w:line="240" w:lineRule="auto"/>
        <w:rPr>
          <w:rFonts w:ascii="Times New Roman" w:hAnsi="Times New Roman"/>
          <w:sz w:val="24"/>
          <w:szCs w:val="24"/>
        </w:rPr>
      </w:pPr>
    </w:p>
    <w:p w:rsidR="00752263" w:rsidRPr="00ED7E20" w:rsidRDefault="00752263" w:rsidP="00752263">
      <w:pPr>
        <w:keepNext/>
        <w:autoSpaceDE w:val="0"/>
        <w:autoSpaceDN w:val="0"/>
        <w:adjustRightInd w:val="0"/>
        <w:spacing w:after="0" w:line="240" w:lineRule="auto"/>
        <w:jc w:val="both"/>
        <w:outlineLvl w:val="1"/>
        <w:rPr>
          <w:rFonts w:ascii="Times New Roman" w:hAnsi="Times New Roman"/>
          <w:b/>
          <w:bCs/>
          <w:color w:val="000080"/>
          <w:sz w:val="24"/>
          <w:szCs w:val="24"/>
        </w:rPr>
      </w:pPr>
      <w:bookmarkStart w:id="33" w:name="_Toc347314857"/>
      <w:r>
        <w:rPr>
          <w:rFonts w:ascii="Times New Roman" w:hAnsi="Times New Roman"/>
          <w:b/>
          <w:bCs/>
          <w:color w:val="000080"/>
          <w:sz w:val="24"/>
          <w:szCs w:val="24"/>
        </w:rPr>
        <w:t>4.3</w:t>
      </w:r>
      <w:r>
        <w:rPr>
          <w:rFonts w:ascii="Times New Roman" w:hAnsi="Times New Roman"/>
          <w:b/>
          <w:bCs/>
          <w:color w:val="000080"/>
          <w:sz w:val="24"/>
          <w:szCs w:val="24"/>
        </w:rPr>
        <w:tab/>
        <w:t>Solid Waste Management</w:t>
      </w:r>
      <w:bookmarkEnd w:id="33"/>
      <w:r>
        <w:rPr>
          <w:rFonts w:ascii="Times New Roman" w:hAnsi="Times New Roman"/>
          <w:b/>
          <w:bCs/>
          <w:color w:val="000080"/>
          <w:sz w:val="24"/>
          <w:szCs w:val="24"/>
        </w:rPr>
        <w:t xml:space="preserve"> </w:t>
      </w:r>
    </w:p>
    <w:p w:rsidR="00752263" w:rsidRPr="00ED7E20" w:rsidRDefault="00752263" w:rsidP="00752263">
      <w:pPr>
        <w:keepNext/>
        <w:tabs>
          <w:tab w:val="center" w:pos="4392"/>
        </w:tabs>
        <w:suppressAutoHyphens/>
        <w:autoSpaceDE w:val="0"/>
        <w:autoSpaceDN w:val="0"/>
        <w:adjustRightInd w:val="0"/>
        <w:spacing w:after="0" w:line="240" w:lineRule="auto"/>
        <w:rPr>
          <w:rFonts w:ascii="Times New Roman" w:hAnsi="Times New Roman"/>
          <w:b/>
          <w:color w:val="000080"/>
          <w:sz w:val="24"/>
          <w:szCs w:val="24"/>
        </w:rPr>
      </w:pPr>
    </w:p>
    <w:p w:rsidR="00752263" w:rsidRDefault="00752263" w:rsidP="00752263">
      <w:pPr>
        <w:spacing w:after="0" w:line="240" w:lineRule="auto"/>
        <w:rPr>
          <w:rFonts w:ascii="Times New Roman" w:hAnsi="Times New Roman"/>
          <w:sz w:val="24"/>
          <w:szCs w:val="24"/>
        </w:rPr>
      </w:pPr>
      <w:r>
        <w:rPr>
          <w:rFonts w:ascii="Times New Roman" w:hAnsi="Times New Roman"/>
          <w:sz w:val="24"/>
          <w:szCs w:val="24"/>
        </w:rPr>
        <w:t>Southern Company and GPC are</w:t>
      </w:r>
      <w:r w:rsidRPr="00ED7E20">
        <w:rPr>
          <w:rFonts w:ascii="Times New Roman" w:hAnsi="Times New Roman"/>
          <w:sz w:val="24"/>
          <w:szCs w:val="24"/>
        </w:rPr>
        <w:t xml:space="preserve"> currently evaluating compliance alternatives and requirements under the proposed C</w:t>
      </w:r>
      <w:r w:rsidR="006D26A9">
        <w:rPr>
          <w:rFonts w:ascii="Times New Roman" w:hAnsi="Times New Roman"/>
          <w:sz w:val="24"/>
          <w:szCs w:val="24"/>
        </w:rPr>
        <w:t>oal Combustion Residuals (C</w:t>
      </w:r>
      <w:r w:rsidRPr="00ED7E20">
        <w:rPr>
          <w:rFonts w:ascii="Times New Roman" w:hAnsi="Times New Roman"/>
          <w:sz w:val="24"/>
          <w:szCs w:val="24"/>
        </w:rPr>
        <w:t>CR</w:t>
      </w:r>
      <w:r w:rsidR="006D26A9">
        <w:rPr>
          <w:rFonts w:ascii="Times New Roman" w:hAnsi="Times New Roman"/>
          <w:sz w:val="24"/>
          <w:szCs w:val="24"/>
        </w:rPr>
        <w:t>)</w:t>
      </w:r>
      <w:r w:rsidRPr="00ED7E20">
        <w:rPr>
          <w:rFonts w:ascii="Times New Roman" w:hAnsi="Times New Roman"/>
          <w:sz w:val="24"/>
          <w:szCs w:val="24"/>
        </w:rPr>
        <w:t xml:space="preserve"> rule</w:t>
      </w:r>
      <w:r w:rsidR="006D26A9">
        <w:rPr>
          <w:rFonts w:ascii="Times New Roman" w:hAnsi="Times New Roman"/>
          <w:sz w:val="24"/>
          <w:szCs w:val="24"/>
        </w:rPr>
        <w:t>.</w:t>
      </w:r>
      <w:r w:rsidRPr="00ED7E20">
        <w:rPr>
          <w:rFonts w:ascii="Times New Roman" w:hAnsi="Times New Roman"/>
          <w:sz w:val="24"/>
          <w:szCs w:val="24"/>
        </w:rPr>
        <w:t xml:space="preserve">  </w:t>
      </w:r>
      <w:r>
        <w:rPr>
          <w:rFonts w:ascii="Times New Roman" w:hAnsi="Times New Roman"/>
          <w:sz w:val="24"/>
          <w:szCs w:val="24"/>
        </w:rPr>
        <w:t xml:space="preserve">The financial and operational impacts of this rule will depend on numerous factors, including: whether coal combustion byproducts will be regulated as hazardous waste or non-hazardous waste; whether EPA will require early closure of existing wet storage facilities; whether beneficial reuse will be limited or eliminated through a hazardous waste designation; whether the construction of lined landfills is required; whether hazardous waste landfill permitting will be required for on-site storage; whether additional wastewater treatment will be required; the extent of any additional groundwater monitoring requirements; whether any equipment modifications will be required; the extent of any changes to site safety practices under a hazardous waste designation; and the time period over which compliance will be required. </w:t>
      </w:r>
    </w:p>
    <w:p w:rsidR="00752263" w:rsidRDefault="00752263" w:rsidP="00752263">
      <w:pPr>
        <w:spacing w:after="0" w:line="240" w:lineRule="auto"/>
        <w:rPr>
          <w:rFonts w:ascii="Times New Roman" w:hAnsi="Times New Roman"/>
          <w:sz w:val="24"/>
          <w:szCs w:val="24"/>
        </w:rPr>
      </w:pPr>
    </w:p>
    <w:p w:rsidR="00BE1739" w:rsidRDefault="0015731B" w:rsidP="00752263">
      <w:pPr>
        <w:spacing w:after="0" w:line="240" w:lineRule="auto"/>
        <w:rPr>
          <w:rFonts w:ascii="Times New Roman" w:hAnsi="Times New Roman"/>
          <w:b/>
          <w:sz w:val="24"/>
          <w:szCs w:val="24"/>
        </w:rPr>
      </w:pPr>
      <w:r>
        <w:rPr>
          <w:rFonts w:ascii="Times New Roman" w:hAnsi="Times New Roman"/>
          <w:sz w:val="24"/>
          <w:szCs w:val="24"/>
        </w:rPr>
        <w:t xml:space="preserve">The current strategy is based on the proposed </w:t>
      </w:r>
      <w:r w:rsidR="00B94DF7">
        <w:rPr>
          <w:rFonts w:ascii="Times New Roman" w:hAnsi="Times New Roman"/>
          <w:sz w:val="24"/>
          <w:szCs w:val="24"/>
        </w:rPr>
        <w:t xml:space="preserve">CCR </w:t>
      </w:r>
      <w:r>
        <w:rPr>
          <w:rFonts w:ascii="Times New Roman" w:hAnsi="Times New Roman"/>
          <w:sz w:val="24"/>
          <w:szCs w:val="24"/>
        </w:rPr>
        <w:t xml:space="preserve">rule, which indicated that facilities would </w:t>
      </w:r>
      <w:r w:rsidR="00890BB7">
        <w:rPr>
          <w:rFonts w:ascii="Times New Roman" w:hAnsi="Times New Roman"/>
          <w:sz w:val="24"/>
          <w:szCs w:val="24"/>
        </w:rPr>
        <w:t xml:space="preserve">have to install groundwater monitoring around all ash ponds and could </w:t>
      </w:r>
      <w:r>
        <w:rPr>
          <w:rFonts w:ascii="Times New Roman" w:hAnsi="Times New Roman"/>
          <w:sz w:val="24"/>
          <w:szCs w:val="24"/>
        </w:rPr>
        <w:t xml:space="preserve">no longer use ash ponds for coal ash storage or disposal. </w:t>
      </w:r>
      <w:r w:rsidR="006D26A9">
        <w:rPr>
          <w:rFonts w:ascii="Times New Roman" w:hAnsi="Times New Roman"/>
          <w:sz w:val="24"/>
          <w:szCs w:val="24"/>
        </w:rPr>
        <w:t xml:space="preserve"> </w:t>
      </w:r>
      <w:r w:rsidR="009E1152" w:rsidRPr="00BE1739">
        <w:rPr>
          <w:rFonts w:ascii="Times New Roman" w:hAnsi="Times New Roman"/>
          <w:b/>
          <w:sz w:val="24"/>
          <w:szCs w:val="24"/>
        </w:rPr>
        <w:t xml:space="preserve">REDACTED REDACTED REDACTED REDACTED REDACTED REDACTED REDACTED REDACTED REDACTED REDACTED REDACTED REDACTED REDACTED REDACTED REDACTED REDACTED REDACTED REDACTED REDACTED REDACTED REDACTED REDACTED REDACTED REDACTED REDACTED REDACTED REDACTED REDACTED </w:t>
      </w:r>
    </w:p>
    <w:p w:rsidR="00752263" w:rsidRDefault="00752263" w:rsidP="00752263">
      <w:pPr>
        <w:spacing w:after="0" w:line="240" w:lineRule="auto"/>
        <w:rPr>
          <w:rFonts w:ascii="Times New Roman" w:hAnsi="Times New Roman"/>
          <w:sz w:val="24"/>
          <w:szCs w:val="24"/>
        </w:rPr>
      </w:pPr>
      <w:r>
        <w:rPr>
          <w:rFonts w:ascii="Times New Roman" w:hAnsi="Times New Roman"/>
          <w:sz w:val="24"/>
          <w:szCs w:val="24"/>
        </w:rPr>
        <w:t xml:space="preserve">Because the </w:t>
      </w:r>
      <w:r w:rsidR="005B52D7">
        <w:rPr>
          <w:rFonts w:ascii="Times New Roman" w:hAnsi="Times New Roman"/>
          <w:sz w:val="24"/>
          <w:szCs w:val="24"/>
        </w:rPr>
        <w:t xml:space="preserve">CCR </w:t>
      </w:r>
      <w:r>
        <w:rPr>
          <w:rFonts w:ascii="Times New Roman" w:hAnsi="Times New Roman"/>
          <w:sz w:val="24"/>
          <w:szCs w:val="24"/>
        </w:rPr>
        <w:t>rule is not final</w:t>
      </w:r>
      <w:r w:rsidR="005B52D7">
        <w:rPr>
          <w:rFonts w:ascii="Times New Roman" w:hAnsi="Times New Roman"/>
          <w:sz w:val="24"/>
          <w:szCs w:val="24"/>
        </w:rPr>
        <w:t xml:space="preserve"> and the ELG is not even yet proposed</w:t>
      </w:r>
      <w:proofErr w:type="gramStart"/>
      <w:r>
        <w:rPr>
          <w:rFonts w:ascii="Times New Roman" w:hAnsi="Times New Roman"/>
          <w:sz w:val="24"/>
          <w:szCs w:val="24"/>
        </w:rPr>
        <w:t xml:space="preserve">, </w:t>
      </w:r>
      <w:r w:rsidR="006D26A9">
        <w:rPr>
          <w:rFonts w:ascii="Times New Roman" w:hAnsi="Times New Roman"/>
          <w:sz w:val="24"/>
          <w:szCs w:val="24"/>
        </w:rPr>
        <w:t xml:space="preserve"> </w:t>
      </w:r>
      <w:r>
        <w:rPr>
          <w:rFonts w:ascii="Times New Roman" w:hAnsi="Times New Roman"/>
          <w:sz w:val="24"/>
          <w:szCs w:val="24"/>
        </w:rPr>
        <w:t>e</w:t>
      </w:r>
      <w:r w:rsidRPr="00ED7E20">
        <w:rPr>
          <w:rFonts w:ascii="Times New Roman" w:hAnsi="Times New Roman"/>
          <w:sz w:val="24"/>
          <w:szCs w:val="24"/>
        </w:rPr>
        <w:t>xact</w:t>
      </w:r>
      <w:proofErr w:type="gramEnd"/>
      <w:r w:rsidRPr="00ED7E20">
        <w:rPr>
          <w:rFonts w:ascii="Times New Roman" w:hAnsi="Times New Roman"/>
          <w:sz w:val="24"/>
          <w:szCs w:val="24"/>
        </w:rPr>
        <w:t xml:space="preserve"> compliance requirements are uncertain at this time and </w:t>
      </w:r>
      <w:r w:rsidR="006D26A9">
        <w:rPr>
          <w:rFonts w:ascii="Times New Roman" w:hAnsi="Times New Roman"/>
          <w:sz w:val="24"/>
          <w:szCs w:val="24"/>
        </w:rPr>
        <w:t xml:space="preserve">cannot </w:t>
      </w:r>
      <w:r w:rsidRPr="00ED7E20">
        <w:rPr>
          <w:rFonts w:ascii="Times New Roman" w:hAnsi="Times New Roman"/>
          <w:sz w:val="24"/>
          <w:szCs w:val="24"/>
        </w:rPr>
        <w:t xml:space="preserve">be determined </w:t>
      </w:r>
      <w:r w:rsidR="006D26A9">
        <w:rPr>
          <w:rFonts w:ascii="Times New Roman" w:hAnsi="Times New Roman"/>
          <w:sz w:val="24"/>
          <w:szCs w:val="24"/>
        </w:rPr>
        <w:t xml:space="preserve">until </w:t>
      </w:r>
      <w:r w:rsidRPr="00ED7E20">
        <w:rPr>
          <w:rFonts w:ascii="Times New Roman" w:hAnsi="Times New Roman"/>
          <w:sz w:val="24"/>
          <w:szCs w:val="24"/>
        </w:rPr>
        <w:t xml:space="preserve">the final </w:t>
      </w:r>
      <w:r>
        <w:rPr>
          <w:rFonts w:ascii="Times New Roman" w:hAnsi="Times New Roman"/>
          <w:sz w:val="24"/>
          <w:szCs w:val="24"/>
        </w:rPr>
        <w:t>rule</w:t>
      </w:r>
      <w:r w:rsidR="005B52D7">
        <w:rPr>
          <w:rFonts w:ascii="Times New Roman" w:hAnsi="Times New Roman"/>
          <w:sz w:val="24"/>
          <w:szCs w:val="24"/>
        </w:rPr>
        <w:t>s</w:t>
      </w:r>
      <w:r w:rsidRPr="00ED7E20">
        <w:rPr>
          <w:rFonts w:ascii="Times New Roman" w:hAnsi="Times New Roman"/>
          <w:sz w:val="24"/>
          <w:szCs w:val="24"/>
        </w:rPr>
        <w:t xml:space="preserve"> </w:t>
      </w:r>
      <w:r w:rsidR="005B52D7">
        <w:rPr>
          <w:rFonts w:ascii="Times New Roman" w:hAnsi="Times New Roman"/>
          <w:sz w:val="24"/>
          <w:szCs w:val="24"/>
        </w:rPr>
        <w:t>are</w:t>
      </w:r>
      <w:r w:rsidR="006D26A9">
        <w:rPr>
          <w:rFonts w:ascii="Times New Roman" w:hAnsi="Times New Roman"/>
          <w:sz w:val="24"/>
          <w:szCs w:val="24"/>
        </w:rPr>
        <w:t xml:space="preserve"> issued</w:t>
      </w:r>
      <w:r>
        <w:rPr>
          <w:rFonts w:ascii="Times New Roman" w:hAnsi="Times New Roman"/>
          <w:sz w:val="24"/>
          <w:szCs w:val="24"/>
        </w:rPr>
        <w:t>.</w:t>
      </w:r>
      <w:r w:rsidRPr="00ED7E20">
        <w:rPr>
          <w:rFonts w:ascii="Times New Roman" w:hAnsi="Times New Roman"/>
          <w:sz w:val="24"/>
          <w:szCs w:val="24"/>
        </w:rPr>
        <w:t xml:space="preserve">  </w:t>
      </w:r>
    </w:p>
    <w:p w:rsidR="00752263" w:rsidRDefault="00752263" w:rsidP="00752263">
      <w:pPr>
        <w:spacing w:after="0" w:line="240" w:lineRule="auto"/>
        <w:rPr>
          <w:rFonts w:ascii="Times New Roman" w:hAnsi="Times New Roman"/>
          <w:sz w:val="24"/>
          <w:szCs w:val="24"/>
        </w:rPr>
      </w:pPr>
    </w:p>
    <w:p w:rsidR="00DE073A" w:rsidRDefault="00752263" w:rsidP="00090D69">
      <w:pPr>
        <w:spacing w:after="0" w:line="240" w:lineRule="auto"/>
        <w:rPr>
          <w:rFonts w:ascii="Times New Roman" w:hAnsi="Times New Roman"/>
          <w:sz w:val="24"/>
          <w:szCs w:val="24"/>
        </w:rPr>
      </w:pPr>
      <w:r w:rsidRPr="00ED7E20">
        <w:rPr>
          <w:rFonts w:ascii="Times New Roman" w:hAnsi="Times New Roman"/>
          <w:sz w:val="24"/>
          <w:szCs w:val="24"/>
        </w:rPr>
        <w:t xml:space="preserve">GPC will continue to comply with all </w:t>
      </w:r>
      <w:r w:rsidR="006D26A9">
        <w:rPr>
          <w:rFonts w:ascii="Times New Roman" w:hAnsi="Times New Roman"/>
          <w:sz w:val="24"/>
          <w:szCs w:val="24"/>
        </w:rPr>
        <w:t xml:space="preserve">applicable </w:t>
      </w:r>
      <w:r w:rsidRPr="00ED7E20">
        <w:rPr>
          <w:rFonts w:ascii="Times New Roman" w:hAnsi="Times New Roman"/>
          <w:sz w:val="24"/>
          <w:szCs w:val="24"/>
        </w:rPr>
        <w:t xml:space="preserve">state and federal regulatory requirements and is continually seeking to increase appropriate beneficial use of </w:t>
      </w:r>
      <w:r>
        <w:rPr>
          <w:rFonts w:ascii="Times New Roman" w:hAnsi="Times New Roman"/>
          <w:sz w:val="24"/>
          <w:szCs w:val="24"/>
        </w:rPr>
        <w:t>coal combustion byproducts</w:t>
      </w:r>
      <w:r w:rsidRPr="00ED7E20">
        <w:rPr>
          <w:rFonts w:ascii="Times New Roman" w:hAnsi="Times New Roman"/>
          <w:sz w:val="24"/>
          <w:szCs w:val="24"/>
        </w:rPr>
        <w:t xml:space="preserve"> that it generates.</w:t>
      </w:r>
      <w:r w:rsidR="00BB177A">
        <w:rPr>
          <w:rFonts w:ascii="Times New Roman" w:hAnsi="Times New Roman"/>
          <w:sz w:val="24"/>
          <w:szCs w:val="24"/>
        </w:rPr>
        <w:t xml:space="preserve">  In addition, Georgia Power continues to manage the impacts on solid waste management from EPA rules related to air and water quality.</w:t>
      </w:r>
      <w:r w:rsidR="0015731B">
        <w:rPr>
          <w:rFonts w:ascii="Times New Roman" w:hAnsi="Times New Roman"/>
          <w:sz w:val="24"/>
          <w:szCs w:val="24"/>
        </w:rPr>
        <w:t xml:space="preserve">  The CCR rule</w:t>
      </w:r>
      <w:r w:rsidR="006D26A9">
        <w:rPr>
          <w:rFonts w:ascii="Times New Roman" w:hAnsi="Times New Roman"/>
          <w:sz w:val="24"/>
          <w:szCs w:val="24"/>
        </w:rPr>
        <w:t xml:space="preserve"> and its potential impacts on</w:t>
      </w:r>
      <w:r w:rsidR="0015731B">
        <w:rPr>
          <w:rFonts w:ascii="Times New Roman" w:hAnsi="Times New Roman"/>
          <w:sz w:val="24"/>
          <w:szCs w:val="24"/>
        </w:rPr>
        <w:t xml:space="preserve"> the ability to beneficially re-use coal combustion byproducts and the byproducts generated by scrubbers and baghouses all have the potential to impact the </w:t>
      </w:r>
      <w:r w:rsidR="0066082C">
        <w:rPr>
          <w:rFonts w:ascii="Times New Roman" w:hAnsi="Times New Roman"/>
          <w:sz w:val="24"/>
          <w:szCs w:val="24"/>
        </w:rPr>
        <w:t xml:space="preserve">future </w:t>
      </w:r>
      <w:r w:rsidR="0015731B">
        <w:rPr>
          <w:rFonts w:ascii="Times New Roman" w:hAnsi="Times New Roman"/>
          <w:sz w:val="24"/>
          <w:szCs w:val="24"/>
        </w:rPr>
        <w:t>need for new on-site or off-site landfills.</w:t>
      </w:r>
    </w:p>
    <w:p w:rsidR="00DE073A" w:rsidRDefault="00DE073A" w:rsidP="00090D69">
      <w:pPr>
        <w:spacing w:after="0" w:line="240" w:lineRule="auto"/>
        <w:rPr>
          <w:rFonts w:ascii="Times New Roman" w:hAnsi="Times New Roman"/>
          <w:b/>
          <w:bCs/>
          <w:color w:val="000080"/>
          <w:sz w:val="24"/>
          <w:szCs w:val="24"/>
        </w:rPr>
      </w:pPr>
    </w:p>
    <w:p w:rsidR="00752263" w:rsidRPr="00ED7E20" w:rsidRDefault="00752263" w:rsidP="00111EC6">
      <w:pPr>
        <w:spacing w:after="0" w:line="240" w:lineRule="auto"/>
        <w:outlineLvl w:val="1"/>
        <w:rPr>
          <w:rFonts w:ascii="Times New Roman" w:hAnsi="Times New Roman"/>
          <w:b/>
          <w:bCs/>
          <w:color w:val="000080"/>
          <w:sz w:val="24"/>
          <w:szCs w:val="24"/>
        </w:rPr>
      </w:pPr>
      <w:bookmarkStart w:id="34" w:name="_Toc347314858"/>
      <w:r>
        <w:rPr>
          <w:rFonts w:ascii="Times New Roman" w:hAnsi="Times New Roman"/>
          <w:b/>
          <w:bCs/>
          <w:color w:val="000080"/>
          <w:sz w:val="24"/>
          <w:szCs w:val="24"/>
        </w:rPr>
        <w:t>4.4</w:t>
      </w:r>
      <w:r>
        <w:rPr>
          <w:rFonts w:ascii="Times New Roman" w:hAnsi="Times New Roman"/>
          <w:b/>
          <w:bCs/>
          <w:color w:val="000080"/>
          <w:sz w:val="24"/>
          <w:szCs w:val="24"/>
        </w:rPr>
        <w:tab/>
      </w:r>
      <w:r w:rsidRPr="00ED7E20">
        <w:rPr>
          <w:rFonts w:ascii="Times New Roman" w:hAnsi="Times New Roman"/>
          <w:b/>
          <w:bCs/>
          <w:color w:val="000080"/>
          <w:sz w:val="24"/>
          <w:szCs w:val="24"/>
        </w:rPr>
        <w:t>Strategy and Schedule</w:t>
      </w:r>
      <w:bookmarkEnd w:id="34"/>
      <w:r w:rsidRPr="00ED7E20">
        <w:rPr>
          <w:rFonts w:ascii="Times New Roman" w:hAnsi="Times New Roman"/>
          <w:b/>
          <w:bCs/>
          <w:color w:val="000080"/>
          <w:sz w:val="24"/>
          <w:szCs w:val="24"/>
        </w:rPr>
        <w:t xml:space="preserve"> </w:t>
      </w:r>
    </w:p>
    <w:p w:rsidR="00752263" w:rsidRPr="00ED7E20" w:rsidRDefault="00752263" w:rsidP="00752263">
      <w:pPr>
        <w:spacing w:after="0" w:line="240" w:lineRule="auto"/>
        <w:rPr>
          <w:rFonts w:ascii="Times New Roman" w:hAnsi="Times New Roman"/>
          <w:sz w:val="24"/>
          <w:szCs w:val="24"/>
        </w:rPr>
      </w:pPr>
    </w:p>
    <w:p w:rsidR="00752263" w:rsidRPr="00ED7E20" w:rsidRDefault="00752263" w:rsidP="00752263">
      <w:pPr>
        <w:spacing w:after="0" w:line="240" w:lineRule="auto"/>
        <w:rPr>
          <w:rFonts w:ascii="Times New Roman" w:hAnsi="Times New Roman"/>
          <w:sz w:val="24"/>
          <w:szCs w:val="24"/>
        </w:rPr>
      </w:pPr>
      <w:r w:rsidRPr="00ED7E20">
        <w:rPr>
          <w:rFonts w:ascii="Times New Roman" w:hAnsi="Times New Roman"/>
          <w:sz w:val="24"/>
          <w:szCs w:val="24"/>
        </w:rPr>
        <w:t>The environmental strategy and schedule continues to evolve, even as state and federal requirements are being proposed and finalized.  The current 201</w:t>
      </w:r>
      <w:r w:rsidR="003F45D5">
        <w:rPr>
          <w:rFonts w:ascii="Times New Roman" w:hAnsi="Times New Roman"/>
          <w:sz w:val="24"/>
          <w:szCs w:val="24"/>
        </w:rPr>
        <w:t>3</w:t>
      </w:r>
      <w:r w:rsidRPr="00ED7E20">
        <w:rPr>
          <w:rFonts w:ascii="Times New Roman" w:hAnsi="Times New Roman"/>
          <w:sz w:val="24"/>
          <w:szCs w:val="24"/>
        </w:rPr>
        <w:t xml:space="preserve"> GPC environmental strategy and schedule for both Air (Fig. 4.4-1) and Land and Water (Fig. 4.4-2) are provided in the following figures.  In general, certain aspects of the strategy are constantly under reevaluation and the schedule remains dynamic. </w:t>
      </w:r>
    </w:p>
    <w:p w:rsidR="00752263" w:rsidRPr="00ED7E20" w:rsidRDefault="00752263" w:rsidP="00752263">
      <w:pPr>
        <w:spacing w:after="0" w:line="240" w:lineRule="auto"/>
        <w:rPr>
          <w:rFonts w:ascii="Times New Roman" w:hAnsi="Times New Roman"/>
          <w:sz w:val="24"/>
          <w:szCs w:val="24"/>
        </w:rPr>
      </w:pPr>
    </w:p>
    <w:p w:rsidR="003F45D5" w:rsidRDefault="00752263" w:rsidP="00752263">
      <w:pPr>
        <w:spacing w:after="0" w:line="240" w:lineRule="auto"/>
        <w:rPr>
          <w:rFonts w:ascii="Times New Roman" w:hAnsi="Times New Roman"/>
          <w:noProof/>
          <w:sz w:val="20"/>
          <w:szCs w:val="20"/>
        </w:rPr>
        <w:sectPr w:rsidR="003F45D5" w:rsidSect="00E07104">
          <w:headerReference w:type="even" r:id="rId39"/>
          <w:headerReference w:type="default" r:id="rId40"/>
          <w:footerReference w:type="default" r:id="rId41"/>
          <w:headerReference w:type="first" r:id="rId42"/>
          <w:pgSz w:w="12240" w:h="15840" w:code="1"/>
          <w:pgMar w:top="1440" w:right="1440" w:bottom="1440" w:left="1440" w:header="720" w:footer="720" w:gutter="0"/>
          <w:cols w:space="720"/>
          <w:docGrid w:linePitch="299"/>
        </w:sectPr>
      </w:pPr>
      <w:r w:rsidRPr="00ED7E20">
        <w:rPr>
          <w:rFonts w:ascii="Times New Roman" w:hAnsi="Times New Roman"/>
          <w:sz w:val="20"/>
          <w:szCs w:val="20"/>
        </w:rPr>
        <w:t xml:space="preserve">    </w:t>
      </w:r>
      <w:r w:rsidR="003F45D5" w:rsidRPr="003F45D5">
        <w:rPr>
          <w:rFonts w:ascii="Times New Roman" w:hAnsi="Times New Roman"/>
          <w:noProof/>
          <w:sz w:val="20"/>
          <w:szCs w:val="20"/>
        </w:rPr>
        <w:t xml:space="preserve"> </w:t>
      </w:r>
    </w:p>
    <w:p w:rsidR="003F45D5" w:rsidRDefault="00C650CE" w:rsidP="00336D2B">
      <w:pPr>
        <w:spacing w:after="0" w:line="240" w:lineRule="auto"/>
        <w:jc w:val="center"/>
        <w:sectPr w:rsidR="003F45D5" w:rsidSect="00E07104">
          <w:headerReference w:type="even" r:id="rId43"/>
          <w:headerReference w:type="default" r:id="rId44"/>
          <w:footerReference w:type="default" r:id="rId45"/>
          <w:headerReference w:type="first" r:id="rId46"/>
          <w:pgSz w:w="15840" w:h="12240" w:orient="landscape" w:code="1"/>
          <w:pgMar w:top="1440" w:right="1440" w:bottom="1440" w:left="1440" w:header="720" w:footer="720" w:gutter="0"/>
          <w:cols w:space="720"/>
          <w:docGrid w:linePitch="299"/>
        </w:sectPr>
      </w:pPr>
      <w:r>
        <w:rPr>
          <w:noProof/>
        </w:rPr>
        <w:pict>
          <v:rect id="_x0000_s1046" style="position:absolute;left:0;text-align:left;margin-left:11.5pt;margin-top:-1.5pt;width:623.5pt;height:427.5pt;z-index:251670528;v-text-anchor:middle">
            <v:textbox>
              <w:txbxContent>
                <w:p w:rsidR="009C366D" w:rsidRPr="0099434C" w:rsidRDefault="009C366D" w:rsidP="0099434C">
                  <w:pPr>
                    <w:jc w:val="center"/>
                    <w:rPr>
                      <w:rFonts w:ascii="Times New Roman" w:hAnsi="Times New Roman"/>
                      <w:sz w:val="44"/>
                    </w:rPr>
                  </w:pPr>
                  <w:r w:rsidRPr="0099434C">
                    <w:rPr>
                      <w:rFonts w:ascii="Times New Roman" w:hAnsi="Times New Roman"/>
                      <w:sz w:val="44"/>
                    </w:rPr>
                    <w:t>REDACTED</w:t>
                  </w:r>
                </w:p>
              </w:txbxContent>
            </v:textbox>
          </v:rect>
        </w:pict>
      </w:r>
      <w:r>
        <w:rPr>
          <w:noProof/>
        </w:rPr>
        <w:pict>
          <v:rect id="_x0000_s1037" style="position:absolute;left:0;text-align:left;margin-left:85.5pt;margin-top:355pt;width:64.5pt;height:8.5pt;z-index:251664384" fillcolor="#b6d0ff" stroked="f"/>
        </w:pict>
      </w:r>
      <w:r>
        <w:rPr>
          <w:noProof/>
          <w:lang w:eastAsia="zh-TW"/>
        </w:rPr>
        <w:pict>
          <v:shape id="_x0000_s1036" type="#_x0000_t202" style="position:absolute;left:0;text-align:left;margin-left:20.3pt;margin-top:398.5pt;width:297.2pt;height:21pt;z-index:251663360;mso-width-relative:margin;mso-height-relative:margin" fillcolor="yellow" stroked="f">
            <v:textbox inset=",0">
              <w:txbxContent>
                <w:p w:rsidR="009C366D" w:rsidRPr="0061313F" w:rsidRDefault="009C366D" w:rsidP="0061313F">
                  <w:pPr>
                    <w:spacing w:after="0" w:line="240" w:lineRule="auto"/>
                    <w:rPr>
                      <w:sz w:val="14"/>
                    </w:rPr>
                  </w:pPr>
                  <w:r w:rsidRPr="0061313F">
                    <w:rPr>
                      <w:sz w:val="14"/>
                    </w:rPr>
                    <w:t>3) Branch 1 retirement date pending finaliz</w:t>
                  </w:r>
                  <w:r>
                    <w:rPr>
                      <w:sz w:val="14"/>
                    </w:rPr>
                    <w:t>ation of Georgia Multipollutant</w:t>
                  </w:r>
                  <w:r w:rsidRPr="0061313F">
                    <w:rPr>
                      <w:sz w:val="14"/>
                    </w:rPr>
                    <w:t xml:space="preserve"> Rule</w:t>
                  </w:r>
                  <w:r>
                    <w:rPr>
                      <w:sz w:val="14"/>
                    </w:rPr>
                    <w:t xml:space="preserve"> </w:t>
                  </w:r>
                  <w:r w:rsidRPr="0061313F">
                    <w:rPr>
                      <w:sz w:val="14"/>
                    </w:rPr>
                    <w:t>revision.</w:t>
                  </w:r>
                </w:p>
              </w:txbxContent>
            </v:textbox>
          </v:shape>
        </w:pict>
      </w:r>
      <w:r>
        <w:rPr>
          <w:noProof/>
        </w:rPr>
        <w:pict>
          <v:shape id="_x0000_s1031" type="#_x0000_t202" style="position:absolute;left:0;text-align:left;margin-left:165.95pt;margin-top:423pt;width:298.05pt;height:30.2pt;z-index:251659264" filled="f" stroked="f">
            <v:textbox style="mso-next-textbox:#_x0000_s1031;mso-fit-shape-to-text:t">
              <w:txbxContent>
                <w:p w:rsidR="009C366D" w:rsidRPr="00ED7E20" w:rsidRDefault="009C366D" w:rsidP="00445160">
                  <w:pPr>
                    <w:spacing w:after="0" w:line="240" w:lineRule="auto"/>
                    <w:ind w:firstLine="180"/>
                    <w:jc w:val="center"/>
                    <w:rPr>
                      <w:rFonts w:ascii="Times New Roman" w:hAnsi="Times New Roman"/>
                      <w:b/>
                      <w:bCs/>
                      <w:sz w:val="20"/>
                      <w:szCs w:val="20"/>
                    </w:rPr>
                  </w:pPr>
                  <w:r>
                    <w:rPr>
                      <w:rFonts w:ascii="Times New Roman" w:hAnsi="Times New Roman"/>
                      <w:b/>
                      <w:bCs/>
                      <w:sz w:val="20"/>
                      <w:szCs w:val="20"/>
                    </w:rPr>
                    <w:t>Figure 4.4-1</w:t>
                  </w:r>
                  <w:r w:rsidRPr="00ED7E20">
                    <w:rPr>
                      <w:rFonts w:ascii="Times New Roman" w:hAnsi="Times New Roman"/>
                      <w:b/>
                      <w:bCs/>
                      <w:sz w:val="20"/>
                      <w:szCs w:val="20"/>
                    </w:rPr>
                    <w:t xml:space="preserve"> Environmental Compliance Schedule (</w:t>
                  </w:r>
                  <w:r>
                    <w:rPr>
                      <w:rFonts w:ascii="Times New Roman" w:hAnsi="Times New Roman"/>
                      <w:b/>
                      <w:bCs/>
                      <w:sz w:val="20"/>
                      <w:szCs w:val="20"/>
                    </w:rPr>
                    <w:t>Air Only</w:t>
                  </w:r>
                  <w:r w:rsidRPr="00ED7E20">
                    <w:rPr>
                      <w:rFonts w:ascii="Times New Roman" w:hAnsi="Times New Roman"/>
                      <w:b/>
                      <w:bCs/>
                      <w:sz w:val="20"/>
                      <w:szCs w:val="20"/>
                    </w:rPr>
                    <w:t>)</w:t>
                  </w:r>
                </w:p>
                <w:p w:rsidR="009C366D" w:rsidRPr="006C41E7" w:rsidRDefault="009C366D" w:rsidP="00445160">
                  <w:pPr>
                    <w:tabs>
                      <w:tab w:val="left" w:pos="1260"/>
                    </w:tabs>
                    <w:spacing w:after="0" w:line="240" w:lineRule="auto"/>
                    <w:jc w:val="center"/>
                    <w:rPr>
                      <w:rFonts w:ascii="Times New Roman" w:hAnsi="Times New Roman"/>
                      <w:b/>
                      <w:bCs/>
                      <w:sz w:val="20"/>
                      <w:szCs w:val="20"/>
                    </w:rPr>
                  </w:pPr>
                  <w:r w:rsidRPr="00ED7E20">
                    <w:rPr>
                      <w:rFonts w:ascii="Times New Roman" w:hAnsi="Times New Roman"/>
                      <w:b/>
                      <w:bCs/>
                      <w:sz w:val="20"/>
                      <w:szCs w:val="20"/>
                    </w:rPr>
                    <w:t>20</w:t>
                  </w:r>
                  <w:r>
                    <w:rPr>
                      <w:rFonts w:ascii="Times New Roman" w:hAnsi="Times New Roman"/>
                      <w:b/>
                      <w:bCs/>
                      <w:sz w:val="20"/>
                      <w:szCs w:val="20"/>
                    </w:rPr>
                    <w:t>13</w:t>
                  </w:r>
                  <w:r w:rsidRPr="00ED7E20">
                    <w:rPr>
                      <w:rFonts w:ascii="Times New Roman" w:hAnsi="Times New Roman"/>
                      <w:b/>
                      <w:bCs/>
                      <w:sz w:val="20"/>
                      <w:szCs w:val="20"/>
                    </w:rPr>
                    <w:t xml:space="preserve"> Financial Plan for GPC</w:t>
                  </w:r>
                </w:p>
              </w:txbxContent>
            </v:textbox>
            <w10:wrap type="square"/>
          </v:shape>
        </w:pict>
      </w:r>
      <w:r w:rsidR="00BC3E61" w:rsidRPr="00EF3B7B">
        <w:rPr>
          <w:noProof/>
          <w:highlight w:val="yellow"/>
        </w:rPr>
        <w:drawing>
          <wp:inline distT="0" distB="0" distL="0" distR="0">
            <wp:extent cx="7832276" cy="5349240"/>
            <wp:effectExtent l="19050" t="19050" r="16324" b="2286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srcRect/>
                    <a:stretch>
                      <a:fillRect/>
                    </a:stretch>
                  </pic:blipFill>
                  <pic:spPr bwMode="auto">
                    <a:xfrm>
                      <a:off x="0" y="0"/>
                      <a:ext cx="7832276" cy="5349240"/>
                    </a:xfrm>
                    <a:prstGeom prst="rect">
                      <a:avLst/>
                    </a:prstGeom>
                    <a:solidFill>
                      <a:schemeClr val="accent1"/>
                    </a:solidFill>
                    <a:ln w="9525">
                      <a:solidFill>
                        <a:schemeClr val="tx1"/>
                      </a:solidFill>
                      <a:miter lim="800000"/>
                      <a:headEnd/>
                      <a:tailEnd/>
                    </a:ln>
                  </pic:spPr>
                </pic:pic>
              </a:graphicData>
            </a:graphic>
          </wp:inline>
        </w:drawing>
      </w:r>
    </w:p>
    <w:p w:rsidR="003416CA" w:rsidRDefault="00C650CE" w:rsidP="00336D2B">
      <w:pPr>
        <w:spacing w:after="0" w:line="240" w:lineRule="auto"/>
        <w:jc w:val="center"/>
        <w:sectPr w:rsidR="003416CA" w:rsidSect="00E07104">
          <w:headerReference w:type="even" r:id="rId48"/>
          <w:headerReference w:type="default" r:id="rId49"/>
          <w:footerReference w:type="default" r:id="rId50"/>
          <w:headerReference w:type="first" r:id="rId51"/>
          <w:pgSz w:w="15840" w:h="12240" w:orient="landscape" w:code="1"/>
          <w:pgMar w:top="1440" w:right="1440" w:bottom="1440" w:left="1440" w:header="720" w:footer="720" w:gutter="0"/>
          <w:cols w:space="720"/>
          <w:docGrid w:linePitch="299"/>
        </w:sectPr>
      </w:pPr>
      <w:r>
        <w:rPr>
          <w:noProof/>
        </w:rPr>
        <w:pict>
          <v:rect id="_x0000_s1048" style="position:absolute;left:0;text-align:left;margin-left:12.35pt;margin-top:-2.15pt;width:623.5pt;height:427.5pt;z-index:251671552;v-text-anchor:middle">
            <v:textbox>
              <w:txbxContent>
                <w:p w:rsidR="009C366D" w:rsidRPr="0099434C" w:rsidRDefault="009C366D" w:rsidP="0099434C">
                  <w:pPr>
                    <w:jc w:val="center"/>
                    <w:rPr>
                      <w:rFonts w:ascii="Times New Roman" w:hAnsi="Times New Roman"/>
                      <w:sz w:val="44"/>
                    </w:rPr>
                  </w:pPr>
                  <w:r w:rsidRPr="0099434C">
                    <w:rPr>
                      <w:rFonts w:ascii="Times New Roman" w:hAnsi="Times New Roman"/>
                      <w:sz w:val="44"/>
                    </w:rPr>
                    <w:t>REDACTED</w:t>
                  </w:r>
                </w:p>
              </w:txbxContent>
            </v:textbox>
          </v:rect>
        </w:pict>
      </w:r>
      <w:r>
        <w:rPr>
          <w:noProof/>
        </w:rPr>
        <w:pict>
          <v:shape id="_x0000_s1029" type="#_x0000_t202" style="position:absolute;left:0;text-align:left;margin-left:161.25pt;margin-top:420.6pt;width:316.75pt;height:30.2pt;z-index:251657216;mso-wrap-style:none" filled="f" stroked="f">
            <v:textbox style="mso-next-textbox:#_x0000_s1029;mso-fit-shape-to-text:t">
              <w:txbxContent>
                <w:p w:rsidR="009C366D" w:rsidRPr="00ED7E20" w:rsidRDefault="009C366D" w:rsidP="00752263">
                  <w:pPr>
                    <w:spacing w:after="0" w:line="240" w:lineRule="auto"/>
                    <w:ind w:firstLine="180"/>
                    <w:jc w:val="center"/>
                    <w:rPr>
                      <w:rFonts w:ascii="Times New Roman" w:hAnsi="Times New Roman"/>
                      <w:b/>
                      <w:bCs/>
                      <w:sz w:val="20"/>
                      <w:szCs w:val="20"/>
                    </w:rPr>
                  </w:pPr>
                  <w:r>
                    <w:rPr>
                      <w:rFonts w:ascii="Times New Roman" w:hAnsi="Times New Roman"/>
                      <w:b/>
                      <w:bCs/>
                      <w:sz w:val="20"/>
                      <w:szCs w:val="20"/>
                    </w:rPr>
                    <w:t>Figure 4.4-2</w:t>
                  </w:r>
                  <w:r w:rsidRPr="00ED7E20">
                    <w:rPr>
                      <w:rFonts w:ascii="Times New Roman" w:hAnsi="Times New Roman"/>
                      <w:b/>
                      <w:bCs/>
                      <w:sz w:val="20"/>
                      <w:szCs w:val="20"/>
                    </w:rPr>
                    <w:t xml:space="preserve"> Environmental Compliance Schedule (Land and Water)</w:t>
                  </w:r>
                </w:p>
                <w:p w:rsidR="009C366D" w:rsidRPr="006C41E7" w:rsidRDefault="009C366D" w:rsidP="00DE073A">
                  <w:pPr>
                    <w:tabs>
                      <w:tab w:val="left" w:pos="1260"/>
                    </w:tabs>
                    <w:spacing w:after="0" w:line="240" w:lineRule="auto"/>
                    <w:jc w:val="center"/>
                    <w:rPr>
                      <w:rFonts w:ascii="Times New Roman" w:hAnsi="Times New Roman"/>
                      <w:b/>
                      <w:bCs/>
                      <w:sz w:val="20"/>
                      <w:szCs w:val="20"/>
                    </w:rPr>
                  </w:pPr>
                  <w:r w:rsidRPr="00ED7E20">
                    <w:rPr>
                      <w:rFonts w:ascii="Times New Roman" w:hAnsi="Times New Roman"/>
                      <w:b/>
                      <w:bCs/>
                      <w:sz w:val="20"/>
                      <w:szCs w:val="20"/>
                    </w:rPr>
                    <w:t>20</w:t>
                  </w:r>
                  <w:r>
                    <w:rPr>
                      <w:rFonts w:ascii="Times New Roman" w:hAnsi="Times New Roman"/>
                      <w:b/>
                      <w:bCs/>
                      <w:sz w:val="20"/>
                      <w:szCs w:val="20"/>
                    </w:rPr>
                    <w:t>13</w:t>
                  </w:r>
                  <w:r w:rsidRPr="00ED7E20">
                    <w:rPr>
                      <w:rFonts w:ascii="Times New Roman" w:hAnsi="Times New Roman"/>
                      <w:b/>
                      <w:bCs/>
                      <w:sz w:val="20"/>
                      <w:szCs w:val="20"/>
                    </w:rPr>
                    <w:t xml:space="preserve"> Financial Plan for GPC</w:t>
                  </w:r>
                </w:p>
              </w:txbxContent>
            </v:textbox>
            <w10:wrap type="square"/>
          </v:shape>
        </w:pict>
      </w:r>
      <w:r w:rsidR="00BC3E61" w:rsidRPr="00EF3B7B">
        <w:rPr>
          <w:noProof/>
          <w:highlight w:val="yellow"/>
        </w:rPr>
        <w:drawing>
          <wp:inline distT="0" distB="0" distL="0" distR="0">
            <wp:extent cx="7602818" cy="5349240"/>
            <wp:effectExtent l="19050" t="19050" r="17182" b="22860"/>
            <wp:docPr id="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cstate="print"/>
                    <a:srcRect/>
                    <a:stretch>
                      <a:fillRect/>
                    </a:stretch>
                  </pic:blipFill>
                  <pic:spPr bwMode="auto">
                    <a:xfrm>
                      <a:off x="0" y="0"/>
                      <a:ext cx="7602818" cy="5349240"/>
                    </a:xfrm>
                    <a:prstGeom prst="rect">
                      <a:avLst/>
                    </a:prstGeom>
                    <a:noFill/>
                    <a:ln w="9525">
                      <a:solidFill>
                        <a:schemeClr val="tx1"/>
                      </a:solidFill>
                      <a:miter lim="800000"/>
                      <a:headEnd/>
                      <a:tailEnd/>
                    </a:ln>
                  </pic:spPr>
                </pic:pic>
              </a:graphicData>
            </a:graphic>
          </wp:inline>
        </w:drawing>
      </w:r>
    </w:p>
    <w:p w:rsidR="003416CA" w:rsidRDefault="00DE073A" w:rsidP="00752263">
      <w:pPr>
        <w:spacing w:after="0" w:line="240" w:lineRule="auto"/>
        <w:rPr>
          <w:rFonts w:ascii="Times New Roman" w:hAnsi="Times New Roman"/>
          <w:sz w:val="24"/>
          <w:szCs w:val="24"/>
        </w:rPr>
      </w:pPr>
      <w:r>
        <w:rPr>
          <w:rFonts w:ascii="Times New Roman" w:hAnsi="Times New Roman"/>
          <w:sz w:val="24"/>
          <w:szCs w:val="24"/>
        </w:rPr>
        <w:t xml:space="preserve">In </w:t>
      </w:r>
      <w:r w:rsidR="00A7509F">
        <w:rPr>
          <w:rFonts w:ascii="Times New Roman" w:hAnsi="Times New Roman"/>
          <w:sz w:val="24"/>
          <w:szCs w:val="24"/>
        </w:rPr>
        <w:t>summary, in developing the air compliance schedule</w:t>
      </w:r>
      <w:r>
        <w:rPr>
          <w:rFonts w:ascii="Times New Roman" w:hAnsi="Times New Roman"/>
          <w:sz w:val="24"/>
          <w:szCs w:val="24"/>
        </w:rPr>
        <w:t xml:space="preserve">, </w:t>
      </w:r>
      <w:r w:rsidR="0094110F" w:rsidRPr="00BE1739">
        <w:rPr>
          <w:rFonts w:ascii="Times New Roman" w:hAnsi="Times New Roman"/>
          <w:b/>
          <w:sz w:val="24"/>
          <w:szCs w:val="24"/>
        </w:rPr>
        <w:t>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w:t>
      </w:r>
    </w:p>
    <w:p w:rsidR="00535D21" w:rsidRDefault="00535D21" w:rsidP="00752263">
      <w:pPr>
        <w:spacing w:after="0" w:line="240" w:lineRule="auto"/>
        <w:rPr>
          <w:rFonts w:ascii="Times New Roman" w:hAnsi="Times New Roman"/>
          <w:sz w:val="24"/>
          <w:szCs w:val="24"/>
        </w:rPr>
      </w:pPr>
    </w:p>
    <w:p w:rsidR="0066082C" w:rsidRDefault="00A7509F" w:rsidP="00752263">
      <w:pPr>
        <w:spacing w:after="0" w:line="240" w:lineRule="auto"/>
        <w:rPr>
          <w:rFonts w:ascii="Times New Roman" w:hAnsi="Times New Roman"/>
          <w:sz w:val="24"/>
          <w:szCs w:val="24"/>
        </w:rPr>
      </w:pPr>
      <w:r w:rsidRPr="00155560">
        <w:rPr>
          <w:rFonts w:ascii="Times New Roman" w:hAnsi="Times New Roman"/>
          <w:sz w:val="24"/>
          <w:szCs w:val="24"/>
        </w:rPr>
        <w:t>For t</w:t>
      </w:r>
      <w:r w:rsidR="00DE073A" w:rsidRPr="00155560">
        <w:rPr>
          <w:rFonts w:ascii="Times New Roman" w:hAnsi="Times New Roman"/>
          <w:sz w:val="24"/>
          <w:szCs w:val="24"/>
        </w:rPr>
        <w:t xml:space="preserve">he land and water compliance schedule, </w:t>
      </w:r>
      <w:r w:rsidR="0094110F" w:rsidRPr="00BE1739">
        <w:rPr>
          <w:rFonts w:ascii="Times New Roman" w:hAnsi="Times New Roman"/>
          <w:b/>
          <w:sz w:val="24"/>
          <w:szCs w:val="24"/>
        </w:rPr>
        <w:t xml:space="preserve">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REDACTED </w:t>
      </w:r>
    </w:p>
    <w:p w:rsidR="0066082C" w:rsidRDefault="0066082C" w:rsidP="00752263">
      <w:pPr>
        <w:spacing w:after="0" w:line="240" w:lineRule="auto"/>
        <w:rPr>
          <w:rFonts w:ascii="Times New Roman" w:hAnsi="Times New Roman"/>
          <w:sz w:val="24"/>
          <w:szCs w:val="24"/>
        </w:rPr>
      </w:pPr>
    </w:p>
    <w:p w:rsidR="00C2318B" w:rsidRDefault="0094110F" w:rsidP="00C2318B">
      <w:pPr>
        <w:spacing w:after="0" w:line="240" w:lineRule="auto"/>
        <w:rPr>
          <w:rFonts w:ascii="Times New Roman" w:hAnsi="Times New Roman"/>
          <w:sz w:val="24"/>
          <w:szCs w:val="24"/>
        </w:rPr>
      </w:pPr>
      <w:r w:rsidRPr="00BE1739">
        <w:rPr>
          <w:rFonts w:ascii="Times New Roman" w:hAnsi="Times New Roman"/>
          <w:b/>
          <w:sz w:val="24"/>
          <w:szCs w:val="24"/>
        </w:rPr>
        <w:t xml:space="preserve">REDACTED REDACTED REDACTED REDACTED REDACTED REDACTED REDACTED REDACTED REDACTED </w:t>
      </w:r>
      <w:r w:rsidR="00DE073A">
        <w:rPr>
          <w:rFonts w:ascii="Times New Roman" w:hAnsi="Times New Roman"/>
          <w:sz w:val="24"/>
          <w:szCs w:val="24"/>
        </w:rPr>
        <w:t>I</w:t>
      </w:r>
      <w:r w:rsidR="00DE073A" w:rsidRPr="00ED7E20">
        <w:rPr>
          <w:rFonts w:ascii="Times New Roman" w:hAnsi="Times New Roman"/>
          <w:sz w:val="24"/>
          <w:szCs w:val="24"/>
        </w:rPr>
        <w:t xml:space="preserve">n addition to those projects included above in the current </w:t>
      </w:r>
      <w:r w:rsidR="0066082C">
        <w:rPr>
          <w:rFonts w:ascii="Times New Roman" w:hAnsi="Times New Roman"/>
          <w:sz w:val="24"/>
          <w:szCs w:val="24"/>
        </w:rPr>
        <w:t xml:space="preserve">air and </w:t>
      </w:r>
      <w:r w:rsidR="00DE073A" w:rsidRPr="00ED7E20">
        <w:rPr>
          <w:rFonts w:ascii="Times New Roman" w:hAnsi="Times New Roman"/>
          <w:sz w:val="24"/>
          <w:szCs w:val="24"/>
        </w:rPr>
        <w:t>land and water schedule</w:t>
      </w:r>
      <w:r w:rsidR="0066082C">
        <w:rPr>
          <w:rFonts w:ascii="Times New Roman" w:hAnsi="Times New Roman"/>
          <w:sz w:val="24"/>
          <w:szCs w:val="24"/>
        </w:rPr>
        <w:t>s</w:t>
      </w:r>
      <w:r w:rsidR="00DE073A" w:rsidRPr="00ED7E20">
        <w:rPr>
          <w:rFonts w:ascii="Times New Roman" w:hAnsi="Times New Roman"/>
          <w:sz w:val="24"/>
          <w:szCs w:val="24"/>
        </w:rPr>
        <w:t>, additional compliance obligations are possible as a result of new or revised future rules.</w:t>
      </w:r>
      <w:r w:rsidR="000B6ED7">
        <w:rPr>
          <w:rFonts w:ascii="Times New Roman" w:hAnsi="Times New Roman"/>
          <w:sz w:val="24"/>
          <w:szCs w:val="24"/>
        </w:rPr>
        <w:t xml:space="preserve">  </w:t>
      </w:r>
    </w:p>
    <w:p w:rsidR="00752263" w:rsidRPr="00ED7E20" w:rsidRDefault="00752263" w:rsidP="00752263">
      <w:pPr>
        <w:spacing w:after="0" w:line="240" w:lineRule="auto"/>
        <w:rPr>
          <w:rFonts w:ascii="Times New Roman" w:hAnsi="Times New Roman"/>
          <w:sz w:val="24"/>
          <w:szCs w:val="24"/>
        </w:rPr>
      </w:pPr>
    </w:p>
    <w:p w:rsidR="00752263" w:rsidRPr="00ED7E20" w:rsidRDefault="00752263" w:rsidP="00752263">
      <w:pPr>
        <w:autoSpaceDE w:val="0"/>
        <w:autoSpaceDN w:val="0"/>
        <w:adjustRightInd w:val="0"/>
        <w:spacing w:after="0" w:line="240" w:lineRule="auto"/>
        <w:jc w:val="both"/>
        <w:outlineLvl w:val="1"/>
        <w:rPr>
          <w:rFonts w:ascii="Times New Roman" w:hAnsi="Times New Roman"/>
          <w:b/>
          <w:bCs/>
          <w:color w:val="000080"/>
          <w:sz w:val="24"/>
          <w:szCs w:val="24"/>
        </w:rPr>
      </w:pPr>
      <w:bookmarkStart w:id="35" w:name="_Toc347314859"/>
      <w:r>
        <w:rPr>
          <w:rFonts w:ascii="Times New Roman" w:hAnsi="Times New Roman"/>
          <w:b/>
          <w:bCs/>
          <w:color w:val="000080"/>
          <w:sz w:val="24"/>
          <w:szCs w:val="24"/>
        </w:rPr>
        <w:t>4.5</w:t>
      </w:r>
      <w:r>
        <w:rPr>
          <w:rFonts w:ascii="Times New Roman" w:hAnsi="Times New Roman"/>
          <w:b/>
          <w:bCs/>
          <w:color w:val="000080"/>
          <w:sz w:val="24"/>
          <w:szCs w:val="24"/>
        </w:rPr>
        <w:tab/>
      </w:r>
      <w:r w:rsidRPr="00ED7E20">
        <w:rPr>
          <w:rFonts w:ascii="Times New Roman" w:hAnsi="Times New Roman"/>
          <w:b/>
          <w:bCs/>
          <w:color w:val="000080"/>
          <w:sz w:val="24"/>
          <w:szCs w:val="24"/>
        </w:rPr>
        <w:t>Financial Summary</w:t>
      </w:r>
      <w:bookmarkEnd w:id="35"/>
    </w:p>
    <w:p w:rsidR="00752263" w:rsidRPr="00ED7E20" w:rsidRDefault="00752263" w:rsidP="00752263">
      <w:pPr>
        <w:tabs>
          <w:tab w:val="left" w:pos="720"/>
          <w:tab w:val="left" w:pos="1080"/>
        </w:tabs>
        <w:spacing w:after="0" w:line="240" w:lineRule="auto"/>
        <w:rPr>
          <w:rFonts w:ascii="Times New Roman" w:hAnsi="Times New Roman"/>
          <w:bCs/>
        </w:rPr>
      </w:pPr>
    </w:p>
    <w:p w:rsidR="00880C58" w:rsidRDefault="00752263" w:rsidP="00752263">
      <w:pPr>
        <w:autoSpaceDE w:val="0"/>
        <w:autoSpaceDN w:val="0"/>
        <w:adjustRightInd w:val="0"/>
        <w:spacing w:after="0" w:line="240" w:lineRule="auto"/>
        <w:rPr>
          <w:rFonts w:ascii="Times New Roman" w:hAnsi="Times New Roman"/>
          <w:sz w:val="24"/>
          <w:szCs w:val="24"/>
        </w:rPr>
      </w:pPr>
      <w:r w:rsidRPr="00ED7E20">
        <w:rPr>
          <w:rFonts w:ascii="Times New Roman" w:hAnsi="Times New Roman"/>
          <w:sz w:val="24"/>
          <w:szCs w:val="24"/>
        </w:rPr>
        <w:t>Through 201</w:t>
      </w:r>
      <w:r w:rsidR="00880C58">
        <w:rPr>
          <w:rFonts w:ascii="Times New Roman" w:hAnsi="Times New Roman"/>
          <w:sz w:val="24"/>
          <w:szCs w:val="24"/>
        </w:rPr>
        <w:t>1</w:t>
      </w:r>
      <w:r w:rsidRPr="00ED7E20">
        <w:rPr>
          <w:rFonts w:ascii="Times New Roman" w:hAnsi="Times New Roman"/>
          <w:sz w:val="24"/>
          <w:szCs w:val="24"/>
        </w:rPr>
        <w:t>, GPC invested approximately $3.</w:t>
      </w:r>
      <w:r w:rsidR="00880C58">
        <w:rPr>
          <w:rFonts w:ascii="Times New Roman" w:hAnsi="Times New Roman"/>
          <w:sz w:val="24"/>
          <w:szCs w:val="24"/>
        </w:rPr>
        <w:t>8</w:t>
      </w:r>
      <w:r w:rsidRPr="00ED7E20">
        <w:rPr>
          <w:rFonts w:ascii="Times New Roman" w:hAnsi="Times New Roman"/>
          <w:sz w:val="24"/>
          <w:szCs w:val="24"/>
        </w:rPr>
        <w:t xml:space="preserve"> billion in capital projects to comply with these requirements, with annual totals of $</w:t>
      </w:r>
      <w:r w:rsidR="00880C58">
        <w:rPr>
          <w:rFonts w:ascii="Times New Roman" w:hAnsi="Times New Roman"/>
          <w:sz w:val="24"/>
          <w:szCs w:val="24"/>
        </w:rPr>
        <w:t>101</w:t>
      </w:r>
      <w:r w:rsidRPr="00ED7E20">
        <w:rPr>
          <w:rFonts w:ascii="Times New Roman" w:hAnsi="Times New Roman"/>
          <w:sz w:val="24"/>
          <w:szCs w:val="24"/>
        </w:rPr>
        <w:t xml:space="preserve"> million, $</w:t>
      </w:r>
      <w:r w:rsidR="00880C58">
        <w:rPr>
          <w:rFonts w:ascii="Times New Roman" w:hAnsi="Times New Roman"/>
          <w:sz w:val="24"/>
          <w:szCs w:val="24"/>
        </w:rPr>
        <w:t>217</w:t>
      </w:r>
      <w:r w:rsidRPr="00ED7E20">
        <w:rPr>
          <w:rFonts w:ascii="Times New Roman" w:hAnsi="Times New Roman"/>
          <w:sz w:val="24"/>
          <w:szCs w:val="24"/>
        </w:rPr>
        <w:t xml:space="preserve"> million, and $</w:t>
      </w:r>
      <w:r w:rsidR="00880C58">
        <w:rPr>
          <w:rFonts w:ascii="Times New Roman" w:hAnsi="Times New Roman"/>
          <w:sz w:val="24"/>
          <w:szCs w:val="24"/>
        </w:rPr>
        <w:t>440</w:t>
      </w:r>
      <w:r w:rsidRPr="00ED7E20">
        <w:rPr>
          <w:rFonts w:ascii="Times New Roman" w:hAnsi="Times New Roman"/>
          <w:sz w:val="24"/>
          <w:szCs w:val="24"/>
        </w:rPr>
        <w:t xml:space="preserve"> million for 201</w:t>
      </w:r>
      <w:r w:rsidR="00880C58">
        <w:rPr>
          <w:rFonts w:ascii="Times New Roman" w:hAnsi="Times New Roman"/>
          <w:sz w:val="24"/>
          <w:szCs w:val="24"/>
        </w:rPr>
        <w:t>1</w:t>
      </w:r>
      <w:r w:rsidRPr="00ED7E20">
        <w:rPr>
          <w:rFonts w:ascii="Times New Roman" w:hAnsi="Times New Roman"/>
          <w:sz w:val="24"/>
          <w:szCs w:val="24"/>
        </w:rPr>
        <w:t>, 20</w:t>
      </w:r>
      <w:r w:rsidR="00880C58">
        <w:rPr>
          <w:rFonts w:ascii="Times New Roman" w:hAnsi="Times New Roman"/>
          <w:sz w:val="24"/>
          <w:szCs w:val="24"/>
        </w:rPr>
        <w:t>10</w:t>
      </w:r>
      <w:r w:rsidRPr="00ED7E20">
        <w:rPr>
          <w:rFonts w:ascii="Times New Roman" w:hAnsi="Times New Roman"/>
          <w:sz w:val="24"/>
          <w:szCs w:val="24"/>
        </w:rPr>
        <w:t>, and 200</w:t>
      </w:r>
      <w:r w:rsidR="00880C58">
        <w:rPr>
          <w:rFonts w:ascii="Times New Roman" w:hAnsi="Times New Roman"/>
          <w:sz w:val="24"/>
          <w:szCs w:val="24"/>
        </w:rPr>
        <w:t>9</w:t>
      </w:r>
      <w:r w:rsidRPr="00ED7E20">
        <w:rPr>
          <w:rFonts w:ascii="Times New Roman" w:hAnsi="Times New Roman"/>
          <w:sz w:val="24"/>
          <w:szCs w:val="24"/>
        </w:rPr>
        <w:t>, respectively.  GPC expects capital expenditures to ensure compliance with existing statutes and regulations will be an additional $</w:t>
      </w:r>
      <w:r w:rsidR="00880C58">
        <w:rPr>
          <w:rFonts w:ascii="Times New Roman" w:hAnsi="Times New Roman"/>
          <w:sz w:val="24"/>
          <w:szCs w:val="24"/>
        </w:rPr>
        <w:t>237</w:t>
      </w:r>
      <w:r w:rsidRPr="00ED7E20">
        <w:rPr>
          <w:rFonts w:ascii="Times New Roman" w:hAnsi="Times New Roman"/>
          <w:sz w:val="24"/>
          <w:szCs w:val="24"/>
        </w:rPr>
        <w:t xml:space="preserve"> million, $</w:t>
      </w:r>
      <w:r w:rsidR="00880C58">
        <w:rPr>
          <w:rFonts w:ascii="Times New Roman" w:hAnsi="Times New Roman"/>
          <w:sz w:val="24"/>
          <w:szCs w:val="24"/>
        </w:rPr>
        <w:t>249</w:t>
      </w:r>
      <w:r w:rsidRPr="00ED7E20">
        <w:rPr>
          <w:rFonts w:ascii="Times New Roman" w:hAnsi="Times New Roman"/>
          <w:sz w:val="24"/>
          <w:szCs w:val="24"/>
        </w:rPr>
        <w:t xml:space="preserve"> million, and $</w:t>
      </w:r>
      <w:r w:rsidR="00880C58">
        <w:rPr>
          <w:rFonts w:ascii="Times New Roman" w:hAnsi="Times New Roman"/>
          <w:sz w:val="24"/>
          <w:szCs w:val="24"/>
        </w:rPr>
        <w:t>228</w:t>
      </w:r>
      <w:r w:rsidRPr="00ED7E20">
        <w:rPr>
          <w:rFonts w:ascii="Times New Roman" w:hAnsi="Times New Roman"/>
          <w:sz w:val="24"/>
          <w:szCs w:val="24"/>
        </w:rPr>
        <w:t xml:space="preserve"> million for 201</w:t>
      </w:r>
      <w:r w:rsidR="0009798F">
        <w:rPr>
          <w:rFonts w:ascii="Times New Roman" w:hAnsi="Times New Roman"/>
          <w:sz w:val="24"/>
          <w:szCs w:val="24"/>
        </w:rPr>
        <w:t>2</w:t>
      </w:r>
      <w:r w:rsidRPr="00ED7E20">
        <w:rPr>
          <w:rFonts w:ascii="Times New Roman" w:hAnsi="Times New Roman"/>
          <w:sz w:val="24"/>
          <w:szCs w:val="24"/>
        </w:rPr>
        <w:t>, 201</w:t>
      </w:r>
      <w:r w:rsidR="0009798F">
        <w:rPr>
          <w:rFonts w:ascii="Times New Roman" w:hAnsi="Times New Roman"/>
          <w:sz w:val="24"/>
          <w:szCs w:val="24"/>
        </w:rPr>
        <w:t>3</w:t>
      </w:r>
      <w:r w:rsidRPr="00ED7E20">
        <w:rPr>
          <w:rFonts w:ascii="Times New Roman" w:hAnsi="Times New Roman"/>
          <w:sz w:val="24"/>
          <w:szCs w:val="24"/>
        </w:rPr>
        <w:t>, and 201</w:t>
      </w:r>
      <w:r w:rsidR="0009798F">
        <w:rPr>
          <w:rFonts w:ascii="Times New Roman" w:hAnsi="Times New Roman"/>
          <w:sz w:val="24"/>
          <w:szCs w:val="24"/>
        </w:rPr>
        <w:t>4</w:t>
      </w:r>
      <w:r w:rsidRPr="00ED7E20">
        <w:rPr>
          <w:rFonts w:ascii="Times New Roman" w:hAnsi="Times New Roman"/>
          <w:sz w:val="24"/>
          <w:szCs w:val="24"/>
        </w:rPr>
        <w:t xml:space="preserve">, respectively.  </w:t>
      </w:r>
    </w:p>
    <w:p w:rsidR="00BD2605" w:rsidRDefault="00BD2605" w:rsidP="00752263">
      <w:pPr>
        <w:autoSpaceDE w:val="0"/>
        <w:autoSpaceDN w:val="0"/>
        <w:adjustRightInd w:val="0"/>
        <w:spacing w:after="0" w:line="240" w:lineRule="auto"/>
        <w:rPr>
          <w:rFonts w:ascii="Times New Roman" w:hAnsi="Times New Roman"/>
          <w:sz w:val="24"/>
          <w:szCs w:val="24"/>
        </w:rPr>
      </w:pPr>
    </w:p>
    <w:p w:rsidR="00752263" w:rsidRPr="00ED7E20" w:rsidRDefault="0023784C" w:rsidP="00752263">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Georgia Power’s MATS estimated impact is </w:t>
      </w:r>
      <w:r w:rsidRPr="006D303E">
        <w:rPr>
          <w:rFonts w:ascii="Times New Roman" w:hAnsi="Times New Roman"/>
          <w:sz w:val="24"/>
          <w:szCs w:val="24"/>
        </w:rPr>
        <w:t xml:space="preserve">$440 million in 2014 (in addition to $247 million included in base environmental capital </w:t>
      </w:r>
      <w:r w:rsidR="00C2318B">
        <w:rPr>
          <w:rFonts w:ascii="Times New Roman" w:hAnsi="Times New Roman"/>
          <w:sz w:val="24"/>
          <w:szCs w:val="24"/>
        </w:rPr>
        <w:t xml:space="preserve">in 2012 </w:t>
      </w:r>
      <w:r w:rsidR="00BD2605">
        <w:rPr>
          <w:rFonts w:ascii="Times New Roman" w:hAnsi="Times New Roman"/>
          <w:sz w:val="24"/>
          <w:szCs w:val="24"/>
        </w:rPr>
        <w:t>and</w:t>
      </w:r>
      <w:r w:rsidR="00C2318B">
        <w:rPr>
          <w:rFonts w:ascii="Times New Roman" w:hAnsi="Times New Roman"/>
          <w:sz w:val="24"/>
          <w:szCs w:val="24"/>
        </w:rPr>
        <w:t xml:space="preserve"> 2013</w:t>
      </w:r>
      <w:r w:rsidR="00BD2605">
        <w:rPr>
          <w:rFonts w:ascii="Times New Roman" w:hAnsi="Times New Roman"/>
          <w:sz w:val="24"/>
          <w:szCs w:val="24"/>
        </w:rPr>
        <w:t xml:space="preserve"> </w:t>
      </w:r>
      <w:r w:rsidRPr="006D303E">
        <w:rPr>
          <w:rFonts w:ascii="Times New Roman" w:hAnsi="Times New Roman"/>
          <w:sz w:val="24"/>
          <w:szCs w:val="24"/>
        </w:rPr>
        <w:t xml:space="preserve">disclosed in the Form 10-K). Georgia Power’s </w:t>
      </w:r>
      <w:r w:rsidR="00C2318B">
        <w:rPr>
          <w:rFonts w:ascii="Times New Roman" w:hAnsi="Times New Roman"/>
          <w:sz w:val="24"/>
          <w:szCs w:val="24"/>
        </w:rPr>
        <w:t xml:space="preserve">impact from </w:t>
      </w:r>
      <w:r w:rsidRPr="006D303E">
        <w:rPr>
          <w:rFonts w:ascii="Times New Roman" w:hAnsi="Times New Roman"/>
          <w:sz w:val="24"/>
          <w:szCs w:val="24"/>
        </w:rPr>
        <w:t>the proposed water and coal combustion byproduct regulation could require an additional $5 million in 2012, $55 million in 2013, and $190 million in 2014.</w:t>
      </w:r>
      <w:r>
        <w:rPr>
          <w:rFonts w:ascii="Times New Roman" w:hAnsi="Times New Roman"/>
          <w:color w:val="0000FF"/>
          <w:sz w:val="24"/>
          <w:szCs w:val="24"/>
        </w:rPr>
        <w:t> </w:t>
      </w:r>
      <w:r w:rsidR="00752263" w:rsidRPr="00ED7E20">
        <w:rPr>
          <w:rFonts w:ascii="Times New Roman" w:hAnsi="Times New Roman"/>
          <w:sz w:val="24"/>
          <w:szCs w:val="24"/>
        </w:rPr>
        <w:t>The Company’s compliance strategy, including potential unit retirement and replacement decisions, and future environmental capital expenditures will be affected by the final requirements of any new or revised environmental statutes and regulations that are enacted, including the proposed environmental legislation and regulations described below; the cost, availability, and existing inventory of emissions allowances; and the Company’s fuel mix.</w:t>
      </w:r>
    </w:p>
    <w:p w:rsidR="00752263" w:rsidRPr="00ED7E20" w:rsidRDefault="00752263" w:rsidP="00752263">
      <w:pPr>
        <w:autoSpaceDE w:val="0"/>
        <w:autoSpaceDN w:val="0"/>
        <w:adjustRightInd w:val="0"/>
        <w:spacing w:after="0" w:line="240" w:lineRule="auto"/>
        <w:rPr>
          <w:rFonts w:ascii="Times New Roman" w:hAnsi="Times New Roman"/>
          <w:sz w:val="24"/>
          <w:szCs w:val="24"/>
        </w:rPr>
      </w:pPr>
    </w:p>
    <w:p w:rsidR="00752263" w:rsidRPr="00ED7E20" w:rsidRDefault="00C2318B" w:rsidP="00752263">
      <w:pPr>
        <w:tabs>
          <w:tab w:val="left" w:pos="720"/>
          <w:tab w:val="left" w:pos="1428"/>
          <w:tab w:val="left" w:pos="4716"/>
          <w:tab w:val="left" w:pos="4896"/>
          <w:tab w:val="left" w:pos="6718"/>
        </w:tabs>
        <w:suppressAutoHyphens/>
        <w:spacing w:after="0" w:line="240" w:lineRule="auto"/>
        <w:rPr>
          <w:rFonts w:ascii="Times New Roman" w:hAnsi="Times New Roman"/>
          <w:sz w:val="24"/>
          <w:szCs w:val="24"/>
        </w:rPr>
      </w:pPr>
      <w:r>
        <w:rPr>
          <w:rFonts w:ascii="Times New Roman" w:hAnsi="Times New Roman"/>
          <w:sz w:val="24"/>
          <w:szCs w:val="24"/>
        </w:rPr>
        <w:t xml:space="preserve">In addition to capital and O&amp;M financial impacts from the installation of environmental controls, </w:t>
      </w:r>
      <w:r w:rsidR="00752263" w:rsidRPr="00ED7E20">
        <w:rPr>
          <w:rFonts w:ascii="Times New Roman" w:hAnsi="Times New Roman"/>
          <w:sz w:val="24"/>
          <w:szCs w:val="24"/>
        </w:rPr>
        <w:t xml:space="preserve">Title IV of the 1990 Clean Air Act </w:t>
      </w:r>
      <w:r>
        <w:rPr>
          <w:rFonts w:ascii="Times New Roman" w:hAnsi="Times New Roman"/>
          <w:sz w:val="24"/>
          <w:szCs w:val="24"/>
        </w:rPr>
        <w:t xml:space="preserve">and CAIR </w:t>
      </w:r>
      <w:r w:rsidR="00ED2B14">
        <w:rPr>
          <w:rFonts w:ascii="Times New Roman" w:hAnsi="Times New Roman"/>
          <w:sz w:val="24"/>
          <w:szCs w:val="24"/>
        </w:rPr>
        <w:t xml:space="preserve">both can </w:t>
      </w:r>
      <w:r>
        <w:rPr>
          <w:rFonts w:ascii="Times New Roman" w:hAnsi="Times New Roman"/>
          <w:sz w:val="24"/>
          <w:szCs w:val="24"/>
        </w:rPr>
        <w:t>financially impact the Company through SO</w:t>
      </w:r>
      <w:r w:rsidR="00EA4B45" w:rsidRPr="00EA4B45">
        <w:rPr>
          <w:rFonts w:ascii="Times New Roman" w:hAnsi="Times New Roman"/>
          <w:sz w:val="24"/>
          <w:szCs w:val="24"/>
          <w:vertAlign w:val="subscript"/>
        </w:rPr>
        <w:t>2</w:t>
      </w:r>
      <w:r>
        <w:rPr>
          <w:rFonts w:ascii="Times New Roman" w:hAnsi="Times New Roman"/>
          <w:sz w:val="24"/>
          <w:szCs w:val="24"/>
        </w:rPr>
        <w:t xml:space="preserve"> and NOx emission allowances.  </w:t>
      </w:r>
      <w:r w:rsidR="00752263" w:rsidRPr="00ED7E20">
        <w:rPr>
          <w:rFonts w:ascii="Times New Roman" w:hAnsi="Times New Roman"/>
          <w:sz w:val="24"/>
          <w:szCs w:val="24"/>
        </w:rPr>
        <w:t xml:space="preserve">The company’s allowance purchase strategy is discussed below. </w:t>
      </w:r>
    </w:p>
    <w:p w:rsidR="00752263" w:rsidRDefault="00752263" w:rsidP="00752263">
      <w:pPr>
        <w:spacing w:after="0" w:line="240" w:lineRule="auto"/>
        <w:outlineLvl w:val="2"/>
        <w:rPr>
          <w:rFonts w:ascii="Times New Roman" w:hAnsi="Times New Roman"/>
          <w:b/>
          <w:bCs/>
          <w:color w:val="000080"/>
          <w:sz w:val="24"/>
          <w:szCs w:val="24"/>
        </w:rPr>
      </w:pPr>
    </w:p>
    <w:p w:rsidR="00752263" w:rsidRPr="00ED7E20" w:rsidRDefault="00752263" w:rsidP="00111EC6">
      <w:pPr>
        <w:spacing w:after="0" w:line="240" w:lineRule="auto"/>
        <w:rPr>
          <w:rFonts w:ascii="Times New Roman" w:hAnsi="Times New Roman"/>
          <w:b/>
          <w:bCs/>
          <w:color w:val="000080"/>
          <w:sz w:val="24"/>
          <w:szCs w:val="24"/>
          <w:u w:val="single"/>
        </w:rPr>
      </w:pPr>
      <w:bookmarkStart w:id="36" w:name="_Toc345263818"/>
      <w:r w:rsidRPr="00E35665">
        <w:rPr>
          <w:rFonts w:ascii="Times New Roman" w:hAnsi="Times New Roman"/>
          <w:b/>
          <w:bCs/>
          <w:color w:val="000080"/>
          <w:sz w:val="24"/>
          <w:szCs w:val="24"/>
        </w:rPr>
        <w:t>4.5.1</w:t>
      </w:r>
      <w:r w:rsidRPr="00E35665">
        <w:rPr>
          <w:rFonts w:ascii="Times New Roman" w:hAnsi="Times New Roman"/>
          <w:b/>
          <w:bCs/>
          <w:color w:val="000080"/>
          <w:sz w:val="24"/>
          <w:szCs w:val="24"/>
        </w:rPr>
        <w:tab/>
      </w:r>
      <w:r w:rsidRPr="00FE37FC">
        <w:rPr>
          <w:rFonts w:ascii="Times New Roman" w:hAnsi="Times New Roman"/>
          <w:b/>
          <w:bCs/>
          <w:color w:val="000080"/>
          <w:sz w:val="24"/>
          <w:szCs w:val="24"/>
        </w:rPr>
        <w:t>Allowance Strategy</w:t>
      </w:r>
      <w:bookmarkEnd w:id="36"/>
    </w:p>
    <w:p w:rsidR="00752263" w:rsidRPr="00ED7E20" w:rsidRDefault="00752263" w:rsidP="00752263">
      <w:pPr>
        <w:keepNext/>
        <w:tabs>
          <w:tab w:val="left" w:pos="720"/>
          <w:tab w:val="left" w:pos="1428"/>
          <w:tab w:val="left" w:pos="4716"/>
          <w:tab w:val="left" w:pos="4896"/>
          <w:tab w:val="left" w:pos="6718"/>
        </w:tabs>
        <w:suppressAutoHyphens/>
        <w:spacing w:after="0" w:line="240" w:lineRule="auto"/>
        <w:ind w:right="-180"/>
        <w:rPr>
          <w:rFonts w:ascii="Times New Roman" w:hAnsi="Times New Roman"/>
          <w:sz w:val="24"/>
          <w:szCs w:val="24"/>
        </w:rPr>
      </w:pPr>
      <w:r w:rsidRPr="00ED7E20">
        <w:rPr>
          <w:rFonts w:ascii="Times New Roman" w:hAnsi="Times New Roman"/>
          <w:sz w:val="24"/>
          <w:szCs w:val="24"/>
        </w:rPr>
        <w:t xml:space="preserve">Southern Company and GPC manage allowance resources by balancing compliance with value.  It is imperative to ensure sufficient allowances are available and allocated to the correct generating unit accounts to satisfy the requirements of the CAAA and CAIR.  The planning process outputs projected allowance needs over time for GPC.  However, the volume of allowances surrendered for compliance will depend upon the individual unit operations realized within that compliance year.  Southern Company, functioning as a centrally dispatched system, has a mechanism in place to track unit operations.  At the end of a compliance period, any reallocation of allowances between or among units </w:t>
      </w:r>
      <w:r w:rsidRPr="00ED7E20">
        <w:rPr>
          <w:rFonts w:ascii="Times New Roman" w:hAnsi="Times New Roman"/>
          <w:bCs/>
          <w:sz w:val="24"/>
          <w:szCs w:val="24"/>
        </w:rPr>
        <w:t>only</w:t>
      </w:r>
      <w:r w:rsidRPr="00ED7E20">
        <w:rPr>
          <w:rFonts w:ascii="Times New Roman" w:hAnsi="Times New Roman"/>
          <w:sz w:val="24"/>
          <w:szCs w:val="24"/>
        </w:rPr>
        <w:t xml:space="preserve"> takes place at the operating company level.</w:t>
      </w:r>
    </w:p>
    <w:p w:rsidR="00752263" w:rsidRPr="00ED7E20" w:rsidRDefault="00752263" w:rsidP="00752263">
      <w:pPr>
        <w:tabs>
          <w:tab w:val="left" w:pos="720"/>
          <w:tab w:val="left" w:pos="1428"/>
          <w:tab w:val="left" w:pos="4716"/>
          <w:tab w:val="left" w:pos="4896"/>
          <w:tab w:val="left" w:pos="6718"/>
        </w:tabs>
        <w:suppressAutoHyphens/>
        <w:spacing w:after="0" w:line="240" w:lineRule="auto"/>
        <w:rPr>
          <w:rFonts w:ascii="Times New Roman" w:hAnsi="Times New Roman"/>
          <w:sz w:val="24"/>
          <w:szCs w:val="24"/>
        </w:rPr>
      </w:pPr>
    </w:p>
    <w:p w:rsidR="00752263" w:rsidRPr="00ED7E20" w:rsidRDefault="00752263" w:rsidP="00752263">
      <w:pPr>
        <w:tabs>
          <w:tab w:val="left" w:pos="720"/>
          <w:tab w:val="left" w:pos="1428"/>
          <w:tab w:val="left" w:pos="4716"/>
          <w:tab w:val="left" w:pos="4896"/>
          <w:tab w:val="left" w:pos="6718"/>
        </w:tabs>
        <w:suppressAutoHyphens/>
        <w:spacing w:after="0" w:line="240" w:lineRule="auto"/>
        <w:rPr>
          <w:rFonts w:ascii="Times New Roman" w:hAnsi="Times New Roman"/>
          <w:sz w:val="24"/>
          <w:szCs w:val="24"/>
        </w:rPr>
      </w:pPr>
      <w:r w:rsidRPr="00ED7E20">
        <w:rPr>
          <w:rFonts w:ascii="Times New Roman" w:hAnsi="Times New Roman"/>
          <w:sz w:val="24"/>
          <w:szCs w:val="24"/>
        </w:rPr>
        <w:t xml:space="preserve">Value management focuses on optimizing the use of the allowances available to </w:t>
      </w:r>
      <w:r w:rsidR="00C2318B">
        <w:rPr>
          <w:rFonts w:ascii="Times New Roman" w:hAnsi="Times New Roman"/>
          <w:sz w:val="24"/>
          <w:szCs w:val="24"/>
        </w:rPr>
        <w:t>Georgia Power</w:t>
      </w:r>
      <w:r w:rsidRPr="00ED7E20">
        <w:rPr>
          <w:rFonts w:ascii="Times New Roman" w:hAnsi="Times New Roman"/>
          <w:sz w:val="24"/>
          <w:szCs w:val="24"/>
        </w:rPr>
        <w:t xml:space="preserve">.  The goal of value management is to plan for the ultimate disposition of allowances in a manner that will serve in the best interest of GPC’s customers.  </w:t>
      </w:r>
    </w:p>
    <w:p w:rsidR="00752263" w:rsidRPr="00ED7E20" w:rsidRDefault="00752263" w:rsidP="00752263">
      <w:pPr>
        <w:tabs>
          <w:tab w:val="left" w:pos="720"/>
        </w:tabs>
        <w:spacing w:after="0" w:line="240" w:lineRule="auto"/>
        <w:rPr>
          <w:rFonts w:ascii="Times New Roman" w:hAnsi="Times New Roman"/>
          <w:sz w:val="24"/>
          <w:szCs w:val="24"/>
        </w:rPr>
      </w:pPr>
    </w:p>
    <w:p w:rsidR="00752263" w:rsidRPr="00ED7E20" w:rsidRDefault="00752263" w:rsidP="00752263">
      <w:pPr>
        <w:keepNext/>
        <w:autoSpaceDE w:val="0"/>
        <w:autoSpaceDN w:val="0"/>
        <w:adjustRightInd w:val="0"/>
        <w:spacing w:after="0" w:line="240" w:lineRule="auto"/>
        <w:jc w:val="both"/>
        <w:outlineLvl w:val="1"/>
        <w:rPr>
          <w:rFonts w:ascii="Times New Roman" w:hAnsi="Times New Roman"/>
          <w:b/>
          <w:bCs/>
          <w:color w:val="000080"/>
          <w:sz w:val="24"/>
          <w:szCs w:val="24"/>
        </w:rPr>
      </w:pPr>
      <w:bookmarkStart w:id="37" w:name="_Toc347314860"/>
      <w:r>
        <w:rPr>
          <w:rFonts w:ascii="Times New Roman" w:hAnsi="Times New Roman"/>
          <w:b/>
          <w:bCs/>
          <w:color w:val="000080"/>
          <w:sz w:val="24"/>
          <w:szCs w:val="24"/>
        </w:rPr>
        <w:t>4.6</w:t>
      </w:r>
      <w:r>
        <w:rPr>
          <w:rFonts w:ascii="Times New Roman" w:hAnsi="Times New Roman"/>
          <w:b/>
          <w:bCs/>
          <w:color w:val="000080"/>
          <w:sz w:val="24"/>
          <w:szCs w:val="24"/>
        </w:rPr>
        <w:tab/>
      </w:r>
      <w:r w:rsidRPr="00ED7E20">
        <w:rPr>
          <w:rFonts w:ascii="Times New Roman" w:hAnsi="Times New Roman"/>
          <w:b/>
          <w:bCs/>
          <w:color w:val="000080"/>
          <w:sz w:val="24"/>
          <w:szCs w:val="24"/>
        </w:rPr>
        <w:t>Strategy Summary</w:t>
      </w:r>
      <w:bookmarkEnd w:id="37"/>
    </w:p>
    <w:p w:rsidR="00752263" w:rsidRPr="00ED7E20" w:rsidRDefault="00752263" w:rsidP="00752263">
      <w:pPr>
        <w:keepNext/>
        <w:tabs>
          <w:tab w:val="left" w:pos="720"/>
        </w:tabs>
        <w:spacing w:after="0" w:line="240" w:lineRule="auto"/>
        <w:rPr>
          <w:rFonts w:ascii="Times New Roman" w:hAnsi="Times New Roman"/>
          <w:sz w:val="24"/>
          <w:szCs w:val="24"/>
        </w:rPr>
      </w:pPr>
    </w:p>
    <w:p w:rsidR="00752263" w:rsidRPr="00ED7E20" w:rsidRDefault="00752263" w:rsidP="00752263">
      <w:pPr>
        <w:tabs>
          <w:tab w:val="left" w:pos="720"/>
        </w:tabs>
        <w:spacing w:after="0" w:line="240" w:lineRule="auto"/>
        <w:rPr>
          <w:rFonts w:ascii="Times New Roman" w:hAnsi="Times New Roman"/>
          <w:sz w:val="24"/>
          <w:szCs w:val="24"/>
        </w:rPr>
      </w:pPr>
      <w:r w:rsidRPr="00ED7E20">
        <w:rPr>
          <w:rFonts w:ascii="Times New Roman" w:hAnsi="Times New Roman"/>
          <w:sz w:val="24"/>
          <w:szCs w:val="24"/>
        </w:rPr>
        <w:t>The assumptions detailed in this Environmental Compliance Strategy and the results of the evaluation of control and compliance options herein have been used in the Company’s 201</w:t>
      </w:r>
      <w:r w:rsidR="00B67C6E">
        <w:rPr>
          <w:rFonts w:ascii="Times New Roman" w:hAnsi="Times New Roman"/>
          <w:sz w:val="24"/>
          <w:szCs w:val="24"/>
        </w:rPr>
        <w:t>3</w:t>
      </w:r>
      <w:r w:rsidRPr="00ED7E20">
        <w:rPr>
          <w:rFonts w:ascii="Times New Roman" w:hAnsi="Times New Roman"/>
          <w:sz w:val="24"/>
          <w:szCs w:val="24"/>
        </w:rPr>
        <w:t xml:space="preserve"> Unit Retirement Study included in this 201</w:t>
      </w:r>
      <w:r w:rsidR="001719EB">
        <w:rPr>
          <w:rFonts w:ascii="Times New Roman" w:hAnsi="Times New Roman"/>
          <w:sz w:val="24"/>
          <w:szCs w:val="24"/>
        </w:rPr>
        <w:t>3</w:t>
      </w:r>
      <w:r w:rsidRPr="00ED7E20">
        <w:rPr>
          <w:rFonts w:ascii="Times New Roman" w:hAnsi="Times New Roman"/>
          <w:sz w:val="24"/>
          <w:szCs w:val="24"/>
        </w:rPr>
        <w:t xml:space="preserve"> </w:t>
      </w:r>
      <w:r>
        <w:rPr>
          <w:rFonts w:ascii="Times New Roman" w:hAnsi="Times New Roman"/>
          <w:sz w:val="24"/>
          <w:szCs w:val="24"/>
        </w:rPr>
        <w:t xml:space="preserve">IRP </w:t>
      </w:r>
      <w:r w:rsidRPr="00ED7E20">
        <w:rPr>
          <w:rFonts w:ascii="Times New Roman" w:hAnsi="Times New Roman"/>
          <w:sz w:val="24"/>
          <w:szCs w:val="24"/>
        </w:rPr>
        <w:t>filing.</w:t>
      </w:r>
    </w:p>
    <w:p w:rsidR="00752263" w:rsidRPr="00ED7E20" w:rsidRDefault="00752263" w:rsidP="00752263">
      <w:pPr>
        <w:tabs>
          <w:tab w:val="left" w:pos="720"/>
        </w:tabs>
        <w:spacing w:after="0" w:line="240" w:lineRule="auto"/>
        <w:rPr>
          <w:rFonts w:ascii="Times New Roman" w:hAnsi="Times New Roman"/>
          <w:sz w:val="24"/>
          <w:szCs w:val="24"/>
        </w:rPr>
      </w:pPr>
    </w:p>
    <w:p w:rsidR="00752263" w:rsidRDefault="00752263" w:rsidP="00752263">
      <w:pPr>
        <w:spacing w:after="0" w:line="240" w:lineRule="auto"/>
        <w:jc w:val="center"/>
        <w:rPr>
          <w:rFonts w:ascii="Times New Roman" w:hAnsi="Times New Roman"/>
          <w:b/>
          <w:color w:val="000080"/>
          <w:sz w:val="24"/>
          <w:szCs w:val="24"/>
        </w:rPr>
      </w:pPr>
    </w:p>
    <w:p w:rsidR="001A0309" w:rsidRDefault="001A0309" w:rsidP="00752263">
      <w:pPr>
        <w:spacing w:after="0" w:line="240" w:lineRule="auto"/>
        <w:jc w:val="center"/>
        <w:rPr>
          <w:rFonts w:ascii="Times New Roman" w:hAnsi="Times New Roman"/>
          <w:b/>
          <w:color w:val="000080"/>
          <w:sz w:val="24"/>
          <w:szCs w:val="24"/>
        </w:rPr>
      </w:pPr>
    </w:p>
    <w:p w:rsidR="001A0309" w:rsidRDefault="001A0309" w:rsidP="00752263">
      <w:pPr>
        <w:spacing w:after="0" w:line="240" w:lineRule="auto"/>
        <w:jc w:val="center"/>
        <w:rPr>
          <w:rFonts w:ascii="Times New Roman" w:hAnsi="Times New Roman"/>
          <w:b/>
          <w:color w:val="000080"/>
          <w:sz w:val="24"/>
          <w:szCs w:val="24"/>
        </w:rPr>
      </w:pPr>
    </w:p>
    <w:p w:rsidR="001A0309" w:rsidRDefault="001A0309" w:rsidP="00752263">
      <w:pPr>
        <w:spacing w:after="0" w:line="240" w:lineRule="auto"/>
        <w:jc w:val="center"/>
        <w:rPr>
          <w:rFonts w:ascii="Times New Roman" w:hAnsi="Times New Roman"/>
          <w:b/>
          <w:color w:val="000080"/>
          <w:sz w:val="24"/>
          <w:szCs w:val="24"/>
        </w:rPr>
      </w:pPr>
    </w:p>
    <w:p w:rsidR="001A0309" w:rsidRDefault="001A0309" w:rsidP="00752263">
      <w:pPr>
        <w:spacing w:after="0" w:line="240" w:lineRule="auto"/>
        <w:jc w:val="center"/>
        <w:rPr>
          <w:rFonts w:ascii="Times New Roman" w:hAnsi="Times New Roman"/>
          <w:b/>
          <w:color w:val="000080"/>
          <w:sz w:val="24"/>
          <w:szCs w:val="24"/>
        </w:rPr>
      </w:pPr>
    </w:p>
    <w:p w:rsidR="001A0309" w:rsidRDefault="001A0309" w:rsidP="00752263">
      <w:pPr>
        <w:spacing w:after="0" w:line="240" w:lineRule="auto"/>
        <w:jc w:val="center"/>
        <w:rPr>
          <w:rFonts w:ascii="Times New Roman" w:hAnsi="Times New Roman"/>
          <w:b/>
          <w:color w:val="000080"/>
          <w:sz w:val="24"/>
          <w:szCs w:val="24"/>
        </w:rPr>
      </w:pPr>
    </w:p>
    <w:p w:rsidR="001A0309" w:rsidRDefault="001A0309" w:rsidP="00752263">
      <w:pPr>
        <w:spacing w:after="0" w:line="240" w:lineRule="auto"/>
        <w:jc w:val="center"/>
        <w:rPr>
          <w:rFonts w:ascii="Times New Roman" w:hAnsi="Times New Roman"/>
          <w:b/>
          <w:color w:val="000080"/>
          <w:sz w:val="24"/>
          <w:szCs w:val="24"/>
        </w:rPr>
      </w:pPr>
    </w:p>
    <w:p w:rsidR="001A0309" w:rsidRDefault="001A0309" w:rsidP="00752263">
      <w:pPr>
        <w:spacing w:after="0" w:line="240" w:lineRule="auto"/>
        <w:jc w:val="center"/>
        <w:rPr>
          <w:rFonts w:ascii="Times New Roman" w:hAnsi="Times New Roman"/>
          <w:b/>
          <w:color w:val="000080"/>
          <w:sz w:val="24"/>
          <w:szCs w:val="24"/>
        </w:rPr>
      </w:pPr>
    </w:p>
    <w:p w:rsidR="001A0309" w:rsidRDefault="001A0309" w:rsidP="00752263">
      <w:pPr>
        <w:spacing w:after="0" w:line="240" w:lineRule="auto"/>
        <w:jc w:val="center"/>
        <w:rPr>
          <w:rFonts w:ascii="Times New Roman" w:hAnsi="Times New Roman"/>
          <w:b/>
          <w:color w:val="000080"/>
          <w:sz w:val="24"/>
          <w:szCs w:val="24"/>
        </w:rPr>
      </w:pPr>
    </w:p>
    <w:p w:rsidR="001A0309" w:rsidRDefault="001A0309" w:rsidP="00752263">
      <w:pPr>
        <w:spacing w:after="0" w:line="240" w:lineRule="auto"/>
        <w:jc w:val="center"/>
        <w:rPr>
          <w:rFonts w:ascii="Times New Roman" w:hAnsi="Times New Roman"/>
          <w:b/>
          <w:color w:val="000080"/>
          <w:sz w:val="24"/>
          <w:szCs w:val="24"/>
        </w:rPr>
      </w:pPr>
    </w:p>
    <w:p w:rsidR="00880C58" w:rsidRDefault="00880C58" w:rsidP="00752263">
      <w:pPr>
        <w:spacing w:after="0" w:line="240" w:lineRule="auto"/>
        <w:jc w:val="center"/>
        <w:rPr>
          <w:rFonts w:ascii="Times New Roman" w:hAnsi="Times New Roman"/>
          <w:b/>
          <w:color w:val="000080"/>
          <w:sz w:val="24"/>
          <w:szCs w:val="24"/>
        </w:rPr>
      </w:pPr>
    </w:p>
    <w:p w:rsidR="009F6D91" w:rsidRDefault="009F6D91">
      <w:pPr>
        <w:spacing w:after="0" w:line="240" w:lineRule="auto"/>
        <w:rPr>
          <w:rFonts w:ascii="Times New Roman" w:hAnsi="Times New Roman"/>
          <w:b/>
          <w:color w:val="000080"/>
          <w:sz w:val="24"/>
          <w:szCs w:val="24"/>
        </w:rPr>
      </w:pPr>
      <w:r>
        <w:rPr>
          <w:rFonts w:ascii="Times New Roman" w:hAnsi="Times New Roman"/>
          <w:b/>
          <w:color w:val="000080"/>
          <w:sz w:val="24"/>
          <w:szCs w:val="24"/>
        </w:rPr>
        <w:br w:type="page"/>
      </w:r>
    </w:p>
    <w:p w:rsidR="00752263" w:rsidRPr="00ED7E20" w:rsidRDefault="00B67C6E" w:rsidP="001954D3">
      <w:pPr>
        <w:spacing w:after="0" w:line="240" w:lineRule="auto"/>
        <w:jc w:val="center"/>
        <w:outlineLvl w:val="0"/>
        <w:rPr>
          <w:rFonts w:ascii="Times New Roman" w:hAnsi="Times New Roman"/>
          <w:b/>
          <w:color w:val="000080"/>
          <w:sz w:val="24"/>
          <w:szCs w:val="24"/>
        </w:rPr>
      </w:pPr>
      <w:bookmarkStart w:id="38" w:name="_Toc347314861"/>
      <w:r>
        <w:rPr>
          <w:rFonts w:ascii="Times New Roman" w:hAnsi="Times New Roman"/>
          <w:b/>
          <w:color w:val="000080"/>
          <w:sz w:val="24"/>
          <w:szCs w:val="24"/>
        </w:rPr>
        <w:t>ECS-</w:t>
      </w:r>
      <w:r w:rsidR="00752263" w:rsidRPr="00ED7E20">
        <w:rPr>
          <w:rFonts w:ascii="Times New Roman" w:hAnsi="Times New Roman"/>
          <w:b/>
          <w:color w:val="000080"/>
          <w:sz w:val="24"/>
          <w:szCs w:val="24"/>
        </w:rPr>
        <w:t xml:space="preserve">APPENDIX </w:t>
      </w:r>
      <w:r>
        <w:rPr>
          <w:rFonts w:ascii="Times New Roman" w:hAnsi="Times New Roman"/>
          <w:b/>
          <w:color w:val="000080"/>
          <w:sz w:val="24"/>
          <w:szCs w:val="24"/>
        </w:rPr>
        <w:t>A</w:t>
      </w:r>
      <w:bookmarkEnd w:id="38"/>
    </w:p>
    <w:p w:rsidR="00752263" w:rsidRPr="00ED7E20" w:rsidRDefault="00752263" w:rsidP="00752263">
      <w:pPr>
        <w:spacing w:after="0" w:line="240" w:lineRule="auto"/>
        <w:jc w:val="center"/>
        <w:rPr>
          <w:rFonts w:ascii="Times New Roman" w:hAnsi="Times New Roman"/>
          <w:color w:val="000080"/>
          <w:sz w:val="24"/>
          <w:szCs w:val="24"/>
        </w:rPr>
      </w:pPr>
    </w:p>
    <w:p w:rsidR="00752263" w:rsidRPr="00ED7E20" w:rsidRDefault="00752263" w:rsidP="00752263">
      <w:pPr>
        <w:spacing w:after="0" w:line="240" w:lineRule="auto"/>
        <w:jc w:val="center"/>
        <w:rPr>
          <w:rFonts w:ascii="Times New Roman" w:hAnsi="Times New Roman"/>
          <w:b/>
          <w:caps/>
          <w:color w:val="000080"/>
          <w:sz w:val="24"/>
          <w:szCs w:val="24"/>
          <w:u w:val="single"/>
        </w:rPr>
      </w:pPr>
      <w:r w:rsidRPr="00ED7E20">
        <w:rPr>
          <w:rFonts w:ascii="Times New Roman" w:hAnsi="Times New Roman"/>
          <w:b/>
          <w:caps/>
          <w:color w:val="000080"/>
          <w:sz w:val="24"/>
          <w:szCs w:val="24"/>
          <w:u w:val="single"/>
        </w:rPr>
        <w:t>Acronyms/ABBREVIATIONS and Terminology</w:t>
      </w:r>
    </w:p>
    <w:p w:rsidR="00752263" w:rsidRDefault="00752263" w:rsidP="00752263">
      <w:pPr>
        <w:tabs>
          <w:tab w:val="left" w:pos="3060"/>
        </w:tabs>
        <w:spacing w:after="0" w:line="240" w:lineRule="auto"/>
        <w:rPr>
          <w:rFonts w:ascii="Times New Roman" w:hAnsi="Times New Roman"/>
          <w:sz w:val="24"/>
          <w:szCs w:val="24"/>
        </w:rPr>
      </w:pPr>
    </w:p>
    <w:p w:rsidR="00752263" w:rsidRPr="00ED7E20" w:rsidRDefault="00752263" w:rsidP="00752263">
      <w:pPr>
        <w:tabs>
          <w:tab w:val="left" w:pos="3060"/>
        </w:tabs>
        <w:spacing w:after="0" w:line="240" w:lineRule="auto"/>
        <w:rPr>
          <w:rFonts w:ascii="Times New Roman" w:hAnsi="Times New Roman"/>
          <w:sz w:val="24"/>
          <w:szCs w:val="24"/>
        </w:rPr>
      </w:pPr>
    </w:p>
    <w:tbl>
      <w:tblPr>
        <w:tblW w:w="8010" w:type="dxa"/>
        <w:tblInd w:w="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72"/>
        <w:gridCol w:w="6120"/>
        <w:gridCol w:w="18"/>
      </w:tblGrid>
      <w:tr w:rsidR="00752263" w:rsidRPr="00ED7E20" w:rsidTr="00090D69">
        <w:tc>
          <w:tcPr>
            <w:tcW w:w="1872" w:type="dxa"/>
          </w:tcPr>
          <w:p w:rsidR="00752263" w:rsidRPr="00ED7E20" w:rsidRDefault="00752263" w:rsidP="00090D69">
            <w:pPr>
              <w:spacing w:after="0" w:line="240" w:lineRule="auto"/>
              <w:ind w:left="-108" w:right="-202"/>
              <w:rPr>
                <w:rFonts w:ascii="Times New Roman" w:hAnsi="Times New Roman"/>
                <w:b/>
                <w:color w:val="000080"/>
                <w:sz w:val="24"/>
                <w:szCs w:val="24"/>
              </w:rPr>
            </w:pPr>
            <w:r w:rsidRPr="00ED7E20">
              <w:rPr>
                <w:rFonts w:ascii="Times New Roman" w:hAnsi="Times New Roman"/>
                <w:b/>
                <w:color w:val="000080"/>
                <w:sz w:val="24"/>
                <w:szCs w:val="24"/>
              </w:rPr>
              <w:t>ABB</w:t>
            </w:r>
          </w:p>
        </w:tc>
        <w:tc>
          <w:tcPr>
            <w:tcW w:w="6138" w:type="dxa"/>
            <w:gridSpan w:val="2"/>
          </w:tcPr>
          <w:p w:rsidR="00752263" w:rsidRPr="00ED7E20" w:rsidRDefault="00690722" w:rsidP="00090D69">
            <w:pPr>
              <w:spacing w:after="0" w:line="240" w:lineRule="auto"/>
              <w:ind w:right="-198"/>
              <w:rPr>
                <w:rFonts w:ascii="Times New Roman" w:hAnsi="Times New Roman"/>
                <w:color w:val="000080"/>
                <w:sz w:val="24"/>
                <w:szCs w:val="24"/>
              </w:rPr>
            </w:pPr>
            <w:r>
              <w:rPr>
                <w:rFonts w:ascii="Times New Roman" w:hAnsi="Times New Roman"/>
                <w:color w:val="000080"/>
                <w:sz w:val="24"/>
                <w:szCs w:val="24"/>
              </w:rPr>
              <w:t>Asea Brown Boveri (LNB vendor)</w:t>
            </w:r>
          </w:p>
        </w:tc>
      </w:tr>
      <w:tr w:rsidR="00752263" w:rsidRPr="00ED7E20" w:rsidTr="00090D69">
        <w:tc>
          <w:tcPr>
            <w:tcW w:w="1872" w:type="dxa"/>
          </w:tcPr>
          <w:p w:rsidR="00752263" w:rsidRPr="00ED7E20" w:rsidRDefault="00752263" w:rsidP="00090D69">
            <w:pPr>
              <w:spacing w:after="0" w:line="240" w:lineRule="auto"/>
              <w:ind w:left="-108" w:right="-202"/>
              <w:rPr>
                <w:rFonts w:ascii="Times New Roman" w:hAnsi="Times New Roman"/>
                <w:color w:val="000080"/>
                <w:sz w:val="24"/>
                <w:szCs w:val="24"/>
              </w:rPr>
            </w:pPr>
          </w:p>
        </w:tc>
        <w:tc>
          <w:tcPr>
            <w:tcW w:w="6138" w:type="dxa"/>
            <w:gridSpan w:val="2"/>
          </w:tcPr>
          <w:p w:rsidR="00752263" w:rsidRPr="00ED7E20" w:rsidRDefault="00752263" w:rsidP="00090D69">
            <w:pPr>
              <w:spacing w:after="0" w:line="240" w:lineRule="auto"/>
              <w:ind w:right="-198"/>
              <w:rPr>
                <w:rFonts w:ascii="Times New Roman" w:hAnsi="Times New Roman"/>
                <w:color w:val="000080"/>
                <w:sz w:val="24"/>
                <w:szCs w:val="24"/>
              </w:rPr>
            </w:pPr>
          </w:p>
        </w:tc>
      </w:tr>
      <w:tr w:rsidR="00752263" w:rsidRPr="00ED7E20" w:rsidTr="00090D69">
        <w:tc>
          <w:tcPr>
            <w:tcW w:w="1872" w:type="dxa"/>
          </w:tcPr>
          <w:p w:rsidR="00752263" w:rsidRPr="00ED7E20" w:rsidRDefault="00752263" w:rsidP="00090D69">
            <w:pPr>
              <w:spacing w:after="0" w:line="240" w:lineRule="auto"/>
              <w:ind w:left="-108" w:right="-202"/>
              <w:rPr>
                <w:rFonts w:ascii="Times New Roman" w:hAnsi="Times New Roman"/>
                <w:b/>
                <w:color w:val="000080"/>
                <w:sz w:val="24"/>
                <w:szCs w:val="24"/>
              </w:rPr>
            </w:pPr>
            <w:r w:rsidRPr="00ED7E20">
              <w:rPr>
                <w:rFonts w:ascii="Times New Roman" w:hAnsi="Times New Roman"/>
                <w:b/>
                <w:color w:val="000080"/>
                <w:sz w:val="24"/>
                <w:szCs w:val="24"/>
              </w:rPr>
              <w:t>ABBCE</w:t>
            </w:r>
          </w:p>
        </w:tc>
        <w:tc>
          <w:tcPr>
            <w:tcW w:w="6138" w:type="dxa"/>
            <w:gridSpan w:val="2"/>
          </w:tcPr>
          <w:p w:rsidR="00752263" w:rsidRPr="00ED7E20" w:rsidRDefault="00752263" w:rsidP="00090D69">
            <w:pPr>
              <w:spacing w:after="0" w:line="240" w:lineRule="auto"/>
              <w:ind w:right="-198"/>
              <w:rPr>
                <w:rFonts w:ascii="Times New Roman" w:hAnsi="Times New Roman"/>
                <w:color w:val="000080"/>
                <w:sz w:val="24"/>
                <w:szCs w:val="24"/>
              </w:rPr>
            </w:pPr>
            <w:r w:rsidRPr="00ED7E20">
              <w:rPr>
                <w:rFonts w:ascii="Times New Roman" w:hAnsi="Times New Roman"/>
                <w:color w:val="000080"/>
                <w:sz w:val="24"/>
                <w:szCs w:val="24"/>
              </w:rPr>
              <w:t>Asea Brow</w:t>
            </w:r>
            <w:r w:rsidR="00690722">
              <w:rPr>
                <w:rFonts w:ascii="Times New Roman" w:hAnsi="Times New Roman"/>
                <w:color w:val="000080"/>
                <w:sz w:val="24"/>
                <w:szCs w:val="24"/>
              </w:rPr>
              <w:t>n Boveri Combustion Engineering</w:t>
            </w:r>
          </w:p>
        </w:tc>
      </w:tr>
      <w:tr w:rsidR="00752263" w:rsidRPr="00ED7E20" w:rsidTr="00090D69">
        <w:tc>
          <w:tcPr>
            <w:tcW w:w="1872" w:type="dxa"/>
          </w:tcPr>
          <w:p w:rsidR="00752263" w:rsidRPr="00ED7E20" w:rsidRDefault="00752263" w:rsidP="00090D69">
            <w:pPr>
              <w:spacing w:after="0" w:line="240" w:lineRule="auto"/>
              <w:ind w:right="-202"/>
              <w:rPr>
                <w:rFonts w:ascii="Times New Roman" w:hAnsi="Times New Roman"/>
                <w:b/>
                <w:color w:val="000080"/>
                <w:sz w:val="24"/>
                <w:szCs w:val="24"/>
              </w:rPr>
            </w:pPr>
          </w:p>
        </w:tc>
        <w:tc>
          <w:tcPr>
            <w:tcW w:w="6138" w:type="dxa"/>
            <w:gridSpan w:val="2"/>
          </w:tcPr>
          <w:p w:rsidR="00752263" w:rsidRPr="00ED7E20" w:rsidRDefault="00752263" w:rsidP="00090D69">
            <w:pPr>
              <w:spacing w:after="0" w:line="240" w:lineRule="auto"/>
              <w:ind w:right="-198"/>
              <w:rPr>
                <w:rFonts w:ascii="Times New Roman" w:hAnsi="Times New Roman"/>
                <w:color w:val="000080"/>
                <w:sz w:val="24"/>
                <w:szCs w:val="24"/>
              </w:rPr>
            </w:pPr>
          </w:p>
        </w:tc>
      </w:tr>
      <w:tr w:rsidR="00D220AC" w:rsidRPr="00ED7E20" w:rsidTr="00090D69">
        <w:tc>
          <w:tcPr>
            <w:tcW w:w="1872" w:type="dxa"/>
          </w:tcPr>
          <w:p w:rsidR="00D220AC" w:rsidRPr="00ED7E20" w:rsidRDefault="00D220AC" w:rsidP="00090D69">
            <w:pPr>
              <w:spacing w:after="0" w:line="240" w:lineRule="auto"/>
              <w:ind w:left="-108" w:right="-202"/>
              <w:rPr>
                <w:rFonts w:ascii="Times New Roman" w:hAnsi="Times New Roman"/>
                <w:b/>
                <w:color w:val="000080"/>
                <w:sz w:val="24"/>
                <w:szCs w:val="24"/>
              </w:rPr>
            </w:pPr>
            <w:r>
              <w:rPr>
                <w:rFonts w:ascii="Times New Roman" w:hAnsi="Times New Roman"/>
                <w:b/>
                <w:color w:val="000080"/>
                <w:sz w:val="24"/>
                <w:szCs w:val="24"/>
              </w:rPr>
              <w:t>ACI</w:t>
            </w:r>
          </w:p>
        </w:tc>
        <w:tc>
          <w:tcPr>
            <w:tcW w:w="6138" w:type="dxa"/>
            <w:gridSpan w:val="2"/>
          </w:tcPr>
          <w:p w:rsidR="00D220AC" w:rsidRPr="00ED7E20" w:rsidRDefault="00D220AC" w:rsidP="00090D69">
            <w:pPr>
              <w:spacing w:after="0" w:line="240" w:lineRule="auto"/>
              <w:ind w:right="-202"/>
              <w:rPr>
                <w:rFonts w:ascii="Times New Roman" w:hAnsi="Times New Roman"/>
                <w:color w:val="000080"/>
                <w:sz w:val="24"/>
                <w:szCs w:val="24"/>
              </w:rPr>
            </w:pPr>
            <w:r>
              <w:rPr>
                <w:rFonts w:ascii="Times New Roman" w:hAnsi="Times New Roman"/>
                <w:color w:val="000080"/>
                <w:sz w:val="24"/>
                <w:szCs w:val="24"/>
              </w:rPr>
              <w:t>Activated Carbon Injection</w:t>
            </w:r>
          </w:p>
        </w:tc>
      </w:tr>
      <w:tr w:rsidR="00D220AC" w:rsidRPr="00ED7E20" w:rsidTr="00090D69">
        <w:tc>
          <w:tcPr>
            <w:tcW w:w="1872" w:type="dxa"/>
          </w:tcPr>
          <w:p w:rsidR="00D220AC" w:rsidRPr="00ED7E20" w:rsidRDefault="00D220AC" w:rsidP="00090D69">
            <w:pPr>
              <w:spacing w:after="0" w:line="240" w:lineRule="auto"/>
              <w:ind w:left="-108" w:right="-202"/>
              <w:rPr>
                <w:rFonts w:ascii="Times New Roman" w:hAnsi="Times New Roman"/>
                <w:b/>
                <w:color w:val="000080"/>
                <w:sz w:val="24"/>
                <w:szCs w:val="24"/>
              </w:rPr>
            </w:pPr>
          </w:p>
        </w:tc>
        <w:tc>
          <w:tcPr>
            <w:tcW w:w="6138" w:type="dxa"/>
            <w:gridSpan w:val="2"/>
          </w:tcPr>
          <w:p w:rsidR="00D220AC" w:rsidRPr="00ED7E20" w:rsidRDefault="00D220AC" w:rsidP="00090D69">
            <w:pPr>
              <w:spacing w:after="0" w:line="240" w:lineRule="auto"/>
              <w:ind w:right="-202"/>
              <w:rPr>
                <w:rFonts w:ascii="Times New Roman" w:hAnsi="Times New Roman"/>
                <w:color w:val="000080"/>
                <w:sz w:val="24"/>
                <w:szCs w:val="24"/>
              </w:rPr>
            </w:pPr>
          </w:p>
        </w:tc>
      </w:tr>
      <w:tr w:rsidR="00752263" w:rsidRPr="00ED7E20" w:rsidTr="00090D69">
        <w:tc>
          <w:tcPr>
            <w:tcW w:w="1872" w:type="dxa"/>
          </w:tcPr>
          <w:p w:rsidR="00752263" w:rsidRPr="00ED7E20" w:rsidRDefault="00752263" w:rsidP="00090D69">
            <w:pPr>
              <w:spacing w:after="0" w:line="240" w:lineRule="auto"/>
              <w:ind w:left="-108" w:right="-202"/>
              <w:rPr>
                <w:rFonts w:ascii="Times New Roman" w:hAnsi="Times New Roman"/>
                <w:b/>
                <w:color w:val="000080"/>
                <w:sz w:val="24"/>
                <w:szCs w:val="24"/>
              </w:rPr>
            </w:pPr>
            <w:r w:rsidRPr="00ED7E20">
              <w:rPr>
                <w:rFonts w:ascii="Times New Roman" w:hAnsi="Times New Roman"/>
                <w:b/>
                <w:color w:val="000080"/>
                <w:sz w:val="24"/>
                <w:szCs w:val="24"/>
              </w:rPr>
              <w:t>B&amp;W</w:t>
            </w:r>
          </w:p>
        </w:tc>
        <w:tc>
          <w:tcPr>
            <w:tcW w:w="6138" w:type="dxa"/>
            <w:gridSpan w:val="2"/>
          </w:tcPr>
          <w:p w:rsidR="00752263" w:rsidRPr="00ED7E20" w:rsidRDefault="000653E1" w:rsidP="00090D69">
            <w:pPr>
              <w:spacing w:after="0" w:line="240" w:lineRule="auto"/>
              <w:ind w:right="-202"/>
              <w:rPr>
                <w:rFonts w:ascii="Times New Roman" w:hAnsi="Times New Roman"/>
                <w:color w:val="000080"/>
                <w:sz w:val="24"/>
                <w:szCs w:val="24"/>
              </w:rPr>
            </w:pPr>
            <w:r>
              <w:rPr>
                <w:rFonts w:ascii="Times New Roman" w:hAnsi="Times New Roman"/>
                <w:color w:val="000080"/>
                <w:sz w:val="24"/>
                <w:szCs w:val="24"/>
              </w:rPr>
              <w:t>Babcock &amp; Wilcox (LNB vendor)</w:t>
            </w:r>
          </w:p>
        </w:tc>
      </w:tr>
      <w:tr w:rsidR="00752263" w:rsidRPr="00ED7E20" w:rsidTr="00090D69">
        <w:tc>
          <w:tcPr>
            <w:tcW w:w="1872" w:type="dxa"/>
          </w:tcPr>
          <w:p w:rsidR="00752263" w:rsidRPr="00ED7E20" w:rsidRDefault="00752263" w:rsidP="00090D69">
            <w:pPr>
              <w:spacing w:after="0" w:line="240" w:lineRule="auto"/>
              <w:ind w:left="-108" w:right="-202"/>
              <w:rPr>
                <w:rFonts w:ascii="Times New Roman" w:hAnsi="Times New Roman"/>
                <w:b/>
                <w:color w:val="000080"/>
                <w:sz w:val="24"/>
                <w:szCs w:val="24"/>
              </w:rPr>
            </w:pPr>
          </w:p>
        </w:tc>
        <w:tc>
          <w:tcPr>
            <w:tcW w:w="6138" w:type="dxa"/>
            <w:gridSpan w:val="2"/>
          </w:tcPr>
          <w:p w:rsidR="00752263" w:rsidRPr="00ED7E20" w:rsidRDefault="00752263" w:rsidP="00090D69">
            <w:pPr>
              <w:spacing w:after="0" w:line="240" w:lineRule="auto"/>
              <w:ind w:right="-198"/>
              <w:rPr>
                <w:rFonts w:ascii="Times New Roman" w:hAnsi="Times New Roman"/>
                <w:color w:val="000080"/>
                <w:sz w:val="24"/>
                <w:szCs w:val="24"/>
              </w:rPr>
            </w:pPr>
          </w:p>
        </w:tc>
      </w:tr>
      <w:tr w:rsidR="00752263" w:rsidRPr="00ED7E20" w:rsidTr="00090D69">
        <w:tc>
          <w:tcPr>
            <w:tcW w:w="1872" w:type="dxa"/>
          </w:tcPr>
          <w:p w:rsidR="00752263" w:rsidRPr="00ED7E20" w:rsidRDefault="00752263" w:rsidP="00090D69">
            <w:pPr>
              <w:spacing w:after="0" w:line="240" w:lineRule="auto"/>
              <w:ind w:left="-108" w:right="-202"/>
              <w:rPr>
                <w:rFonts w:ascii="Times New Roman" w:hAnsi="Times New Roman"/>
                <w:b/>
                <w:color w:val="000080"/>
                <w:sz w:val="24"/>
                <w:szCs w:val="24"/>
              </w:rPr>
            </w:pPr>
            <w:r w:rsidRPr="00ED7E20">
              <w:rPr>
                <w:rFonts w:ascii="Times New Roman" w:hAnsi="Times New Roman"/>
                <w:b/>
                <w:color w:val="000080"/>
                <w:sz w:val="24"/>
                <w:szCs w:val="24"/>
              </w:rPr>
              <w:t>BACT</w:t>
            </w:r>
          </w:p>
        </w:tc>
        <w:tc>
          <w:tcPr>
            <w:tcW w:w="6138" w:type="dxa"/>
            <w:gridSpan w:val="2"/>
          </w:tcPr>
          <w:p w:rsidR="00752263" w:rsidRPr="00ED7E20" w:rsidRDefault="00752263" w:rsidP="00090D69">
            <w:pPr>
              <w:spacing w:after="0" w:line="240" w:lineRule="auto"/>
              <w:ind w:right="-198"/>
              <w:rPr>
                <w:rFonts w:ascii="Times New Roman" w:hAnsi="Times New Roman"/>
                <w:color w:val="000080"/>
                <w:sz w:val="24"/>
                <w:szCs w:val="24"/>
              </w:rPr>
            </w:pPr>
            <w:r w:rsidRPr="00ED7E20">
              <w:rPr>
                <w:rFonts w:ascii="Times New Roman" w:hAnsi="Times New Roman"/>
                <w:color w:val="000080"/>
                <w:sz w:val="24"/>
                <w:szCs w:val="24"/>
              </w:rPr>
              <w:t>Be</w:t>
            </w:r>
            <w:r w:rsidR="000653E1">
              <w:rPr>
                <w:rFonts w:ascii="Times New Roman" w:hAnsi="Times New Roman"/>
                <w:color w:val="000080"/>
                <w:sz w:val="24"/>
                <w:szCs w:val="24"/>
              </w:rPr>
              <w:t>st Available Control Technology</w:t>
            </w:r>
          </w:p>
        </w:tc>
      </w:tr>
      <w:tr w:rsidR="00752263" w:rsidRPr="00ED7E20" w:rsidTr="00090D69">
        <w:tc>
          <w:tcPr>
            <w:tcW w:w="1872" w:type="dxa"/>
          </w:tcPr>
          <w:p w:rsidR="00752263" w:rsidRPr="00ED7E20" w:rsidRDefault="00752263" w:rsidP="00090D69">
            <w:pPr>
              <w:spacing w:after="0" w:line="240" w:lineRule="auto"/>
              <w:ind w:left="-108" w:right="-202"/>
              <w:rPr>
                <w:rFonts w:ascii="Times New Roman" w:hAnsi="Times New Roman"/>
                <w:b/>
                <w:color w:val="000080"/>
                <w:sz w:val="24"/>
                <w:szCs w:val="24"/>
              </w:rPr>
            </w:pPr>
          </w:p>
        </w:tc>
        <w:tc>
          <w:tcPr>
            <w:tcW w:w="6138" w:type="dxa"/>
            <w:gridSpan w:val="2"/>
          </w:tcPr>
          <w:p w:rsidR="00752263" w:rsidRPr="00ED7E20" w:rsidRDefault="00752263" w:rsidP="00090D69">
            <w:pPr>
              <w:spacing w:after="0" w:line="240" w:lineRule="auto"/>
              <w:ind w:right="-198"/>
              <w:rPr>
                <w:rFonts w:ascii="Times New Roman" w:hAnsi="Times New Roman"/>
                <w:color w:val="000080"/>
                <w:sz w:val="24"/>
                <w:szCs w:val="24"/>
              </w:rPr>
            </w:pPr>
          </w:p>
        </w:tc>
      </w:tr>
      <w:tr w:rsidR="00752263" w:rsidRPr="00ED7E20" w:rsidTr="00090D69">
        <w:tc>
          <w:tcPr>
            <w:tcW w:w="1872" w:type="dxa"/>
          </w:tcPr>
          <w:p w:rsidR="00752263" w:rsidRPr="00ED7E20" w:rsidRDefault="00752263" w:rsidP="00090D69">
            <w:pPr>
              <w:spacing w:after="0" w:line="240" w:lineRule="auto"/>
              <w:ind w:left="-108" w:right="-202"/>
              <w:rPr>
                <w:rFonts w:ascii="Times New Roman" w:hAnsi="Times New Roman"/>
                <w:b/>
                <w:color w:val="000080"/>
                <w:sz w:val="24"/>
                <w:szCs w:val="24"/>
              </w:rPr>
            </w:pPr>
            <w:r w:rsidRPr="00ED7E20">
              <w:rPr>
                <w:rFonts w:ascii="Times New Roman" w:hAnsi="Times New Roman"/>
                <w:b/>
                <w:color w:val="000080"/>
                <w:sz w:val="24"/>
                <w:szCs w:val="24"/>
              </w:rPr>
              <w:t>BART</w:t>
            </w:r>
          </w:p>
        </w:tc>
        <w:tc>
          <w:tcPr>
            <w:tcW w:w="6138" w:type="dxa"/>
            <w:gridSpan w:val="2"/>
          </w:tcPr>
          <w:p w:rsidR="00752263" w:rsidRPr="00ED7E20" w:rsidRDefault="00752263" w:rsidP="00090D69">
            <w:pPr>
              <w:spacing w:after="0" w:line="240" w:lineRule="auto"/>
              <w:ind w:right="-198"/>
              <w:rPr>
                <w:rFonts w:ascii="Times New Roman" w:hAnsi="Times New Roman"/>
                <w:color w:val="000080"/>
                <w:sz w:val="24"/>
                <w:szCs w:val="24"/>
              </w:rPr>
            </w:pPr>
            <w:r w:rsidRPr="00ED7E20">
              <w:rPr>
                <w:rFonts w:ascii="Times New Roman" w:hAnsi="Times New Roman"/>
                <w:color w:val="000080"/>
                <w:sz w:val="24"/>
                <w:szCs w:val="24"/>
              </w:rPr>
              <w:t>Bes</w:t>
            </w:r>
            <w:r w:rsidR="000653E1">
              <w:rPr>
                <w:rFonts w:ascii="Times New Roman" w:hAnsi="Times New Roman"/>
                <w:color w:val="000080"/>
                <w:sz w:val="24"/>
                <w:szCs w:val="24"/>
              </w:rPr>
              <w:t>t Available Retrofit Technology</w:t>
            </w:r>
          </w:p>
        </w:tc>
      </w:tr>
      <w:tr w:rsidR="00752263" w:rsidRPr="00ED7E20" w:rsidTr="00090D69">
        <w:tc>
          <w:tcPr>
            <w:tcW w:w="1872" w:type="dxa"/>
          </w:tcPr>
          <w:p w:rsidR="00752263" w:rsidRPr="00ED7E20" w:rsidRDefault="00752263" w:rsidP="00090D69">
            <w:pPr>
              <w:spacing w:after="0" w:line="240" w:lineRule="auto"/>
              <w:ind w:left="-108" w:right="-202"/>
              <w:rPr>
                <w:rFonts w:ascii="Times New Roman" w:hAnsi="Times New Roman"/>
                <w:b/>
                <w:color w:val="000080"/>
                <w:sz w:val="24"/>
                <w:szCs w:val="24"/>
              </w:rPr>
            </w:pPr>
          </w:p>
        </w:tc>
        <w:tc>
          <w:tcPr>
            <w:tcW w:w="6138" w:type="dxa"/>
            <w:gridSpan w:val="2"/>
          </w:tcPr>
          <w:p w:rsidR="00752263" w:rsidRPr="00ED7E20" w:rsidRDefault="00752263" w:rsidP="00090D69">
            <w:pPr>
              <w:spacing w:after="0" w:line="240" w:lineRule="auto"/>
              <w:ind w:right="-198"/>
              <w:rPr>
                <w:rFonts w:ascii="Times New Roman" w:hAnsi="Times New Roman"/>
                <w:color w:val="000080"/>
                <w:sz w:val="24"/>
                <w:szCs w:val="24"/>
              </w:rPr>
            </w:pPr>
          </w:p>
        </w:tc>
      </w:tr>
      <w:tr w:rsidR="00752263" w:rsidRPr="00ED7E20" w:rsidTr="00090D69">
        <w:tc>
          <w:tcPr>
            <w:tcW w:w="1872" w:type="dxa"/>
          </w:tcPr>
          <w:p w:rsidR="00752263" w:rsidRPr="00ED7E20" w:rsidRDefault="00752263" w:rsidP="00090D69">
            <w:pPr>
              <w:spacing w:after="0" w:line="240" w:lineRule="auto"/>
              <w:ind w:left="-108"/>
              <w:rPr>
                <w:rFonts w:ascii="Times New Roman" w:hAnsi="Times New Roman"/>
                <w:b/>
                <w:color w:val="000080"/>
                <w:sz w:val="24"/>
                <w:szCs w:val="24"/>
              </w:rPr>
            </w:pPr>
            <w:r w:rsidRPr="00ED7E20">
              <w:rPr>
                <w:rFonts w:ascii="Times New Roman" w:hAnsi="Times New Roman"/>
                <w:b/>
                <w:color w:val="000080"/>
                <w:sz w:val="24"/>
                <w:szCs w:val="24"/>
              </w:rPr>
              <w:t>CAA</w:t>
            </w:r>
          </w:p>
        </w:tc>
        <w:tc>
          <w:tcPr>
            <w:tcW w:w="6138" w:type="dxa"/>
            <w:gridSpan w:val="2"/>
          </w:tcPr>
          <w:p w:rsidR="00752263" w:rsidRPr="00ED7E20" w:rsidRDefault="000653E1" w:rsidP="00090D69">
            <w:pPr>
              <w:spacing w:after="0" w:line="240" w:lineRule="auto"/>
              <w:rPr>
                <w:rFonts w:ascii="Times New Roman" w:hAnsi="Times New Roman"/>
                <w:color w:val="000080"/>
                <w:sz w:val="24"/>
                <w:szCs w:val="24"/>
              </w:rPr>
            </w:pPr>
            <w:r>
              <w:rPr>
                <w:rFonts w:ascii="Times New Roman" w:hAnsi="Times New Roman"/>
                <w:color w:val="000080"/>
                <w:sz w:val="24"/>
                <w:szCs w:val="24"/>
              </w:rPr>
              <w:t>Clean Air Act</w:t>
            </w:r>
          </w:p>
        </w:tc>
      </w:tr>
      <w:tr w:rsidR="00752263" w:rsidRPr="00ED7E20" w:rsidTr="00090D69">
        <w:tc>
          <w:tcPr>
            <w:tcW w:w="1872" w:type="dxa"/>
          </w:tcPr>
          <w:p w:rsidR="00752263" w:rsidRPr="00ED7E20" w:rsidRDefault="00752263" w:rsidP="00090D69">
            <w:pPr>
              <w:spacing w:after="0" w:line="240" w:lineRule="auto"/>
              <w:ind w:left="-108"/>
              <w:rPr>
                <w:rFonts w:ascii="Times New Roman" w:hAnsi="Times New Roman"/>
                <w:b/>
                <w:color w:val="000080"/>
                <w:sz w:val="24"/>
                <w:szCs w:val="24"/>
              </w:rPr>
            </w:pPr>
          </w:p>
        </w:tc>
        <w:tc>
          <w:tcPr>
            <w:tcW w:w="6138" w:type="dxa"/>
            <w:gridSpan w:val="2"/>
          </w:tcPr>
          <w:p w:rsidR="00752263" w:rsidRPr="00ED7E20" w:rsidRDefault="00752263" w:rsidP="00090D69">
            <w:pPr>
              <w:spacing w:after="0" w:line="240" w:lineRule="auto"/>
              <w:rPr>
                <w:rFonts w:ascii="Times New Roman" w:hAnsi="Times New Roman"/>
                <w:color w:val="000080"/>
                <w:sz w:val="24"/>
                <w:szCs w:val="24"/>
              </w:rPr>
            </w:pPr>
          </w:p>
        </w:tc>
      </w:tr>
      <w:tr w:rsidR="00752263" w:rsidRPr="00ED7E20" w:rsidTr="00090D69">
        <w:tc>
          <w:tcPr>
            <w:tcW w:w="1872" w:type="dxa"/>
          </w:tcPr>
          <w:p w:rsidR="00752263" w:rsidRPr="00ED7E20" w:rsidRDefault="00752263" w:rsidP="00090D69">
            <w:pPr>
              <w:spacing w:after="0" w:line="240" w:lineRule="auto"/>
              <w:ind w:left="-108"/>
              <w:rPr>
                <w:rFonts w:ascii="Times New Roman" w:hAnsi="Times New Roman"/>
                <w:b/>
                <w:color w:val="000080"/>
                <w:sz w:val="24"/>
                <w:szCs w:val="24"/>
              </w:rPr>
            </w:pPr>
            <w:r w:rsidRPr="00ED7E20">
              <w:rPr>
                <w:rFonts w:ascii="Times New Roman" w:hAnsi="Times New Roman"/>
                <w:b/>
                <w:color w:val="000080"/>
                <w:sz w:val="24"/>
                <w:szCs w:val="24"/>
              </w:rPr>
              <w:t>CAAA</w:t>
            </w:r>
          </w:p>
        </w:tc>
        <w:tc>
          <w:tcPr>
            <w:tcW w:w="6138" w:type="dxa"/>
            <w:gridSpan w:val="2"/>
          </w:tcPr>
          <w:p w:rsidR="00752263" w:rsidRPr="00ED7E20" w:rsidRDefault="00752263" w:rsidP="00090D69">
            <w:pPr>
              <w:spacing w:after="0" w:line="240" w:lineRule="auto"/>
              <w:rPr>
                <w:rFonts w:ascii="Times New Roman" w:hAnsi="Times New Roman"/>
                <w:color w:val="000080"/>
                <w:sz w:val="24"/>
                <w:szCs w:val="24"/>
              </w:rPr>
            </w:pPr>
            <w:r w:rsidRPr="00ED7E20">
              <w:rPr>
                <w:rFonts w:ascii="Times New Roman" w:hAnsi="Times New Roman"/>
                <w:color w:val="000080"/>
                <w:sz w:val="24"/>
                <w:szCs w:val="24"/>
              </w:rPr>
              <w:t>Cle</w:t>
            </w:r>
            <w:r w:rsidR="000653E1">
              <w:rPr>
                <w:rFonts w:ascii="Times New Roman" w:hAnsi="Times New Roman"/>
                <w:color w:val="000080"/>
                <w:sz w:val="24"/>
                <w:szCs w:val="24"/>
              </w:rPr>
              <w:t>an Air Act Amendments (of 1990)</w:t>
            </w:r>
          </w:p>
        </w:tc>
      </w:tr>
      <w:tr w:rsidR="00752263" w:rsidRPr="00ED7E20" w:rsidTr="00090D69">
        <w:tc>
          <w:tcPr>
            <w:tcW w:w="1872" w:type="dxa"/>
          </w:tcPr>
          <w:p w:rsidR="00752263" w:rsidRPr="00ED7E20" w:rsidRDefault="00752263" w:rsidP="00090D69">
            <w:pPr>
              <w:spacing w:after="0" w:line="240" w:lineRule="auto"/>
              <w:ind w:left="-108"/>
              <w:rPr>
                <w:rFonts w:ascii="Times New Roman" w:hAnsi="Times New Roman"/>
                <w:b/>
                <w:color w:val="000080"/>
                <w:sz w:val="24"/>
                <w:szCs w:val="24"/>
              </w:rPr>
            </w:pPr>
          </w:p>
        </w:tc>
        <w:tc>
          <w:tcPr>
            <w:tcW w:w="6138" w:type="dxa"/>
            <w:gridSpan w:val="2"/>
          </w:tcPr>
          <w:p w:rsidR="00752263" w:rsidRPr="00ED7E20" w:rsidRDefault="00752263" w:rsidP="00090D69">
            <w:pPr>
              <w:spacing w:after="0" w:line="240" w:lineRule="auto"/>
              <w:rPr>
                <w:rFonts w:ascii="Times New Roman" w:hAnsi="Times New Roman"/>
                <w:color w:val="000080"/>
                <w:sz w:val="24"/>
                <w:szCs w:val="24"/>
              </w:rPr>
            </w:pPr>
          </w:p>
        </w:tc>
      </w:tr>
      <w:tr w:rsidR="00854C6D" w:rsidRPr="00ED7E20" w:rsidTr="00090D69">
        <w:tc>
          <w:tcPr>
            <w:tcW w:w="1872" w:type="dxa"/>
          </w:tcPr>
          <w:p w:rsidR="00854C6D" w:rsidRPr="00ED7E20" w:rsidRDefault="00854C6D" w:rsidP="00090D69">
            <w:pPr>
              <w:spacing w:after="0" w:line="240" w:lineRule="auto"/>
              <w:ind w:left="-108"/>
              <w:rPr>
                <w:rFonts w:ascii="Times New Roman" w:hAnsi="Times New Roman"/>
                <w:b/>
                <w:color w:val="000080"/>
                <w:sz w:val="24"/>
                <w:szCs w:val="24"/>
              </w:rPr>
            </w:pPr>
            <w:r>
              <w:rPr>
                <w:rFonts w:ascii="Times New Roman" w:hAnsi="Times New Roman"/>
                <w:b/>
                <w:color w:val="000080"/>
                <w:sz w:val="24"/>
                <w:szCs w:val="24"/>
              </w:rPr>
              <w:t>CaBr</w:t>
            </w:r>
            <w:r w:rsidRPr="00854C6D">
              <w:rPr>
                <w:rFonts w:ascii="Times New Roman" w:hAnsi="Times New Roman"/>
                <w:b/>
                <w:color w:val="000080"/>
                <w:sz w:val="24"/>
                <w:szCs w:val="24"/>
                <w:vertAlign w:val="subscript"/>
              </w:rPr>
              <w:t>2</w:t>
            </w:r>
          </w:p>
        </w:tc>
        <w:tc>
          <w:tcPr>
            <w:tcW w:w="6138" w:type="dxa"/>
            <w:gridSpan w:val="2"/>
          </w:tcPr>
          <w:p w:rsidR="00854C6D" w:rsidRPr="00ED7E20" w:rsidRDefault="00854C6D" w:rsidP="00090D69">
            <w:pPr>
              <w:spacing w:after="0" w:line="240" w:lineRule="auto"/>
              <w:rPr>
                <w:rFonts w:ascii="Times New Roman" w:hAnsi="Times New Roman"/>
                <w:color w:val="000080"/>
                <w:sz w:val="24"/>
                <w:szCs w:val="24"/>
              </w:rPr>
            </w:pPr>
            <w:r>
              <w:rPr>
                <w:rFonts w:ascii="Times New Roman" w:hAnsi="Times New Roman"/>
                <w:color w:val="000080"/>
                <w:sz w:val="24"/>
                <w:szCs w:val="24"/>
              </w:rPr>
              <w:t>Calcium Bromide</w:t>
            </w:r>
          </w:p>
        </w:tc>
      </w:tr>
      <w:tr w:rsidR="00854C6D" w:rsidRPr="00ED7E20" w:rsidTr="00090D69">
        <w:tc>
          <w:tcPr>
            <w:tcW w:w="1872" w:type="dxa"/>
          </w:tcPr>
          <w:p w:rsidR="00854C6D" w:rsidRPr="00ED7E20" w:rsidRDefault="00854C6D" w:rsidP="00090D69">
            <w:pPr>
              <w:spacing w:after="0" w:line="240" w:lineRule="auto"/>
              <w:ind w:left="-108"/>
              <w:rPr>
                <w:rFonts w:ascii="Times New Roman" w:hAnsi="Times New Roman"/>
                <w:b/>
                <w:color w:val="000080"/>
                <w:sz w:val="24"/>
                <w:szCs w:val="24"/>
              </w:rPr>
            </w:pPr>
          </w:p>
        </w:tc>
        <w:tc>
          <w:tcPr>
            <w:tcW w:w="6138" w:type="dxa"/>
            <w:gridSpan w:val="2"/>
          </w:tcPr>
          <w:p w:rsidR="00854C6D" w:rsidRPr="00ED7E20" w:rsidRDefault="00854C6D" w:rsidP="00090D69">
            <w:pPr>
              <w:spacing w:after="0" w:line="240" w:lineRule="auto"/>
              <w:rPr>
                <w:rFonts w:ascii="Times New Roman" w:hAnsi="Times New Roman"/>
                <w:color w:val="000080"/>
                <w:sz w:val="24"/>
                <w:szCs w:val="24"/>
              </w:rPr>
            </w:pPr>
          </w:p>
        </w:tc>
      </w:tr>
      <w:tr w:rsidR="00752263" w:rsidRPr="00ED7E20" w:rsidTr="00090D69">
        <w:tc>
          <w:tcPr>
            <w:tcW w:w="1872" w:type="dxa"/>
          </w:tcPr>
          <w:p w:rsidR="00752263" w:rsidRPr="00ED7E20" w:rsidRDefault="00752263" w:rsidP="00090D69">
            <w:pPr>
              <w:spacing w:after="0" w:line="240" w:lineRule="auto"/>
              <w:ind w:left="-108"/>
              <w:rPr>
                <w:rFonts w:ascii="Times New Roman" w:hAnsi="Times New Roman"/>
                <w:b/>
                <w:color w:val="000080"/>
                <w:sz w:val="24"/>
                <w:szCs w:val="24"/>
              </w:rPr>
            </w:pPr>
            <w:r w:rsidRPr="00ED7E20">
              <w:rPr>
                <w:rFonts w:ascii="Times New Roman" w:hAnsi="Times New Roman"/>
                <w:b/>
                <w:color w:val="000080"/>
                <w:sz w:val="24"/>
                <w:szCs w:val="24"/>
              </w:rPr>
              <w:t>CAIR</w:t>
            </w:r>
          </w:p>
        </w:tc>
        <w:tc>
          <w:tcPr>
            <w:tcW w:w="6138" w:type="dxa"/>
            <w:gridSpan w:val="2"/>
          </w:tcPr>
          <w:p w:rsidR="00752263" w:rsidRPr="00ED7E20" w:rsidRDefault="000653E1" w:rsidP="00090D69">
            <w:pPr>
              <w:spacing w:after="0" w:line="240" w:lineRule="auto"/>
              <w:rPr>
                <w:rFonts w:ascii="Times New Roman" w:hAnsi="Times New Roman"/>
                <w:color w:val="000080"/>
                <w:sz w:val="24"/>
                <w:szCs w:val="24"/>
              </w:rPr>
            </w:pPr>
            <w:r>
              <w:rPr>
                <w:rFonts w:ascii="Times New Roman" w:hAnsi="Times New Roman"/>
                <w:color w:val="000080"/>
                <w:sz w:val="24"/>
                <w:szCs w:val="24"/>
              </w:rPr>
              <w:t>Clean Air Interstate Rule</w:t>
            </w:r>
          </w:p>
        </w:tc>
      </w:tr>
      <w:tr w:rsidR="00752263" w:rsidRPr="00ED7E20" w:rsidTr="00090D69">
        <w:tc>
          <w:tcPr>
            <w:tcW w:w="1872" w:type="dxa"/>
          </w:tcPr>
          <w:p w:rsidR="00752263" w:rsidRPr="00ED7E20" w:rsidRDefault="00752263" w:rsidP="00090D69">
            <w:pPr>
              <w:spacing w:after="0" w:line="240" w:lineRule="auto"/>
              <w:ind w:left="-108"/>
              <w:rPr>
                <w:rFonts w:ascii="Times New Roman" w:hAnsi="Times New Roman"/>
                <w:b/>
                <w:color w:val="000080"/>
                <w:sz w:val="24"/>
                <w:szCs w:val="24"/>
              </w:rPr>
            </w:pPr>
          </w:p>
        </w:tc>
        <w:tc>
          <w:tcPr>
            <w:tcW w:w="6138" w:type="dxa"/>
            <w:gridSpan w:val="2"/>
          </w:tcPr>
          <w:p w:rsidR="00752263" w:rsidRPr="00ED7E20" w:rsidRDefault="00752263" w:rsidP="00090D69">
            <w:pPr>
              <w:spacing w:after="0" w:line="240" w:lineRule="auto"/>
              <w:rPr>
                <w:rFonts w:ascii="Times New Roman" w:hAnsi="Times New Roman"/>
                <w:color w:val="000080"/>
                <w:sz w:val="24"/>
                <w:szCs w:val="24"/>
              </w:rPr>
            </w:pPr>
          </w:p>
        </w:tc>
      </w:tr>
      <w:tr w:rsidR="00752263" w:rsidRPr="00ED7E20" w:rsidTr="00090D69">
        <w:tc>
          <w:tcPr>
            <w:tcW w:w="1872" w:type="dxa"/>
          </w:tcPr>
          <w:p w:rsidR="00752263" w:rsidRPr="00ED7E20" w:rsidRDefault="00752263" w:rsidP="00090D69">
            <w:pPr>
              <w:spacing w:after="0" w:line="240" w:lineRule="auto"/>
              <w:ind w:left="-108"/>
              <w:rPr>
                <w:rFonts w:ascii="Times New Roman" w:hAnsi="Times New Roman"/>
                <w:b/>
                <w:color w:val="000080"/>
                <w:sz w:val="24"/>
                <w:szCs w:val="24"/>
              </w:rPr>
            </w:pPr>
            <w:r w:rsidRPr="00ED7E20">
              <w:rPr>
                <w:rFonts w:ascii="Times New Roman" w:hAnsi="Times New Roman"/>
                <w:b/>
                <w:color w:val="000080"/>
                <w:sz w:val="24"/>
                <w:szCs w:val="24"/>
              </w:rPr>
              <w:t>CAVR</w:t>
            </w:r>
          </w:p>
        </w:tc>
        <w:tc>
          <w:tcPr>
            <w:tcW w:w="6138" w:type="dxa"/>
            <w:gridSpan w:val="2"/>
          </w:tcPr>
          <w:p w:rsidR="00752263" w:rsidRPr="00ED7E20" w:rsidRDefault="00752263" w:rsidP="00090D69">
            <w:pPr>
              <w:spacing w:after="0" w:line="240" w:lineRule="auto"/>
              <w:rPr>
                <w:rFonts w:ascii="Times New Roman" w:hAnsi="Times New Roman"/>
                <w:color w:val="000080"/>
                <w:sz w:val="24"/>
                <w:szCs w:val="24"/>
              </w:rPr>
            </w:pPr>
            <w:r w:rsidRPr="00ED7E20">
              <w:rPr>
                <w:rFonts w:ascii="Times New Roman" w:hAnsi="Times New Roman"/>
                <w:color w:val="000080"/>
                <w:sz w:val="24"/>
                <w:szCs w:val="24"/>
              </w:rPr>
              <w:t xml:space="preserve">Clean Air Visibility </w:t>
            </w:r>
            <w:r w:rsidR="000653E1">
              <w:rPr>
                <w:rFonts w:ascii="Times New Roman" w:hAnsi="Times New Roman"/>
                <w:color w:val="000080"/>
                <w:sz w:val="24"/>
                <w:szCs w:val="24"/>
              </w:rPr>
              <w:t>Rule</w:t>
            </w:r>
          </w:p>
        </w:tc>
      </w:tr>
      <w:tr w:rsidR="00752263" w:rsidRPr="00ED7E20" w:rsidTr="00090D69">
        <w:tc>
          <w:tcPr>
            <w:tcW w:w="1872" w:type="dxa"/>
          </w:tcPr>
          <w:p w:rsidR="00752263" w:rsidRPr="00ED7E20" w:rsidRDefault="00752263" w:rsidP="00090D69">
            <w:pPr>
              <w:spacing w:after="0" w:line="240" w:lineRule="auto"/>
              <w:ind w:left="-108"/>
              <w:rPr>
                <w:rFonts w:ascii="Times New Roman" w:hAnsi="Times New Roman"/>
                <w:b/>
                <w:color w:val="000080"/>
                <w:sz w:val="24"/>
                <w:szCs w:val="24"/>
              </w:rPr>
            </w:pPr>
          </w:p>
        </w:tc>
        <w:tc>
          <w:tcPr>
            <w:tcW w:w="6138" w:type="dxa"/>
            <w:gridSpan w:val="2"/>
          </w:tcPr>
          <w:p w:rsidR="00752263" w:rsidRPr="00ED7E20" w:rsidRDefault="00752263" w:rsidP="00090D69">
            <w:pPr>
              <w:spacing w:after="0" w:line="240" w:lineRule="auto"/>
              <w:rPr>
                <w:rFonts w:ascii="Times New Roman" w:hAnsi="Times New Roman"/>
                <w:color w:val="000080"/>
                <w:sz w:val="24"/>
                <w:szCs w:val="24"/>
              </w:rPr>
            </w:pPr>
          </w:p>
        </w:tc>
      </w:tr>
      <w:tr w:rsidR="00752263" w:rsidRPr="00ED7E20" w:rsidTr="00090D69">
        <w:tc>
          <w:tcPr>
            <w:tcW w:w="1872" w:type="dxa"/>
          </w:tcPr>
          <w:p w:rsidR="00752263" w:rsidRPr="00ED7E20" w:rsidRDefault="00752263" w:rsidP="00090D69">
            <w:pPr>
              <w:spacing w:after="0" w:line="240" w:lineRule="auto"/>
              <w:ind w:left="-108"/>
              <w:rPr>
                <w:rFonts w:ascii="Times New Roman" w:hAnsi="Times New Roman"/>
                <w:b/>
                <w:color w:val="000080"/>
                <w:sz w:val="24"/>
                <w:szCs w:val="24"/>
              </w:rPr>
            </w:pPr>
            <w:r w:rsidRPr="00ED7E20">
              <w:rPr>
                <w:rFonts w:ascii="Times New Roman" w:hAnsi="Times New Roman"/>
                <w:b/>
                <w:color w:val="000080"/>
                <w:sz w:val="24"/>
                <w:szCs w:val="24"/>
              </w:rPr>
              <w:t>CCOFA</w:t>
            </w:r>
          </w:p>
        </w:tc>
        <w:tc>
          <w:tcPr>
            <w:tcW w:w="6138" w:type="dxa"/>
            <w:gridSpan w:val="2"/>
          </w:tcPr>
          <w:p w:rsidR="00752263" w:rsidRPr="00ED7E20" w:rsidRDefault="00752263" w:rsidP="000653E1">
            <w:pPr>
              <w:spacing w:after="0" w:line="240" w:lineRule="auto"/>
              <w:rPr>
                <w:rFonts w:ascii="Times New Roman" w:hAnsi="Times New Roman"/>
                <w:color w:val="000080"/>
                <w:sz w:val="24"/>
                <w:szCs w:val="24"/>
              </w:rPr>
            </w:pPr>
            <w:r w:rsidRPr="00ED7E20">
              <w:rPr>
                <w:rFonts w:ascii="Times New Roman" w:hAnsi="Times New Roman"/>
                <w:color w:val="000080"/>
                <w:sz w:val="24"/>
                <w:szCs w:val="24"/>
              </w:rPr>
              <w:t>Close-Coupled Overfire Air</w:t>
            </w:r>
          </w:p>
        </w:tc>
      </w:tr>
      <w:tr w:rsidR="00752263" w:rsidRPr="00ED7E20" w:rsidTr="00090D69">
        <w:tc>
          <w:tcPr>
            <w:tcW w:w="1872" w:type="dxa"/>
          </w:tcPr>
          <w:p w:rsidR="00752263" w:rsidRPr="00ED7E20" w:rsidRDefault="00752263" w:rsidP="00090D69">
            <w:pPr>
              <w:spacing w:after="0" w:line="240" w:lineRule="auto"/>
              <w:ind w:left="-108"/>
              <w:rPr>
                <w:rFonts w:ascii="Times New Roman" w:hAnsi="Times New Roman"/>
                <w:b/>
                <w:color w:val="000080"/>
                <w:sz w:val="24"/>
                <w:szCs w:val="24"/>
              </w:rPr>
            </w:pPr>
          </w:p>
        </w:tc>
        <w:tc>
          <w:tcPr>
            <w:tcW w:w="6138" w:type="dxa"/>
            <w:gridSpan w:val="2"/>
          </w:tcPr>
          <w:p w:rsidR="00752263" w:rsidRPr="00ED7E20" w:rsidRDefault="00752263" w:rsidP="00090D69">
            <w:pPr>
              <w:spacing w:after="0" w:line="240" w:lineRule="auto"/>
              <w:rPr>
                <w:rFonts w:ascii="Times New Roman" w:hAnsi="Times New Roman"/>
                <w:color w:val="000080"/>
                <w:sz w:val="24"/>
                <w:szCs w:val="24"/>
              </w:rPr>
            </w:pPr>
          </w:p>
        </w:tc>
      </w:tr>
      <w:tr w:rsidR="00752263" w:rsidRPr="00ED7E20" w:rsidTr="00090D69">
        <w:tc>
          <w:tcPr>
            <w:tcW w:w="1872" w:type="dxa"/>
          </w:tcPr>
          <w:p w:rsidR="00752263" w:rsidRPr="00ED7E20" w:rsidRDefault="00752263" w:rsidP="00090D69">
            <w:pPr>
              <w:spacing w:after="0" w:line="240" w:lineRule="auto"/>
              <w:ind w:left="-108"/>
              <w:rPr>
                <w:rFonts w:ascii="Times New Roman" w:hAnsi="Times New Roman"/>
                <w:b/>
                <w:color w:val="000080"/>
                <w:sz w:val="24"/>
                <w:szCs w:val="24"/>
              </w:rPr>
            </w:pPr>
            <w:r w:rsidRPr="00ED7E20">
              <w:rPr>
                <w:rFonts w:ascii="Times New Roman" w:hAnsi="Times New Roman"/>
                <w:b/>
                <w:color w:val="000080"/>
                <w:sz w:val="24"/>
                <w:szCs w:val="24"/>
              </w:rPr>
              <w:t>CEM</w:t>
            </w:r>
          </w:p>
        </w:tc>
        <w:tc>
          <w:tcPr>
            <w:tcW w:w="6138" w:type="dxa"/>
            <w:gridSpan w:val="2"/>
          </w:tcPr>
          <w:p w:rsidR="00752263" w:rsidRPr="00ED7E20" w:rsidRDefault="00752263" w:rsidP="00090D69">
            <w:pPr>
              <w:spacing w:after="0" w:line="240" w:lineRule="auto"/>
              <w:rPr>
                <w:rFonts w:ascii="Times New Roman" w:hAnsi="Times New Roman"/>
                <w:color w:val="000080"/>
                <w:sz w:val="24"/>
                <w:szCs w:val="24"/>
              </w:rPr>
            </w:pPr>
            <w:r w:rsidRPr="00ED7E20">
              <w:rPr>
                <w:rFonts w:ascii="Times New Roman" w:hAnsi="Times New Roman"/>
                <w:color w:val="000080"/>
                <w:sz w:val="24"/>
                <w:szCs w:val="24"/>
              </w:rPr>
              <w:t>Continu</w:t>
            </w:r>
            <w:r w:rsidR="000653E1">
              <w:rPr>
                <w:rFonts w:ascii="Times New Roman" w:hAnsi="Times New Roman"/>
                <w:color w:val="000080"/>
                <w:sz w:val="24"/>
                <w:szCs w:val="24"/>
              </w:rPr>
              <w:t>ous Emissions Monitoring System</w:t>
            </w:r>
          </w:p>
        </w:tc>
      </w:tr>
      <w:tr w:rsidR="00752263" w:rsidRPr="00ED7E20" w:rsidTr="00090D69">
        <w:tc>
          <w:tcPr>
            <w:tcW w:w="1872" w:type="dxa"/>
          </w:tcPr>
          <w:p w:rsidR="00752263" w:rsidRPr="00ED7E20" w:rsidRDefault="00752263" w:rsidP="00090D69">
            <w:pPr>
              <w:spacing w:after="0" w:line="240" w:lineRule="auto"/>
              <w:ind w:left="-108"/>
              <w:rPr>
                <w:rFonts w:ascii="Times New Roman" w:hAnsi="Times New Roman"/>
                <w:b/>
                <w:color w:val="000080"/>
                <w:sz w:val="24"/>
                <w:szCs w:val="24"/>
              </w:rPr>
            </w:pPr>
          </w:p>
        </w:tc>
        <w:tc>
          <w:tcPr>
            <w:tcW w:w="6138" w:type="dxa"/>
            <w:gridSpan w:val="2"/>
          </w:tcPr>
          <w:p w:rsidR="00752263" w:rsidRPr="00ED7E20" w:rsidRDefault="00752263" w:rsidP="00090D69">
            <w:pPr>
              <w:spacing w:after="0" w:line="240" w:lineRule="auto"/>
              <w:rPr>
                <w:rFonts w:ascii="Times New Roman" w:hAnsi="Times New Roman"/>
                <w:color w:val="000080"/>
                <w:sz w:val="24"/>
                <w:szCs w:val="24"/>
              </w:rPr>
            </w:pPr>
          </w:p>
        </w:tc>
      </w:tr>
      <w:tr w:rsidR="00752263" w:rsidRPr="00ED7E20" w:rsidTr="00090D69">
        <w:tc>
          <w:tcPr>
            <w:tcW w:w="1872" w:type="dxa"/>
          </w:tcPr>
          <w:p w:rsidR="00752263" w:rsidRPr="00ED7E20" w:rsidRDefault="00752263" w:rsidP="00090D69">
            <w:pPr>
              <w:spacing w:after="0" w:line="240" w:lineRule="auto"/>
              <w:ind w:left="-108"/>
              <w:rPr>
                <w:rFonts w:ascii="Times New Roman" w:hAnsi="Times New Roman"/>
                <w:b/>
                <w:color w:val="000080"/>
                <w:sz w:val="24"/>
                <w:szCs w:val="24"/>
              </w:rPr>
            </w:pPr>
            <w:r w:rsidRPr="00ED7E20">
              <w:rPr>
                <w:rFonts w:ascii="Times New Roman" w:hAnsi="Times New Roman"/>
                <w:b/>
                <w:color w:val="000080"/>
                <w:sz w:val="24"/>
                <w:szCs w:val="24"/>
              </w:rPr>
              <w:t>CFS</w:t>
            </w:r>
          </w:p>
        </w:tc>
        <w:tc>
          <w:tcPr>
            <w:tcW w:w="6138" w:type="dxa"/>
            <w:gridSpan w:val="2"/>
          </w:tcPr>
          <w:p w:rsidR="00752263" w:rsidRPr="00ED7E20" w:rsidRDefault="000653E1" w:rsidP="00090D69">
            <w:pPr>
              <w:spacing w:after="0" w:line="240" w:lineRule="auto"/>
              <w:rPr>
                <w:rFonts w:ascii="Times New Roman" w:hAnsi="Times New Roman"/>
                <w:color w:val="000080"/>
                <w:sz w:val="24"/>
                <w:szCs w:val="24"/>
              </w:rPr>
            </w:pPr>
            <w:r>
              <w:rPr>
                <w:rFonts w:ascii="Times New Roman" w:hAnsi="Times New Roman"/>
                <w:color w:val="000080"/>
                <w:sz w:val="24"/>
                <w:szCs w:val="24"/>
              </w:rPr>
              <w:t>Concentric Firing System</w:t>
            </w:r>
          </w:p>
        </w:tc>
      </w:tr>
      <w:tr w:rsidR="00752263" w:rsidRPr="00ED7E20" w:rsidTr="00090D69">
        <w:tc>
          <w:tcPr>
            <w:tcW w:w="1872" w:type="dxa"/>
          </w:tcPr>
          <w:p w:rsidR="00752263" w:rsidRPr="00ED7E20" w:rsidRDefault="00752263" w:rsidP="00090D69">
            <w:pPr>
              <w:spacing w:after="0" w:line="240" w:lineRule="auto"/>
              <w:ind w:left="-108"/>
              <w:rPr>
                <w:rFonts w:ascii="Times New Roman" w:hAnsi="Times New Roman"/>
                <w:b/>
                <w:color w:val="000080"/>
                <w:sz w:val="24"/>
                <w:szCs w:val="24"/>
              </w:rPr>
            </w:pPr>
          </w:p>
        </w:tc>
        <w:tc>
          <w:tcPr>
            <w:tcW w:w="6138" w:type="dxa"/>
            <w:gridSpan w:val="2"/>
          </w:tcPr>
          <w:p w:rsidR="00752263" w:rsidRPr="00ED7E20" w:rsidRDefault="00752263" w:rsidP="00090D69">
            <w:pPr>
              <w:spacing w:after="0" w:line="240" w:lineRule="auto"/>
              <w:rPr>
                <w:rFonts w:ascii="Times New Roman" w:hAnsi="Times New Roman"/>
                <w:color w:val="000080"/>
                <w:sz w:val="24"/>
                <w:szCs w:val="24"/>
              </w:rPr>
            </w:pPr>
          </w:p>
        </w:tc>
      </w:tr>
      <w:tr w:rsidR="00752263" w:rsidRPr="00ED7E20" w:rsidTr="00090D69">
        <w:tc>
          <w:tcPr>
            <w:tcW w:w="1872" w:type="dxa"/>
          </w:tcPr>
          <w:p w:rsidR="00752263" w:rsidRPr="00ED7E20" w:rsidRDefault="00752263" w:rsidP="00090D69">
            <w:pPr>
              <w:spacing w:after="0" w:line="240" w:lineRule="auto"/>
              <w:ind w:left="-108"/>
              <w:rPr>
                <w:rFonts w:ascii="Times New Roman" w:hAnsi="Times New Roman"/>
                <w:b/>
                <w:color w:val="000080"/>
                <w:sz w:val="24"/>
                <w:szCs w:val="24"/>
              </w:rPr>
            </w:pPr>
            <w:r w:rsidRPr="00ED7E20">
              <w:rPr>
                <w:rFonts w:ascii="Times New Roman" w:hAnsi="Times New Roman"/>
                <w:b/>
                <w:color w:val="000080"/>
                <w:sz w:val="24"/>
                <w:szCs w:val="24"/>
              </w:rPr>
              <w:t>CO</w:t>
            </w:r>
          </w:p>
        </w:tc>
        <w:tc>
          <w:tcPr>
            <w:tcW w:w="6138" w:type="dxa"/>
            <w:gridSpan w:val="2"/>
          </w:tcPr>
          <w:p w:rsidR="00752263" w:rsidRPr="00ED7E20" w:rsidRDefault="000653E1" w:rsidP="00090D69">
            <w:pPr>
              <w:spacing w:after="0" w:line="240" w:lineRule="auto"/>
              <w:rPr>
                <w:rFonts w:ascii="Times New Roman" w:hAnsi="Times New Roman"/>
                <w:color w:val="000080"/>
                <w:sz w:val="24"/>
                <w:szCs w:val="24"/>
              </w:rPr>
            </w:pPr>
            <w:r>
              <w:rPr>
                <w:rFonts w:ascii="Times New Roman" w:hAnsi="Times New Roman"/>
                <w:color w:val="000080"/>
                <w:sz w:val="24"/>
                <w:szCs w:val="24"/>
              </w:rPr>
              <w:t>Carbon Monoxide</w:t>
            </w:r>
          </w:p>
        </w:tc>
      </w:tr>
      <w:tr w:rsidR="00752263" w:rsidRPr="00ED7E20" w:rsidTr="00090D69">
        <w:tc>
          <w:tcPr>
            <w:tcW w:w="1872" w:type="dxa"/>
          </w:tcPr>
          <w:p w:rsidR="00752263" w:rsidRPr="00ED7E20" w:rsidRDefault="00752263" w:rsidP="00090D69">
            <w:pPr>
              <w:spacing w:after="0" w:line="240" w:lineRule="auto"/>
              <w:rPr>
                <w:rFonts w:ascii="Times New Roman" w:hAnsi="Times New Roman"/>
                <w:b/>
                <w:color w:val="000080"/>
                <w:sz w:val="24"/>
                <w:szCs w:val="24"/>
              </w:rPr>
            </w:pPr>
          </w:p>
        </w:tc>
        <w:tc>
          <w:tcPr>
            <w:tcW w:w="6138" w:type="dxa"/>
            <w:gridSpan w:val="2"/>
          </w:tcPr>
          <w:p w:rsidR="00752263" w:rsidRPr="00ED7E20" w:rsidRDefault="00752263" w:rsidP="00090D69">
            <w:pPr>
              <w:spacing w:after="0" w:line="240" w:lineRule="auto"/>
              <w:rPr>
                <w:rFonts w:ascii="Times New Roman" w:hAnsi="Times New Roman"/>
                <w:color w:val="000080"/>
                <w:sz w:val="24"/>
                <w:szCs w:val="24"/>
              </w:rPr>
            </w:pP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r w:rsidRPr="00ED7E20">
              <w:rPr>
                <w:rFonts w:ascii="Times New Roman" w:hAnsi="Times New Roman"/>
                <w:b/>
                <w:color w:val="000080"/>
                <w:sz w:val="24"/>
                <w:szCs w:val="24"/>
              </w:rPr>
              <w:t>CO</w:t>
            </w:r>
            <w:r w:rsidRPr="00ED7E20">
              <w:rPr>
                <w:rFonts w:ascii="Times New Roman" w:hAnsi="Times New Roman"/>
                <w:b/>
                <w:smallCaps/>
                <w:color w:val="000080"/>
                <w:sz w:val="24"/>
                <w:szCs w:val="24"/>
                <w:vertAlign w:val="subscript"/>
              </w:rPr>
              <w:t>2</w:t>
            </w:r>
          </w:p>
        </w:tc>
        <w:tc>
          <w:tcPr>
            <w:tcW w:w="6120" w:type="dxa"/>
          </w:tcPr>
          <w:p w:rsidR="00752263" w:rsidRPr="00ED7E20" w:rsidRDefault="000653E1" w:rsidP="00090D69">
            <w:pPr>
              <w:spacing w:after="0" w:line="240" w:lineRule="auto"/>
              <w:rPr>
                <w:rFonts w:ascii="Times New Roman" w:hAnsi="Times New Roman"/>
                <w:color w:val="000080"/>
                <w:sz w:val="24"/>
                <w:szCs w:val="24"/>
              </w:rPr>
            </w:pPr>
            <w:r>
              <w:rPr>
                <w:rFonts w:ascii="Times New Roman" w:hAnsi="Times New Roman"/>
                <w:color w:val="000080"/>
                <w:sz w:val="24"/>
                <w:szCs w:val="24"/>
              </w:rPr>
              <w:t>Carbon Dioxide</w:t>
            </w: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p>
        </w:tc>
        <w:tc>
          <w:tcPr>
            <w:tcW w:w="6120" w:type="dxa"/>
          </w:tcPr>
          <w:p w:rsidR="00752263" w:rsidRPr="00ED7E20" w:rsidRDefault="00752263" w:rsidP="00090D69">
            <w:pPr>
              <w:spacing w:after="0" w:line="240" w:lineRule="auto"/>
              <w:rPr>
                <w:rFonts w:ascii="Times New Roman" w:hAnsi="Times New Roman"/>
                <w:color w:val="000080"/>
                <w:sz w:val="24"/>
                <w:szCs w:val="24"/>
              </w:rPr>
            </w:pP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snapToGrid w:val="0"/>
                <w:color w:val="000080"/>
                <w:sz w:val="24"/>
                <w:szCs w:val="24"/>
              </w:rPr>
            </w:pPr>
            <w:r w:rsidRPr="00ED7E20">
              <w:rPr>
                <w:rFonts w:ascii="Times New Roman" w:hAnsi="Times New Roman"/>
                <w:b/>
                <w:snapToGrid w:val="0"/>
                <w:color w:val="000080"/>
                <w:sz w:val="24"/>
                <w:szCs w:val="24"/>
              </w:rPr>
              <w:t>COHPAC</w:t>
            </w:r>
          </w:p>
        </w:tc>
        <w:tc>
          <w:tcPr>
            <w:tcW w:w="6120" w:type="dxa"/>
          </w:tcPr>
          <w:p w:rsidR="00752263" w:rsidRPr="00ED7E20" w:rsidRDefault="00752263" w:rsidP="00090D69">
            <w:pPr>
              <w:spacing w:after="0" w:line="240" w:lineRule="auto"/>
              <w:rPr>
                <w:rFonts w:ascii="Times New Roman" w:hAnsi="Times New Roman"/>
                <w:snapToGrid w:val="0"/>
                <w:color w:val="000080"/>
                <w:sz w:val="24"/>
                <w:szCs w:val="24"/>
              </w:rPr>
            </w:pPr>
            <w:r w:rsidRPr="00ED7E20">
              <w:rPr>
                <w:rFonts w:ascii="Times New Roman" w:hAnsi="Times New Roman"/>
                <w:snapToGrid w:val="0"/>
                <w:color w:val="000080"/>
                <w:sz w:val="24"/>
                <w:szCs w:val="24"/>
              </w:rPr>
              <w:t xml:space="preserve">Compact Hybrid Particulate </w:t>
            </w:r>
            <w:r w:rsidR="000653E1">
              <w:rPr>
                <w:rFonts w:ascii="Times New Roman" w:hAnsi="Times New Roman"/>
                <w:snapToGrid w:val="0"/>
                <w:color w:val="000080"/>
                <w:sz w:val="24"/>
                <w:szCs w:val="24"/>
              </w:rPr>
              <w:t>Collector</w:t>
            </w:r>
          </w:p>
        </w:tc>
      </w:tr>
      <w:tr w:rsidR="00752263" w:rsidRPr="00ED7E20" w:rsidTr="00090D69">
        <w:trPr>
          <w:gridAfter w:val="1"/>
          <w:wAfter w:w="18" w:type="dxa"/>
        </w:trPr>
        <w:tc>
          <w:tcPr>
            <w:tcW w:w="1872" w:type="dxa"/>
          </w:tcPr>
          <w:p w:rsidR="00752263" w:rsidRPr="00ED7E20" w:rsidRDefault="00752263" w:rsidP="00090D69">
            <w:pPr>
              <w:keepNext/>
              <w:keepLines/>
              <w:spacing w:after="0" w:line="240" w:lineRule="auto"/>
              <w:ind w:left="-86"/>
              <w:rPr>
                <w:rFonts w:ascii="Times New Roman" w:hAnsi="Times New Roman"/>
                <w:b/>
                <w:snapToGrid w:val="0"/>
                <w:color w:val="000080"/>
                <w:sz w:val="24"/>
                <w:szCs w:val="24"/>
              </w:rPr>
            </w:pPr>
          </w:p>
        </w:tc>
        <w:tc>
          <w:tcPr>
            <w:tcW w:w="6120" w:type="dxa"/>
          </w:tcPr>
          <w:p w:rsidR="00752263" w:rsidRPr="00ED7E20" w:rsidRDefault="00752263" w:rsidP="00090D69">
            <w:pPr>
              <w:spacing w:after="0" w:line="240" w:lineRule="auto"/>
              <w:rPr>
                <w:rFonts w:ascii="Times New Roman" w:hAnsi="Times New Roman"/>
                <w:snapToGrid w:val="0"/>
                <w:color w:val="000080"/>
                <w:sz w:val="24"/>
                <w:szCs w:val="24"/>
              </w:rPr>
            </w:pP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snapToGrid w:val="0"/>
                <w:color w:val="000080"/>
                <w:sz w:val="24"/>
                <w:szCs w:val="24"/>
              </w:rPr>
            </w:pPr>
            <w:r w:rsidRPr="00ED7E20">
              <w:rPr>
                <w:rFonts w:ascii="Times New Roman" w:hAnsi="Times New Roman"/>
                <w:b/>
                <w:snapToGrid w:val="0"/>
                <w:color w:val="000080"/>
                <w:sz w:val="24"/>
                <w:szCs w:val="24"/>
              </w:rPr>
              <w:t>CWA</w:t>
            </w:r>
          </w:p>
        </w:tc>
        <w:tc>
          <w:tcPr>
            <w:tcW w:w="6120" w:type="dxa"/>
          </w:tcPr>
          <w:p w:rsidR="00752263" w:rsidRPr="00ED7E20" w:rsidRDefault="00752263" w:rsidP="00090D69">
            <w:pPr>
              <w:spacing w:after="0" w:line="240" w:lineRule="auto"/>
              <w:rPr>
                <w:rFonts w:ascii="Times New Roman" w:hAnsi="Times New Roman"/>
                <w:color w:val="000080"/>
                <w:sz w:val="24"/>
                <w:szCs w:val="24"/>
              </w:rPr>
            </w:pPr>
            <w:r w:rsidRPr="00ED7E20">
              <w:rPr>
                <w:rFonts w:ascii="Times New Roman" w:hAnsi="Times New Roman"/>
                <w:snapToGrid w:val="0"/>
                <w:color w:val="000080"/>
                <w:sz w:val="24"/>
                <w:szCs w:val="24"/>
              </w:rPr>
              <w:t>Clean Water Act</w:t>
            </w: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p>
        </w:tc>
        <w:tc>
          <w:tcPr>
            <w:tcW w:w="6120" w:type="dxa"/>
          </w:tcPr>
          <w:p w:rsidR="00752263" w:rsidRPr="00ED7E20" w:rsidRDefault="00752263" w:rsidP="00090D69">
            <w:pPr>
              <w:spacing w:after="0" w:line="240" w:lineRule="auto"/>
              <w:rPr>
                <w:rFonts w:ascii="Times New Roman" w:hAnsi="Times New Roman"/>
                <w:color w:val="000080"/>
                <w:sz w:val="24"/>
                <w:szCs w:val="24"/>
              </w:rPr>
            </w:pPr>
          </w:p>
        </w:tc>
      </w:tr>
      <w:tr w:rsidR="00935BB1" w:rsidRPr="00ED7E20" w:rsidTr="00090D69">
        <w:trPr>
          <w:gridAfter w:val="1"/>
          <w:wAfter w:w="18" w:type="dxa"/>
        </w:trPr>
        <w:tc>
          <w:tcPr>
            <w:tcW w:w="1872" w:type="dxa"/>
          </w:tcPr>
          <w:p w:rsidR="00935BB1" w:rsidRPr="00ED7E20" w:rsidRDefault="00935BB1" w:rsidP="00090D69">
            <w:pPr>
              <w:spacing w:after="0" w:line="240" w:lineRule="auto"/>
              <w:ind w:left="-90"/>
              <w:rPr>
                <w:rFonts w:ascii="Times New Roman" w:hAnsi="Times New Roman"/>
                <w:b/>
                <w:color w:val="000080"/>
                <w:sz w:val="24"/>
                <w:szCs w:val="24"/>
              </w:rPr>
            </w:pPr>
            <w:r>
              <w:rPr>
                <w:rFonts w:ascii="Times New Roman" w:hAnsi="Times New Roman"/>
                <w:b/>
                <w:color w:val="000080"/>
                <w:sz w:val="24"/>
                <w:szCs w:val="24"/>
              </w:rPr>
              <w:t>CWWS</w:t>
            </w:r>
          </w:p>
        </w:tc>
        <w:tc>
          <w:tcPr>
            <w:tcW w:w="6120" w:type="dxa"/>
          </w:tcPr>
          <w:p w:rsidR="00935BB1" w:rsidRPr="00ED7E20" w:rsidRDefault="00935BB1" w:rsidP="00090D69">
            <w:pPr>
              <w:spacing w:after="0" w:line="240" w:lineRule="auto"/>
              <w:rPr>
                <w:rFonts w:ascii="Times New Roman" w:hAnsi="Times New Roman"/>
                <w:color w:val="000080"/>
                <w:sz w:val="24"/>
                <w:szCs w:val="24"/>
              </w:rPr>
            </w:pPr>
            <w:r>
              <w:rPr>
                <w:rFonts w:ascii="Times New Roman" w:hAnsi="Times New Roman"/>
                <w:color w:val="000080"/>
                <w:sz w:val="24"/>
                <w:szCs w:val="24"/>
              </w:rPr>
              <w:t>Cylindrical Wedge Wire Screens</w:t>
            </w:r>
          </w:p>
        </w:tc>
      </w:tr>
      <w:tr w:rsidR="00935BB1" w:rsidRPr="00ED7E20" w:rsidTr="00090D69">
        <w:trPr>
          <w:gridAfter w:val="1"/>
          <w:wAfter w:w="18" w:type="dxa"/>
        </w:trPr>
        <w:tc>
          <w:tcPr>
            <w:tcW w:w="1872" w:type="dxa"/>
          </w:tcPr>
          <w:p w:rsidR="00935BB1" w:rsidRPr="00ED7E20" w:rsidRDefault="00935BB1" w:rsidP="00090D69">
            <w:pPr>
              <w:spacing w:after="0" w:line="240" w:lineRule="auto"/>
              <w:ind w:left="-90"/>
              <w:rPr>
                <w:rFonts w:ascii="Times New Roman" w:hAnsi="Times New Roman"/>
                <w:b/>
                <w:color w:val="000080"/>
                <w:sz w:val="24"/>
                <w:szCs w:val="24"/>
              </w:rPr>
            </w:pPr>
          </w:p>
        </w:tc>
        <w:tc>
          <w:tcPr>
            <w:tcW w:w="6120" w:type="dxa"/>
          </w:tcPr>
          <w:p w:rsidR="00935BB1" w:rsidRPr="00ED7E20" w:rsidRDefault="00935BB1" w:rsidP="00090D69">
            <w:pPr>
              <w:spacing w:after="0" w:line="240" w:lineRule="auto"/>
              <w:rPr>
                <w:rFonts w:ascii="Times New Roman" w:hAnsi="Times New Roman"/>
                <w:color w:val="000080"/>
                <w:sz w:val="24"/>
                <w:szCs w:val="24"/>
              </w:rPr>
            </w:pP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r w:rsidRPr="00ED7E20">
              <w:rPr>
                <w:rFonts w:ascii="Times New Roman" w:hAnsi="Times New Roman"/>
                <w:b/>
                <w:color w:val="000080"/>
                <w:sz w:val="24"/>
                <w:szCs w:val="24"/>
              </w:rPr>
              <w:t>DOE</w:t>
            </w:r>
          </w:p>
        </w:tc>
        <w:tc>
          <w:tcPr>
            <w:tcW w:w="6120" w:type="dxa"/>
          </w:tcPr>
          <w:p w:rsidR="00752263" w:rsidRPr="00ED7E20" w:rsidRDefault="000653E1" w:rsidP="00090D69">
            <w:pPr>
              <w:spacing w:after="0" w:line="240" w:lineRule="auto"/>
              <w:rPr>
                <w:rFonts w:ascii="Times New Roman" w:hAnsi="Times New Roman"/>
                <w:color w:val="000080"/>
                <w:sz w:val="24"/>
                <w:szCs w:val="24"/>
              </w:rPr>
            </w:pPr>
            <w:r>
              <w:rPr>
                <w:rFonts w:ascii="Times New Roman" w:hAnsi="Times New Roman"/>
                <w:color w:val="000080"/>
                <w:sz w:val="24"/>
                <w:szCs w:val="24"/>
              </w:rPr>
              <w:t>Department of Energy</w:t>
            </w: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p>
        </w:tc>
        <w:tc>
          <w:tcPr>
            <w:tcW w:w="6120" w:type="dxa"/>
          </w:tcPr>
          <w:p w:rsidR="00752263" w:rsidRPr="00ED7E20" w:rsidRDefault="00752263" w:rsidP="00090D69">
            <w:pPr>
              <w:spacing w:after="0" w:line="240" w:lineRule="auto"/>
              <w:rPr>
                <w:rFonts w:ascii="Times New Roman" w:hAnsi="Times New Roman"/>
                <w:color w:val="000080"/>
                <w:sz w:val="24"/>
                <w:szCs w:val="24"/>
              </w:rPr>
            </w:pP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r w:rsidRPr="00ED7E20">
              <w:rPr>
                <w:rFonts w:ascii="Times New Roman" w:hAnsi="Times New Roman"/>
                <w:b/>
                <w:color w:val="000080"/>
                <w:sz w:val="24"/>
                <w:szCs w:val="24"/>
              </w:rPr>
              <w:t>EEI</w:t>
            </w:r>
          </w:p>
        </w:tc>
        <w:tc>
          <w:tcPr>
            <w:tcW w:w="6120" w:type="dxa"/>
          </w:tcPr>
          <w:p w:rsidR="00752263" w:rsidRPr="00ED7E20" w:rsidRDefault="000653E1" w:rsidP="00090D69">
            <w:pPr>
              <w:spacing w:after="0" w:line="240" w:lineRule="auto"/>
              <w:rPr>
                <w:rFonts w:ascii="Times New Roman" w:hAnsi="Times New Roman"/>
                <w:color w:val="000080"/>
                <w:sz w:val="24"/>
                <w:szCs w:val="24"/>
              </w:rPr>
            </w:pPr>
            <w:r>
              <w:rPr>
                <w:rFonts w:ascii="Times New Roman" w:hAnsi="Times New Roman"/>
                <w:color w:val="000080"/>
                <w:sz w:val="24"/>
                <w:szCs w:val="24"/>
              </w:rPr>
              <w:t>Edison Electric Institute</w:t>
            </w: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p>
        </w:tc>
        <w:tc>
          <w:tcPr>
            <w:tcW w:w="6120" w:type="dxa"/>
          </w:tcPr>
          <w:p w:rsidR="00752263" w:rsidRPr="00ED7E20" w:rsidRDefault="00752263" w:rsidP="00090D69">
            <w:pPr>
              <w:spacing w:after="0" w:line="240" w:lineRule="auto"/>
              <w:rPr>
                <w:rFonts w:ascii="Times New Roman" w:hAnsi="Times New Roman"/>
                <w:color w:val="000080"/>
                <w:sz w:val="24"/>
                <w:szCs w:val="24"/>
              </w:rPr>
            </w:pP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r w:rsidRPr="00ED7E20">
              <w:rPr>
                <w:rFonts w:ascii="Times New Roman" w:hAnsi="Times New Roman"/>
                <w:b/>
                <w:color w:val="000080"/>
                <w:sz w:val="24"/>
                <w:szCs w:val="24"/>
              </w:rPr>
              <w:t>EPA</w:t>
            </w:r>
          </w:p>
        </w:tc>
        <w:tc>
          <w:tcPr>
            <w:tcW w:w="6120" w:type="dxa"/>
          </w:tcPr>
          <w:p w:rsidR="00752263" w:rsidRPr="00ED7E20" w:rsidRDefault="00752263" w:rsidP="00090D69">
            <w:pPr>
              <w:spacing w:after="0" w:line="240" w:lineRule="auto"/>
              <w:rPr>
                <w:rFonts w:ascii="Times New Roman" w:hAnsi="Times New Roman"/>
                <w:color w:val="000080"/>
                <w:sz w:val="24"/>
                <w:szCs w:val="24"/>
              </w:rPr>
            </w:pPr>
            <w:r w:rsidRPr="00ED7E20">
              <w:rPr>
                <w:rFonts w:ascii="Times New Roman" w:hAnsi="Times New Roman"/>
                <w:color w:val="000080"/>
                <w:sz w:val="24"/>
                <w:szCs w:val="24"/>
              </w:rPr>
              <w:t>Environm</w:t>
            </w:r>
            <w:r w:rsidR="000653E1">
              <w:rPr>
                <w:rFonts w:ascii="Times New Roman" w:hAnsi="Times New Roman"/>
                <w:color w:val="000080"/>
                <w:sz w:val="24"/>
                <w:szCs w:val="24"/>
              </w:rPr>
              <w:t>ental Protection Agency</w:t>
            </w: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p>
        </w:tc>
        <w:tc>
          <w:tcPr>
            <w:tcW w:w="6120" w:type="dxa"/>
          </w:tcPr>
          <w:p w:rsidR="00752263" w:rsidRPr="00ED7E20" w:rsidRDefault="00752263" w:rsidP="00090D69">
            <w:pPr>
              <w:spacing w:after="0" w:line="240" w:lineRule="auto"/>
              <w:rPr>
                <w:rFonts w:ascii="Times New Roman" w:hAnsi="Times New Roman"/>
                <w:color w:val="000080"/>
                <w:sz w:val="24"/>
                <w:szCs w:val="24"/>
              </w:rPr>
            </w:pP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r w:rsidRPr="00ED7E20">
              <w:rPr>
                <w:rFonts w:ascii="Times New Roman" w:hAnsi="Times New Roman"/>
                <w:b/>
                <w:color w:val="000080"/>
                <w:sz w:val="24"/>
                <w:szCs w:val="24"/>
              </w:rPr>
              <w:t>EGU</w:t>
            </w:r>
          </w:p>
        </w:tc>
        <w:tc>
          <w:tcPr>
            <w:tcW w:w="6120" w:type="dxa"/>
          </w:tcPr>
          <w:p w:rsidR="00752263" w:rsidRPr="00ED7E20" w:rsidRDefault="000653E1" w:rsidP="00090D69">
            <w:pPr>
              <w:spacing w:after="0" w:line="240" w:lineRule="auto"/>
              <w:rPr>
                <w:rFonts w:ascii="Times New Roman" w:hAnsi="Times New Roman"/>
                <w:color w:val="000080"/>
                <w:sz w:val="24"/>
                <w:szCs w:val="24"/>
              </w:rPr>
            </w:pPr>
            <w:r>
              <w:rPr>
                <w:rFonts w:ascii="Times New Roman" w:hAnsi="Times New Roman"/>
                <w:color w:val="000080"/>
                <w:sz w:val="24"/>
                <w:szCs w:val="24"/>
              </w:rPr>
              <w:t>Electric Generating Unit</w:t>
            </w: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p>
        </w:tc>
        <w:tc>
          <w:tcPr>
            <w:tcW w:w="6120" w:type="dxa"/>
          </w:tcPr>
          <w:p w:rsidR="00752263" w:rsidRPr="00ED7E20" w:rsidRDefault="00752263" w:rsidP="00090D69">
            <w:pPr>
              <w:spacing w:after="0" w:line="240" w:lineRule="auto"/>
              <w:rPr>
                <w:rFonts w:ascii="Times New Roman" w:hAnsi="Times New Roman"/>
                <w:color w:val="000080"/>
                <w:sz w:val="24"/>
                <w:szCs w:val="24"/>
              </w:rPr>
            </w:pP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r w:rsidRPr="00ED7E20">
              <w:rPr>
                <w:rFonts w:ascii="Times New Roman" w:hAnsi="Times New Roman"/>
                <w:b/>
                <w:color w:val="000080"/>
                <w:sz w:val="24"/>
                <w:szCs w:val="24"/>
              </w:rPr>
              <w:t>EPRI</w:t>
            </w:r>
          </w:p>
        </w:tc>
        <w:tc>
          <w:tcPr>
            <w:tcW w:w="6120" w:type="dxa"/>
          </w:tcPr>
          <w:p w:rsidR="00752263" w:rsidRPr="00ED7E20" w:rsidRDefault="00752263" w:rsidP="00090D69">
            <w:pPr>
              <w:spacing w:after="0" w:line="240" w:lineRule="auto"/>
              <w:rPr>
                <w:rFonts w:ascii="Times New Roman" w:hAnsi="Times New Roman"/>
                <w:color w:val="000080"/>
                <w:sz w:val="24"/>
                <w:szCs w:val="24"/>
              </w:rPr>
            </w:pPr>
            <w:r w:rsidRPr="00ED7E20">
              <w:rPr>
                <w:rFonts w:ascii="Times New Roman" w:hAnsi="Times New Roman"/>
                <w:color w:val="000080"/>
                <w:sz w:val="24"/>
                <w:szCs w:val="24"/>
              </w:rPr>
              <w:t>El</w:t>
            </w:r>
            <w:r w:rsidR="000653E1">
              <w:rPr>
                <w:rFonts w:ascii="Times New Roman" w:hAnsi="Times New Roman"/>
                <w:color w:val="000080"/>
                <w:sz w:val="24"/>
                <w:szCs w:val="24"/>
              </w:rPr>
              <w:t>ectric Power Research Institute</w:t>
            </w:r>
          </w:p>
        </w:tc>
      </w:tr>
      <w:tr w:rsidR="00752263" w:rsidRPr="00ED7E20" w:rsidTr="00090D69">
        <w:tc>
          <w:tcPr>
            <w:tcW w:w="1872" w:type="dxa"/>
          </w:tcPr>
          <w:p w:rsidR="00752263" w:rsidRPr="00ED7E20" w:rsidRDefault="00752263" w:rsidP="00090D69">
            <w:pPr>
              <w:spacing w:after="0" w:line="240" w:lineRule="auto"/>
              <w:ind w:left="-108"/>
              <w:rPr>
                <w:rFonts w:ascii="Times New Roman" w:hAnsi="Times New Roman"/>
                <w:b/>
                <w:color w:val="000080"/>
                <w:sz w:val="24"/>
                <w:szCs w:val="24"/>
              </w:rPr>
            </w:pPr>
          </w:p>
        </w:tc>
        <w:tc>
          <w:tcPr>
            <w:tcW w:w="6138" w:type="dxa"/>
            <w:gridSpan w:val="2"/>
          </w:tcPr>
          <w:p w:rsidR="00752263" w:rsidRPr="00ED7E20" w:rsidRDefault="00752263" w:rsidP="00090D69">
            <w:pPr>
              <w:spacing w:after="0" w:line="240" w:lineRule="auto"/>
              <w:rPr>
                <w:rFonts w:ascii="Times New Roman" w:hAnsi="Times New Roman"/>
                <w:color w:val="000080"/>
                <w:sz w:val="24"/>
                <w:szCs w:val="24"/>
              </w:rPr>
            </w:pP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r w:rsidRPr="00ED7E20">
              <w:rPr>
                <w:rFonts w:ascii="Times New Roman" w:hAnsi="Times New Roman"/>
                <w:b/>
                <w:color w:val="000080"/>
                <w:sz w:val="24"/>
                <w:szCs w:val="24"/>
              </w:rPr>
              <w:t>ESP</w:t>
            </w:r>
          </w:p>
        </w:tc>
        <w:tc>
          <w:tcPr>
            <w:tcW w:w="6120" w:type="dxa"/>
          </w:tcPr>
          <w:p w:rsidR="00752263" w:rsidRPr="00ED7E20" w:rsidRDefault="000653E1" w:rsidP="00090D69">
            <w:pPr>
              <w:spacing w:after="0" w:line="240" w:lineRule="auto"/>
              <w:rPr>
                <w:rFonts w:ascii="Times New Roman" w:hAnsi="Times New Roman"/>
                <w:color w:val="000080"/>
                <w:sz w:val="24"/>
                <w:szCs w:val="24"/>
              </w:rPr>
            </w:pPr>
            <w:r>
              <w:rPr>
                <w:rFonts w:ascii="Times New Roman" w:hAnsi="Times New Roman"/>
                <w:color w:val="000080"/>
                <w:sz w:val="24"/>
                <w:szCs w:val="24"/>
              </w:rPr>
              <w:t>Electrostatic Precipitator</w:t>
            </w: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p>
        </w:tc>
        <w:tc>
          <w:tcPr>
            <w:tcW w:w="6120" w:type="dxa"/>
          </w:tcPr>
          <w:p w:rsidR="00752263" w:rsidRPr="00ED7E20" w:rsidRDefault="00752263" w:rsidP="00090D69">
            <w:pPr>
              <w:spacing w:after="0" w:line="240" w:lineRule="auto"/>
              <w:rPr>
                <w:rFonts w:ascii="Times New Roman" w:hAnsi="Times New Roman"/>
                <w:color w:val="000080"/>
                <w:sz w:val="24"/>
                <w:szCs w:val="24"/>
              </w:rPr>
            </w:pP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r w:rsidRPr="00ED7E20">
              <w:rPr>
                <w:rFonts w:ascii="Times New Roman" w:hAnsi="Times New Roman"/>
                <w:b/>
                <w:color w:val="000080"/>
                <w:sz w:val="24"/>
                <w:szCs w:val="24"/>
              </w:rPr>
              <w:t>FAN</w:t>
            </w:r>
          </w:p>
        </w:tc>
        <w:tc>
          <w:tcPr>
            <w:tcW w:w="6120" w:type="dxa"/>
          </w:tcPr>
          <w:p w:rsidR="00752263" w:rsidRPr="00ED7E20" w:rsidRDefault="00752263" w:rsidP="00090D69">
            <w:pPr>
              <w:spacing w:after="0" w:line="240" w:lineRule="auto"/>
              <w:rPr>
                <w:rFonts w:ascii="Times New Roman" w:hAnsi="Times New Roman"/>
                <w:color w:val="000080"/>
                <w:sz w:val="24"/>
                <w:szCs w:val="24"/>
              </w:rPr>
            </w:pPr>
            <w:r w:rsidRPr="00ED7E20">
              <w:rPr>
                <w:rFonts w:ascii="Times New Roman" w:hAnsi="Times New Roman"/>
                <w:color w:val="000080"/>
                <w:sz w:val="24"/>
                <w:szCs w:val="24"/>
              </w:rPr>
              <w:t>Flame Attachment Nozzle - A low-NO</w:t>
            </w:r>
            <w:r w:rsidRPr="00ED7E20">
              <w:rPr>
                <w:rFonts w:ascii="Times New Roman" w:hAnsi="Times New Roman"/>
                <w:color w:val="000080"/>
                <w:sz w:val="24"/>
                <w:szCs w:val="24"/>
                <w:vertAlign w:val="subscript"/>
              </w:rPr>
              <w:t>X</w:t>
            </w:r>
            <w:r w:rsidRPr="00ED7E20">
              <w:rPr>
                <w:rFonts w:ascii="Times New Roman" w:hAnsi="Times New Roman"/>
                <w:sz w:val="24"/>
                <w:szCs w:val="24"/>
              </w:rPr>
              <w:t xml:space="preserve"> </w:t>
            </w:r>
            <w:r w:rsidR="000653E1">
              <w:rPr>
                <w:rFonts w:ascii="Times New Roman" w:hAnsi="Times New Roman"/>
                <w:color w:val="000080"/>
                <w:sz w:val="24"/>
                <w:szCs w:val="24"/>
              </w:rPr>
              <w:t>burner tip design by ICL</w:t>
            </w: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color w:val="000080"/>
                <w:sz w:val="24"/>
                <w:szCs w:val="24"/>
              </w:rPr>
            </w:pPr>
          </w:p>
        </w:tc>
        <w:tc>
          <w:tcPr>
            <w:tcW w:w="6120" w:type="dxa"/>
          </w:tcPr>
          <w:p w:rsidR="00752263" w:rsidRPr="00ED7E20" w:rsidRDefault="00752263" w:rsidP="00090D69">
            <w:pPr>
              <w:spacing w:after="0" w:line="240" w:lineRule="auto"/>
              <w:rPr>
                <w:rFonts w:ascii="Times New Roman" w:hAnsi="Times New Roman"/>
                <w:color w:val="000080"/>
                <w:sz w:val="24"/>
                <w:szCs w:val="24"/>
              </w:rPr>
            </w:pP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r w:rsidRPr="00ED7E20">
              <w:rPr>
                <w:rFonts w:ascii="Times New Roman" w:hAnsi="Times New Roman"/>
                <w:b/>
                <w:color w:val="000080"/>
                <w:sz w:val="24"/>
                <w:szCs w:val="24"/>
              </w:rPr>
              <w:t>FCCC</w:t>
            </w:r>
          </w:p>
        </w:tc>
        <w:tc>
          <w:tcPr>
            <w:tcW w:w="6120" w:type="dxa"/>
          </w:tcPr>
          <w:p w:rsidR="00752263" w:rsidRPr="00ED7E20" w:rsidRDefault="00752263" w:rsidP="00090D69">
            <w:pPr>
              <w:spacing w:after="0" w:line="240" w:lineRule="auto"/>
              <w:rPr>
                <w:rFonts w:ascii="Times New Roman" w:hAnsi="Times New Roman"/>
                <w:color w:val="000080"/>
                <w:sz w:val="24"/>
                <w:szCs w:val="24"/>
              </w:rPr>
            </w:pPr>
            <w:r w:rsidRPr="00ED7E20">
              <w:rPr>
                <w:rFonts w:ascii="Times New Roman" w:hAnsi="Times New Roman"/>
                <w:color w:val="000080"/>
                <w:sz w:val="24"/>
                <w:szCs w:val="24"/>
              </w:rPr>
              <w:t>Framewo</w:t>
            </w:r>
            <w:r w:rsidR="000653E1">
              <w:rPr>
                <w:rFonts w:ascii="Times New Roman" w:hAnsi="Times New Roman"/>
                <w:color w:val="000080"/>
                <w:sz w:val="24"/>
                <w:szCs w:val="24"/>
              </w:rPr>
              <w:t>rk Convention on Climate Change</w:t>
            </w:r>
          </w:p>
        </w:tc>
      </w:tr>
      <w:tr w:rsidR="00752263" w:rsidRPr="00ED7E20" w:rsidTr="00090D69">
        <w:trPr>
          <w:gridAfter w:val="1"/>
          <w:wAfter w:w="18" w:type="dxa"/>
        </w:trPr>
        <w:tc>
          <w:tcPr>
            <w:tcW w:w="1872" w:type="dxa"/>
          </w:tcPr>
          <w:p w:rsidR="00752263" w:rsidRPr="00ED7E20" w:rsidRDefault="00752263" w:rsidP="00090D69">
            <w:pPr>
              <w:spacing w:after="0" w:line="240" w:lineRule="auto"/>
              <w:rPr>
                <w:rFonts w:ascii="Times New Roman" w:hAnsi="Times New Roman"/>
                <w:b/>
                <w:color w:val="000080"/>
                <w:sz w:val="24"/>
                <w:szCs w:val="24"/>
              </w:rPr>
            </w:pPr>
          </w:p>
        </w:tc>
        <w:tc>
          <w:tcPr>
            <w:tcW w:w="6120" w:type="dxa"/>
          </w:tcPr>
          <w:p w:rsidR="00752263" w:rsidRPr="00ED7E20" w:rsidRDefault="00752263" w:rsidP="00090D69">
            <w:pPr>
              <w:spacing w:after="0" w:line="240" w:lineRule="auto"/>
              <w:rPr>
                <w:rFonts w:ascii="Times New Roman" w:hAnsi="Times New Roman"/>
                <w:color w:val="000080"/>
                <w:sz w:val="24"/>
                <w:szCs w:val="24"/>
              </w:rPr>
            </w:pP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r w:rsidRPr="00ED7E20">
              <w:rPr>
                <w:rFonts w:ascii="Times New Roman" w:hAnsi="Times New Roman"/>
                <w:b/>
                <w:color w:val="000080"/>
                <w:sz w:val="24"/>
                <w:szCs w:val="24"/>
              </w:rPr>
              <w:t>FGD</w:t>
            </w:r>
          </w:p>
        </w:tc>
        <w:tc>
          <w:tcPr>
            <w:tcW w:w="6120" w:type="dxa"/>
          </w:tcPr>
          <w:p w:rsidR="00752263" w:rsidRPr="00ED7E20" w:rsidRDefault="000653E1" w:rsidP="00090D69">
            <w:pPr>
              <w:spacing w:after="0" w:line="240" w:lineRule="auto"/>
              <w:rPr>
                <w:rFonts w:ascii="Times New Roman" w:hAnsi="Times New Roman"/>
                <w:color w:val="000080"/>
                <w:sz w:val="24"/>
                <w:szCs w:val="24"/>
              </w:rPr>
            </w:pPr>
            <w:r>
              <w:rPr>
                <w:rFonts w:ascii="Times New Roman" w:hAnsi="Times New Roman"/>
                <w:color w:val="000080"/>
                <w:sz w:val="24"/>
                <w:szCs w:val="24"/>
              </w:rPr>
              <w:t>Flue Gas Desulfurization</w:t>
            </w: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p>
        </w:tc>
        <w:tc>
          <w:tcPr>
            <w:tcW w:w="6120" w:type="dxa"/>
          </w:tcPr>
          <w:p w:rsidR="00752263" w:rsidRPr="00ED7E20" w:rsidRDefault="00752263" w:rsidP="00090D69">
            <w:pPr>
              <w:spacing w:after="0" w:line="240" w:lineRule="auto"/>
              <w:rPr>
                <w:rFonts w:ascii="Times New Roman" w:hAnsi="Times New Roman"/>
                <w:color w:val="000080"/>
                <w:sz w:val="24"/>
                <w:szCs w:val="24"/>
              </w:rPr>
            </w:pP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r w:rsidRPr="00ED7E20">
              <w:rPr>
                <w:rFonts w:ascii="Times New Roman" w:hAnsi="Times New Roman"/>
                <w:b/>
                <w:color w:val="000080"/>
                <w:sz w:val="24"/>
                <w:szCs w:val="24"/>
              </w:rPr>
              <w:t>FW</w:t>
            </w:r>
          </w:p>
        </w:tc>
        <w:tc>
          <w:tcPr>
            <w:tcW w:w="6120" w:type="dxa"/>
          </w:tcPr>
          <w:p w:rsidR="00752263" w:rsidRPr="00ED7E20" w:rsidRDefault="00752263" w:rsidP="00090D69">
            <w:pPr>
              <w:spacing w:after="0" w:line="240" w:lineRule="auto"/>
              <w:rPr>
                <w:rFonts w:ascii="Times New Roman" w:hAnsi="Times New Roman"/>
                <w:color w:val="000080"/>
                <w:sz w:val="24"/>
                <w:szCs w:val="24"/>
              </w:rPr>
            </w:pPr>
            <w:r w:rsidRPr="00ED7E20">
              <w:rPr>
                <w:rFonts w:ascii="Times New Roman" w:hAnsi="Times New Roman"/>
                <w:color w:val="000080"/>
                <w:sz w:val="24"/>
                <w:szCs w:val="24"/>
              </w:rPr>
              <w:t>Fost</w:t>
            </w:r>
            <w:r w:rsidR="000653E1">
              <w:rPr>
                <w:rFonts w:ascii="Times New Roman" w:hAnsi="Times New Roman"/>
                <w:color w:val="000080"/>
                <w:sz w:val="24"/>
                <w:szCs w:val="24"/>
              </w:rPr>
              <w:t>er Wheeler (LNB vendor)</w:t>
            </w: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p>
        </w:tc>
        <w:tc>
          <w:tcPr>
            <w:tcW w:w="6120" w:type="dxa"/>
          </w:tcPr>
          <w:p w:rsidR="00752263" w:rsidRPr="00ED7E20" w:rsidRDefault="00752263" w:rsidP="00090D69">
            <w:pPr>
              <w:spacing w:after="0" w:line="240" w:lineRule="auto"/>
              <w:rPr>
                <w:rFonts w:ascii="Times New Roman" w:hAnsi="Times New Roman"/>
                <w:color w:val="000080"/>
                <w:sz w:val="24"/>
                <w:szCs w:val="24"/>
              </w:rPr>
            </w:pP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r w:rsidRPr="00ED7E20">
              <w:rPr>
                <w:rFonts w:ascii="Times New Roman" w:hAnsi="Times New Roman"/>
                <w:b/>
                <w:color w:val="000080"/>
                <w:sz w:val="24"/>
                <w:szCs w:val="24"/>
              </w:rPr>
              <w:t>GEPD</w:t>
            </w:r>
          </w:p>
        </w:tc>
        <w:tc>
          <w:tcPr>
            <w:tcW w:w="6120" w:type="dxa"/>
          </w:tcPr>
          <w:p w:rsidR="00752263" w:rsidRPr="00ED7E20" w:rsidRDefault="00752263" w:rsidP="00090D69">
            <w:pPr>
              <w:spacing w:after="0" w:line="240" w:lineRule="auto"/>
              <w:rPr>
                <w:rFonts w:ascii="Times New Roman" w:hAnsi="Times New Roman"/>
                <w:color w:val="000080"/>
                <w:sz w:val="24"/>
                <w:szCs w:val="24"/>
              </w:rPr>
            </w:pPr>
            <w:r w:rsidRPr="00ED7E20">
              <w:rPr>
                <w:rFonts w:ascii="Times New Roman" w:hAnsi="Times New Roman"/>
                <w:color w:val="000080"/>
                <w:sz w:val="24"/>
                <w:szCs w:val="24"/>
              </w:rPr>
              <w:t>Georgia En</w:t>
            </w:r>
            <w:r w:rsidR="000653E1">
              <w:rPr>
                <w:rFonts w:ascii="Times New Roman" w:hAnsi="Times New Roman"/>
                <w:color w:val="000080"/>
                <w:sz w:val="24"/>
                <w:szCs w:val="24"/>
              </w:rPr>
              <w:t>vironmental Protection Division</w:t>
            </w: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color w:val="000080"/>
                <w:sz w:val="24"/>
                <w:szCs w:val="24"/>
              </w:rPr>
            </w:pPr>
          </w:p>
        </w:tc>
        <w:tc>
          <w:tcPr>
            <w:tcW w:w="6120" w:type="dxa"/>
          </w:tcPr>
          <w:p w:rsidR="00752263" w:rsidRPr="00ED7E20" w:rsidRDefault="00752263" w:rsidP="00090D69">
            <w:pPr>
              <w:spacing w:after="0" w:line="240" w:lineRule="auto"/>
              <w:rPr>
                <w:rFonts w:ascii="Times New Roman" w:hAnsi="Times New Roman"/>
                <w:color w:val="000080"/>
                <w:sz w:val="24"/>
                <w:szCs w:val="24"/>
              </w:rPr>
            </w:pP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r w:rsidRPr="00ED7E20">
              <w:rPr>
                <w:rFonts w:ascii="Times New Roman" w:hAnsi="Times New Roman"/>
                <w:b/>
                <w:color w:val="000080"/>
                <w:sz w:val="24"/>
                <w:szCs w:val="24"/>
              </w:rPr>
              <w:t>GPC</w:t>
            </w:r>
          </w:p>
        </w:tc>
        <w:tc>
          <w:tcPr>
            <w:tcW w:w="6120" w:type="dxa"/>
          </w:tcPr>
          <w:p w:rsidR="00752263" w:rsidRPr="00ED7E20" w:rsidRDefault="000653E1" w:rsidP="00090D69">
            <w:pPr>
              <w:spacing w:after="0" w:line="240" w:lineRule="auto"/>
              <w:rPr>
                <w:rFonts w:ascii="Times New Roman" w:hAnsi="Times New Roman"/>
                <w:color w:val="000080"/>
                <w:sz w:val="24"/>
                <w:szCs w:val="24"/>
              </w:rPr>
            </w:pPr>
            <w:r>
              <w:rPr>
                <w:rFonts w:ascii="Times New Roman" w:hAnsi="Times New Roman"/>
                <w:color w:val="000080"/>
                <w:sz w:val="24"/>
                <w:szCs w:val="24"/>
              </w:rPr>
              <w:t>Georgia Power Company</w:t>
            </w:r>
          </w:p>
        </w:tc>
      </w:tr>
      <w:tr w:rsidR="00752263" w:rsidRPr="00ED7E20" w:rsidTr="00090D69">
        <w:trPr>
          <w:gridAfter w:val="1"/>
          <w:wAfter w:w="18" w:type="dxa"/>
          <w:trHeight w:val="216"/>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p>
        </w:tc>
        <w:tc>
          <w:tcPr>
            <w:tcW w:w="6120" w:type="dxa"/>
          </w:tcPr>
          <w:p w:rsidR="00752263" w:rsidRPr="00ED7E20" w:rsidRDefault="00752263" w:rsidP="00090D69">
            <w:pPr>
              <w:spacing w:after="0" w:line="240" w:lineRule="auto"/>
              <w:rPr>
                <w:rFonts w:ascii="Times New Roman" w:hAnsi="Times New Roman"/>
                <w:color w:val="000080"/>
                <w:sz w:val="24"/>
                <w:szCs w:val="24"/>
              </w:rPr>
            </w:pP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r w:rsidRPr="00ED7E20">
              <w:rPr>
                <w:rFonts w:ascii="Times New Roman" w:hAnsi="Times New Roman"/>
                <w:b/>
                <w:color w:val="000080"/>
                <w:sz w:val="24"/>
                <w:szCs w:val="24"/>
              </w:rPr>
              <w:t>HAP</w:t>
            </w:r>
          </w:p>
        </w:tc>
        <w:tc>
          <w:tcPr>
            <w:tcW w:w="6120" w:type="dxa"/>
          </w:tcPr>
          <w:p w:rsidR="00752263" w:rsidRPr="00ED7E20" w:rsidRDefault="000653E1" w:rsidP="00090D69">
            <w:pPr>
              <w:spacing w:after="0" w:line="240" w:lineRule="auto"/>
              <w:rPr>
                <w:rFonts w:ascii="Times New Roman" w:hAnsi="Times New Roman"/>
                <w:color w:val="000080"/>
                <w:sz w:val="24"/>
                <w:szCs w:val="24"/>
              </w:rPr>
            </w:pPr>
            <w:r>
              <w:rPr>
                <w:rFonts w:ascii="Times New Roman" w:hAnsi="Times New Roman"/>
                <w:color w:val="000080"/>
                <w:sz w:val="24"/>
                <w:szCs w:val="24"/>
              </w:rPr>
              <w:t>Hazardous Air Pollutant</w:t>
            </w: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p>
        </w:tc>
        <w:tc>
          <w:tcPr>
            <w:tcW w:w="6120" w:type="dxa"/>
          </w:tcPr>
          <w:p w:rsidR="00752263" w:rsidRPr="00ED7E20" w:rsidRDefault="00752263" w:rsidP="00090D69">
            <w:pPr>
              <w:spacing w:after="0" w:line="240" w:lineRule="auto"/>
              <w:rPr>
                <w:rFonts w:ascii="Times New Roman" w:hAnsi="Times New Roman"/>
                <w:color w:val="000080"/>
                <w:sz w:val="24"/>
                <w:szCs w:val="24"/>
              </w:rPr>
            </w:pPr>
          </w:p>
        </w:tc>
      </w:tr>
      <w:tr w:rsidR="00752263" w:rsidRPr="00ED7E20" w:rsidTr="00090D69">
        <w:trPr>
          <w:gridAfter w:val="1"/>
          <w:wAfter w:w="18" w:type="dxa"/>
        </w:trPr>
        <w:tc>
          <w:tcPr>
            <w:tcW w:w="1872" w:type="dxa"/>
          </w:tcPr>
          <w:p w:rsidR="00752263" w:rsidRPr="00ED7E20" w:rsidRDefault="00752263" w:rsidP="00090D69">
            <w:pPr>
              <w:keepNext/>
              <w:keepLines/>
              <w:spacing w:after="0" w:line="240" w:lineRule="auto"/>
              <w:ind w:left="-86"/>
              <w:rPr>
                <w:rFonts w:ascii="Times New Roman" w:hAnsi="Times New Roman"/>
                <w:b/>
                <w:color w:val="000080"/>
                <w:sz w:val="24"/>
                <w:szCs w:val="24"/>
              </w:rPr>
            </w:pPr>
            <w:r w:rsidRPr="00ED7E20">
              <w:rPr>
                <w:rFonts w:ascii="Times New Roman" w:hAnsi="Times New Roman"/>
                <w:b/>
                <w:color w:val="000080"/>
                <w:sz w:val="24"/>
                <w:szCs w:val="24"/>
              </w:rPr>
              <w:t>HDPE</w:t>
            </w:r>
          </w:p>
        </w:tc>
        <w:tc>
          <w:tcPr>
            <w:tcW w:w="6120" w:type="dxa"/>
          </w:tcPr>
          <w:p w:rsidR="00752263" w:rsidRPr="00ED7E20" w:rsidRDefault="00752263" w:rsidP="00090D69">
            <w:pPr>
              <w:spacing w:after="0" w:line="240" w:lineRule="auto"/>
              <w:rPr>
                <w:rFonts w:ascii="Times New Roman" w:hAnsi="Times New Roman"/>
                <w:color w:val="000080"/>
                <w:sz w:val="24"/>
                <w:szCs w:val="24"/>
              </w:rPr>
            </w:pPr>
            <w:r w:rsidRPr="00ED7E20">
              <w:rPr>
                <w:rFonts w:ascii="Times New Roman" w:hAnsi="Times New Roman"/>
                <w:color w:val="000080"/>
                <w:sz w:val="24"/>
                <w:szCs w:val="24"/>
              </w:rPr>
              <w:t>High-Density Po</w:t>
            </w:r>
            <w:r w:rsidR="000653E1">
              <w:rPr>
                <w:rFonts w:ascii="Times New Roman" w:hAnsi="Times New Roman"/>
                <w:color w:val="000080"/>
                <w:sz w:val="24"/>
                <w:szCs w:val="24"/>
              </w:rPr>
              <w:t>lyethylene</w:t>
            </w:r>
          </w:p>
        </w:tc>
      </w:tr>
      <w:tr w:rsidR="00752263" w:rsidRPr="00ED7E20" w:rsidTr="00090D69">
        <w:trPr>
          <w:gridAfter w:val="1"/>
          <w:wAfter w:w="18" w:type="dxa"/>
        </w:trPr>
        <w:tc>
          <w:tcPr>
            <w:tcW w:w="1872" w:type="dxa"/>
          </w:tcPr>
          <w:p w:rsidR="00752263" w:rsidRPr="00ED7E20" w:rsidRDefault="00752263" w:rsidP="00090D69">
            <w:pPr>
              <w:keepNext/>
              <w:keepLines/>
              <w:spacing w:after="0" w:line="240" w:lineRule="auto"/>
              <w:ind w:left="-86"/>
              <w:rPr>
                <w:rFonts w:ascii="Times New Roman" w:hAnsi="Times New Roman"/>
                <w:b/>
                <w:color w:val="000080"/>
                <w:sz w:val="24"/>
                <w:szCs w:val="24"/>
              </w:rPr>
            </w:pPr>
          </w:p>
        </w:tc>
        <w:tc>
          <w:tcPr>
            <w:tcW w:w="6120" w:type="dxa"/>
          </w:tcPr>
          <w:p w:rsidR="00752263" w:rsidRPr="00ED7E20" w:rsidRDefault="00752263" w:rsidP="00090D69">
            <w:pPr>
              <w:spacing w:after="0" w:line="240" w:lineRule="auto"/>
              <w:rPr>
                <w:rFonts w:ascii="Times New Roman" w:hAnsi="Times New Roman"/>
                <w:color w:val="000080"/>
                <w:sz w:val="24"/>
                <w:szCs w:val="24"/>
              </w:rPr>
            </w:pP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r w:rsidRPr="00ED7E20">
              <w:rPr>
                <w:rFonts w:ascii="Times New Roman" w:hAnsi="Times New Roman"/>
                <w:b/>
                <w:color w:val="000080"/>
                <w:sz w:val="24"/>
                <w:szCs w:val="24"/>
              </w:rPr>
              <w:t>Hg</w:t>
            </w:r>
          </w:p>
        </w:tc>
        <w:tc>
          <w:tcPr>
            <w:tcW w:w="6120" w:type="dxa"/>
          </w:tcPr>
          <w:p w:rsidR="00752263" w:rsidRPr="00ED7E20" w:rsidRDefault="000653E1" w:rsidP="00090D69">
            <w:pPr>
              <w:spacing w:after="0" w:line="240" w:lineRule="auto"/>
              <w:rPr>
                <w:rFonts w:ascii="Times New Roman" w:hAnsi="Times New Roman"/>
                <w:color w:val="000080"/>
                <w:sz w:val="24"/>
                <w:szCs w:val="24"/>
              </w:rPr>
            </w:pPr>
            <w:r>
              <w:rPr>
                <w:rFonts w:ascii="Times New Roman" w:hAnsi="Times New Roman"/>
                <w:color w:val="000080"/>
                <w:sz w:val="24"/>
                <w:szCs w:val="24"/>
              </w:rPr>
              <w:t>Mercury</w:t>
            </w: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p>
        </w:tc>
        <w:tc>
          <w:tcPr>
            <w:tcW w:w="6120" w:type="dxa"/>
          </w:tcPr>
          <w:p w:rsidR="00752263" w:rsidRPr="00ED7E20" w:rsidRDefault="00752263" w:rsidP="00090D69">
            <w:pPr>
              <w:spacing w:after="0" w:line="240" w:lineRule="auto"/>
              <w:rPr>
                <w:rFonts w:ascii="Times New Roman" w:hAnsi="Times New Roman"/>
                <w:color w:val="000080"/>
                <w:sz w:val="24"/>
                <w:szCs w:val="24"/>
              </w:rPr>
            </w:pP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r w:rsidRPr="00ED7E20">
              <w:rPr>
                <w:rFonts w:ascii="Times New Roman" w:hAnsi="Times New Roman"/>
                <w:b/>
                <w:color w:val="000080"/>
                <w:sz w:val="24"/>
                <w:szCs w:val="24"/>
              </w:rPr>
              <w:t>LNB</w:t>
            </w:r>
          </w:p>
        </w:tc>
        <w:tc>
          <w:tcPr>
            <w:tcW w:w="6120" w:type="dxa"/>
          </w:tcPr>
          <w:p w:rsidR="00752263" w:rsidRPr="00ED7E20" w:rsidRDefault="00752263" w:rsidP="00090D69">
            <w:pPr>
              <w:spacing w:after="0" w:line="240" w:lineRule="auto"/>
              <w:rPr>
                <w:rFonts w:ascii="Times New Roman" w:hAnsi="Times New Roman"/>
                <w:color w:val="000080"/>
                <w:sz w:val="24"/>
                <w:szCs w:val="24"/>
              </w:rPr>
            </w:pPr>
            <w:r w:rsidRPr="00ED7E20">
              <w:rPr>
                <w:rFonts w:ascii="Times New Roman" w:hAnsi="Times New Roman"/>
                <w:color w:val="000080"/>
                <w:sz w:val="24"/>
                <w:szCs w:val="24"/>
              </w:rPr>
              <w:t>Low-NO</w:t>
            </w:r>
            <w:r w:rsidRPr="00ED7E20">
              <w:rPr>
                <w:rFonts w:ascii="Times New Roman" w:hAnsi="Times New Roman"/>
                <w:color w:val="000080"/>
                <w:sz w:val="24"/>
                <w:szCs w:val="24"/>
                <w:vertAlign w:val="subscript"/>
              </w:rPr>
              <w:t>X</w:t>
            </w:r>
            <w:r w:rsidR="00690722">
              <w:rPr>
                <w:rFonts w:ascii="Times New Roman" w:hAnsi="Times New Roman"/>
                <w:color w:val="000080"/>
                <w:sz w:val="24"/>
                <w:szCs w:val="24"/>
              </w:rPr>
              <w:t xml:space="preserve"> Burner</w:t>
            </w: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p>
        </w:tc>
        <w:tc>
          <w:tcPr>
            <w:tcW w:w="6120" w:type="dxa"/>
          </w:tcPr>
          <w:p w:rsidR="00752263" w:rsidRPr="00ED7E20" w:rsidRDefault="00752263" w:rsidP="00090D69">
            <w:pPr>
              <w:spacing w:after="0" w:line="240" w:lineRule="auto"/>
              <w:rPr>
                <w:rFonts w:ascii="Times New Roman" w:hAnsi="Times New Roman"/>
                <w:color w:val="000080"/>
                <w:sz w:val="24"/>
                <w:szCs w:val="24"/>
              </w:rPr>
            </w:pP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r w:rsidRPr="00ED7E20">
              <w:rPr>
                <w:rFonts w:ascii="Times New Roman" w:hAnsi="Times New Roman"/>
                <w:b/>
                <w:color w:val="000080"/>
                <w:sz w:val="24"/>
                <w:szCs w:val="24"/>
              </w:rPr>
              <w:t>LNCFS</w:t>
            </w:r>
          </w:p>
        </w:tc>
        <w:tc>
          <w:tcPr>
            <w:tcW w:w="6120" w:type="dxa"/>
          </w:tcPr>
          <w:p w:rsidR="00752263" w:rsidRPr="00ED7E20" w:rsidRDefault="00752263" w:rsidP="00690722">
            <w:pPr>
              <w:spacing w:after="0" w:line="240" w:lineRule="auto"/>
              <w:rPr>
                <w:rFonts w:ascii="Times New Roman" w:hAnsi="Times New Roman"/>
                <w:color w:val="000080"/>
                <w:sz w:val="24"/>
                <w:szCs w:val="24"/>
              </w:rPr>
            </w:pPr>
            <w:r w:rsidRPr="00ED7E20">
              <w:rPr>
                <w:rFonts w:ascii="Times New Roman" w:hAnsi="Times New Roman"/>
                <w:color w:val="000080"/>
                <w:sz w:val="24"/>
                <w:szCs w:val="24"/>
              </w:rPr>
              <w:t>Low-NO</w:t>
            </w:r>
            <w:r w:rsidRPr="00ED7E20">
              <w:rPr>
                <w:rFonts w:ascii="Times New Roman" w:hAnsi="Times New Roman"/>
                <w:color w:val="000080"/>
                <w:sz w:val="24"/>
                <w:szCs w:val="24"/>
                <w:vertAlign w:val="subscript"/>
              </w:rPr>
              <w:t>X</w:t>
            </w:r>
            <w:r w:rsidRPr="00ED7E20">
              <w:rPr>
                <w:rFonts w:ascii="Times New Roman" w:hAnsi="Times New Roman"/>
                <w:sz w:val="24"/>
                <w:szCs w:val="24"/>
              </w:rPr>
              <w:t xml:space="preserve"> </w:t>
            </w:r>
            <w:r w:rsidRPr="00ED7E20">
              <w:rPr>
                <w:rFonts w:ascii="Times New Roman" w:hAnsi="Times New Roman"/>
                <w:color w:val="000080"/>
                <w:sz w:val="24"/>
                <w:szCs w:val="24"/>
              </w:rPr>
              <w:t>Concentric Firing System</w:t>
            </w: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p>
        </w:tc>
        <w:tc>
          <w:tcPr>
            <w:tcW w:w="6120" w:type="dxa"/>
          </w:tcPr>
          <w:p w:rsidR="00752263" w:rsidRPr="00ED7E20" w:rsidRDefault="00752263" w:rsidP="00090D69">
            <w:pPr>
              <w:spacing w:after="0" w:line="240" w:lineRule="auto"/>
              <w:rPr>
                <w:rFonts w:ascii="Times New Roman" w:hAnsi="Times New Roman"/>
                <w:color w:val="000080"/>
                <w:sz w:val="24"/>
                <w:szCs w:val="24"/>
              </w:rPr>
            </w:pP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r w:rsidRPr="00ED7E20">
              <w:rPr>
                <w:rFonts w:ascii="Times New Roman" w:hAnsi="Times New Roman"/>
                <w:b/>
                <w:color w:val="000080"/>
                <w:sz w:val="24"/>
                <w:szCs w:val="24"/>
              </w:rPr>
              <w:t>LNCFS I</w:t>
            </w:r>
          </w:p>
        </w:tc>
        <w:tc>
          <w:tcPr>
            <w:tcW w:w="6120" w:type="dxa"/>
          </w:tcPr>
          <w:p w:rsidR="00752263" w:rsidRPr="00ED7E20" w:rsidRDefault="00690722" w:rsidP="00090D69">
            <w:pPr>
              <w:spacing w:after="0" w:line="240" w:lineRule="auto"/>
              <w:rPr>
                <w:rFonts w:ascii="Times New Roman" w:hAnsi="Times New Roman"/>
                <w:color w:val="000080"/>
                <w:sz w:val="24"/>
                <w:szCs w:val="24"/>
              </w:rPr>
            </w:pPr>
            <w:r>
              <w:rPr>
                <w:rFonts w:ascii="Times New Roman" w:hAnsi="Times New Roman"/>
                <w:color w:val="000080"/>
                <w:sz w:val="24"/>
                <w:szCs w:val="24"/>
              </w:rPr>
              <w:t>LNCFS + CCOFA</w:t>
            </w: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p>
        </w:tc>
        <w:tc>
          <w:tcPr>
            <w:tcW w:w="6120" w:type="dxa"/>
          </w:tcPr>
          <w:p w:rsidR="00752263" w:rsidRPr="00ED7E20" w:rsidRDefault="00752263" w:rsidP="00090D69">
            <w:pPr>
              <w:spacing w:after="0" w:line="240" w:lineRule="auto"/>
              <w:rPr>
                <w:rFonts w:ascii="Times New Roman" w:hAnsi="Times New Roman"/>
                <w:color w:val="000080"/>
                <w:sz w:val="24"/>
                <w:szCs w:val="24"/>
              </w:rPr>
            </w:pP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r w:rsidRPr="00ED7E20">
              <w:rPr>
                <w:rFonts w:ascii="Times New Roman" w:hAnsi="Times New Roman"/>
                <w:b/>
                <w:color w:val="000080"/>
                <w:sz w:val="24"/>
                <w:szCs w:val="24"/>
              </w:rPr>
              <w:t>LNCFS II</w:t>
            </w:r>
          </w:p>
        </w:tc>
        <w:tc>
          <w:tcPr>
            <w:tcW w:w="6120" w:type="dxa"/>
          </w:tcPr>
          <w:p w:rsidR="00752263" w:rsidRPr="00ED7E20" w:rsidRDefault="00690722" w:rsidP="00090D69">
            <w:pPr>
              <w:spacing w:after="0" w:line="240" w:lineRule="auto"/>
              <w:rPr>
                <w:rFonts w:ascii="Times New Roman" w:hAnsi="Times New Roman"/>
                <w:color w:val="000080"/>
                <w:sz w:val="24"/>
                <w:szCs w:val="24"/>
              </w:rPr>
            </w:pPr>
            <w:r>
              <w:rPr>
                <w:rFonts w:ascii="Times New Roman" w:hAnsi="Times New Roman"/>
                <w:color w:val="000080"/>
                <w:sz w:val="24"/>
                <w:szCs w:val="24"/>
              </w:rPr>
              <w:t>LNCFS + SOFA</w:t>
            </w: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p>
        </w:tc>
        <w:tc>
          <w:tcPr>
            <w:tcW w:w="6120" w:type="dxa"/>
          </w:tcPr>
          <w:p w:rsidR="00752263" w:rsidRPr="00ED7E20" w:rsidRDefault="00752263" w:rsidP="00090D69">
            <w:pPr>
              <w:spacing w:after="0" w:line="240" w:lineRule="auto"/>
              <w:rPr>
                <w:rFonts w:ascii="Times New Roman" w:hAnsi="Times New Roman"/>
                <w:color w:val="000080"/>
                <w:sz w:val="24"/>
                <w:szCs w:val="24"/>
              </w:rPr>
            </w:pP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r w:rsidRPr="00ED7E20">
              <w:rPr>
                <w:rFonts w:ascii="Times New Roman" w:hAnsi="Times New Roman"/>
                <w:b/>
                <w:color w:val="000080"/>
                <w:sz w:val="24"/>
                <w:szCs w:val="24"/>
              </w:rPr>
              <w:t>LNCFS III</w:t>
            </w:r>
          </w:p>
        </w:tc>
        <w:tc>
          <w:tcPr>
            <w:tcW w:w="6120" w:type="dxa"/>
          </w:tcPr>
          <w:p w:rsidR="00752263" w:rsidRPr="00ED7E20" w:rsidRDefault="00690722" w:rsidP="00090D69">
            <w:pPr>
              <w:spacing w:after="0" w:line="240" w:lineRule="auto"/>
              <w:rPr>
                <w:rFonts w:ascii="Times New Roman" w:hAnsi="Times New Roman"/>
                <w:color w:val="000080"/>
                <w:sz w:val="24"/>
                <w:szCs w:val="24"/>
              </w:rPr>
            </w:pPr>
            <w:r>
              <w:rPr>
                <w:rFonts w:ascii="Times New Roman" w:hAnsi="Times New Roman"/>
                <w:color w:val="000080"/>
                <w:sz w:val="24"/>
                <w:szCs w:val="24"/>
              </w:rPr>
              <w:t>LNCFS + CCOFA + SOFA</w:t>
            </w: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p>
        </w:tc>
        <w:tc>
          <w:tcPr>
            <w:tcW w:w="6120" w:type="dxa"/>
          </w:tcPr>
          <w:p w:rsidR="00752263" w:rsidRPr="00ED7E20" w:rsidRDefault="00752263" w:rsidP="00090D69">
            <w:pPr>
              <w:spacing w:after="0" w:line="240" w:lineRule="auto"/>
              <w:rPr>
                <w:rFonts w:ascii="Times New Roman" w:hAnsi="Times New Roman"/>
                <w:color w:val="000080"/>
                <w:sz w:val="24"/>
                <w:szCs w:val="24"/>
              </w:rPr>
            </w:pP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r w:rsidRPr="00ED7E20">
              <w:rPr>
                <w:rFonts w:ascii="Times New Roman" w:hAnsi="Times New Roman"/>
                <w:b/>
                <w:color w:val="000080"/>
                <w:sz w:val="24"/>
                <w:szCs w:val="24"/>
              </w:rPr>
              <w:t>MACT</w:t>
            </w:r>
          </w:p>
        </w:tc>
        <w:tc>
          <w:tcPr>
            <w:tcW w:w="6120" w:type="dxa"/>
          </w:tcPr>
          <w:p w:rsidR="00752263" w:rsidRPr="00ED7E20" w:rsidRDefault="00752263" w:rsidP="00090D69">
            <w:pPr>
              <w:spacing w:after="0" w:line="240" w:lineRule="auto"/>
              <w:rPr>
                <w:rFonts w:ascii="Times New Roman" w:hAnsi="Times New Roman"/>
                <w:color w:val="000080"/>
                <w:sz w:val="24"/>
                <w:szCs w:val="24"/>
              </w:rPr>
            </w:pPr>
            <w:r w:rsidRPr="00ED7E20">
              <w:rPr>
                <w:rFonts w:ascii="Times New Roman" w:hAnsi="Times New Roman"/>
                <w:color w:val="000080"/>
                <w:sz w:val="24"/>
                <w:szCs w:val="24"/>
              </w:rPr>
              <w:t>Maximu</w:t>
            </w:r>
            <w:r w:rsidR="00690722">
              <w:rPr>
                <w:rFonts w:ascii="Times New Roman" w:hAnsi="Times New Roman"/>
                <w:color w:val="000080"/>
                <w:sz w:val="24"/>
                <w:szCs w:val="24"/>
              </w:rPr>
              <w:t>m Achievable Control Technology</w:t>
            </w: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p>
        </w:tc>
        <w:tc>
          <w:tcPr>
            <w:tcW w:w="6120" w:type="dxa"/>
          </w:tcPr>
          <w:p w:rsidR="00752263" w:rsidRPr="00ED7E20" w:rsidRDefault="00752263" w:rsidP="00090D69">
            <w:pPr>
              <w:spacing w:after="0" w:line="240" w:lineRule="auto"/>
              <w:rPr>
                <w:rFonts w:ascii="Times New Roman" w:hAnsi="Times New Roman"/>
                <w:color w:val="000080"/>
                <w:sz w:val="24"/>
                <w:szCs w:val="24"/>
              </w:rPr>
            </w:pPr>
          </w:p>
        </w:tc>
      </w:tr>
      <w:tr w:rsidR="00D220AC" w:rsidRPr="00ED7E20" w:rsidTr="00090D69">
        <w:trPr>
          <w:gridAfter w:val="1"/>
          <w:wAfter w:w="18" w:type="dxa"/>
        </w:trPr>
        <w:tc>
          <w:tcPr>
            <w:tcW w:w="1872" w:type="dxa"/>
          </w:tcPr>
          <w:p w:rsidR="00D220AC" w:rsidRPr="00ED7E20" w:rsidRDefault="00D220AC" w:rsidP="00090D69">
            <w:pPr>
              <w:spacing w:after="0" w:line="240" w:lineRule="auto"/>
              <w:ind w:left="-90"/>
              <w:rPr>
                <w:rFonts w:ascii="Times New Roman" w:hAnsi="Times New Roman"/>
                <w:b/>
                <w:color w:val="000080"/>
                <w:sz w:val="24"/>
                <w:szCs w:val="24"/>
              </w:rPr>
            </w:pPr>
            <w:r>
              <w:rPr>
                <w:rFonts w:ascii="Times New Roman" w:hAnsi="Times New Roman"/>
                <w:b/>
                <w:color w:val="000080"/>
                <w:sz w:val="24"/>
                <w:szCs w:val="24"/>
              </w:rPr>
              <w:t>MATS</w:t>
            </w:r>
          </w:p>
        </w:tc>
        <w:tc>
          <w:tcPr>
            <w:tcW w:w="6120" w:type="dxa"/>
          </w:tcPr>
          <w:p w:rsidR="00D220AC" w:rsidRPr="00ED7E20" w:rsidRDefault="00D220AC" w:rsidP="00090D69">
            <w:pPr>
              <w:spacing w:after="0" w:line="240" w:lineRule="auto"/>
              <w:rPr>
                <w:rFonts w:ascii="Times New Roman" w:hAnsi="Times New Roman"/>
                <w:color w:val="000080"/>
                <w:sz w:val="24"/>
                <w:szCs w:val="24"/>
              </w:rPr>
            </w:pPr>
            <w:r>
              <w:rPr>
                <w:rFonts w:ascii="Times New Roman" w:hAnsi="Times New Roman"/>
                <w:color w:val="000080"/>
                <w:sz w:val="24"/>
                <w:szCs w:val="24"/>
              </w:rPr>
              <w:t>Mercury and Air Toxics Standards</w:t>
            </w:r>
          </w:p>
        </w:tc>
      </w:tr>
      <w:tr w:rsidR="00D220AC" w:rsidRPr="00ED7E20" w:rsidTr="00090D69">
        <w:trPr>
          <w:gridAfter w:val="1"/>
          <w:wAfter w:w="18" w:type="dxa"/>
        </w:trPr>
        <w:tc>
          <w:tcPr>
            <w:tcW w:w="1872" w:type="dxa"/>
          </w:tcPr>
          <w:p w:rsidR="00D220AC" w:rsidRPr="00ED7E20" w:rsidRDefault="00D220AC" w:rsidP="00090D69">
            <w:pPr>
              <w:spacing w:after="0" w:line="240" w:lineRule="auto"/>
              <w:ind w:left="-90"/>
              <w:rPr>
                <w:rFonts w:ascii="Times New Roman" w:hAnsi="Times New Roman"/>
                <w:b/>
                <w:color w:val="000080"/>
                <w:sz w:val="24"/>
                <w:szCs w:val="24"/>
              </w:rPr>
            </w:pPr>
          </w:p>
        </w:tc>
        <w:tc>
          <w:tcPr>
            <w:tcW w:w="6120" w:type="dxa"/>
          </w:tcPr>
          <w:p w:rsidR="00D220AC" w:rsidRPr="00ED7E20" w:rsidRDefault="00D220AC" w:rsidP="00090D69">
            <w:pPr>
              <w:spacing w:after="0" w:line="240" w:lineRule="auto"/>
              <w:rPr>
                <w:rFonts w:ascii="Times New Roman" w:hAnsi="Times New Roman"/>
                <w:color w:val="000080"/>
                <w:sz w:val="24"/>
                <w:szCs w:val="24"/>
              </w:rPr>
            </w:pP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r w:rsidRPr="00ED7E20">
              <w:rPr>
                <w:rFonts w:ascii="Times New Roman" w:hAnsi="Times New Roman"/>
                <w:b/>
                <w:color w:val="000080"/>
                <w:sz w:val="24"/>
                <w:szCs w:val="24"/>
              </w:rPr>
              <w:t>NAAQS</w:t>
            </w:r>
          </w:p>
        </w:tc>
        <w:tc>
          <w:tcPr>
            <w:tcW w:w="6120" w:type="dxa"/>
          </w:tcPr>
          <w:p w:rsidR="00752263" w:rsidRPr="00ED7E20" w:rsidRDefault="00752263" w:rsidP="00090D69">
            <w:pPr>
              <w:spacing w:after="0" w:line="240" w:lineRule="auto"/>
              <w:rPr>
                <w:rFonts w:ascii="Times New Roman" w:hAnsi="Times New Roman"/>
                <w:color w:val="000080"/>
                <w:sz w:val="24"/>
                <w:szCs w:val="24"/>
              </w:rPr>
            </w:pPr>
            <w:r w:rsidRPr="00ED7E20">
              <w:rPr>
                <w:rFonts w:ascii="Times New Roman" w:hAnsi="Times New Roman"/>
                <w:color w:val="000080"/>
                <w:sz w:val="24"/>
                <w:szCs w:val="24"/>
              </w:rPr>
              <w:t>Nationa</w:t>
            </w:r>
            <w:r w:rsidR="00690722">
              <w:rPr>
                <w:rFonts w:ascii="Times New Roman" w:hAnsi="Times New Roman"/>
                <w:color w:val="000080"/>
                <w:sz w:val="24"/>
                <w:szCs w:val="24"/>
              </w:rPr>
              <w:t>l Ambient Air Quality Standards</w:t>
            </w: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p>
        </w:tc>
        <w:tc>
          <w:tcPr>
            <w:tcW w:w="6120" w:type="dxa"/>
          </w:tcPr>
          <w:p w:rsidR="00752263" w:rsidRPr="00ED7E20" w:rsidRDefault="00752263" w:rsidP="00090D69">
            <w:pPr>
              <w:spacing w:after="0" w:line="240" w:lineRule="auto"/>
              <w:rPr>
                <w:rFonts w:ascii="Times New Roman" w:hAnsi="Times New Roman"/>
                <w:color w:val="000080"/>
                <w:sz w:val="24"/>
                <w:szCs w:val="24"/>
              </w:rPr>
            </w:pP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r w:rsidRPr="00ED7E20">
              <w:rPr>
                <w:rFonts w:ascii="Times New Roman" w:hAnsi="Times New Roman"/>
                <w:b/>
                <w:color w:val="000080"/>
                <w:sz w:val="24"/>
                <w:szCs w:val="24"/>
              </w:rPr>
              <w:t>NH</w:t>
            </w:r>
            <w:r w:rsidRPr="00ED7E20">
              <w:rPr>
                <w:rFonts w:ascii="Times New Roman" w:hAnsi="Times New Roman"/>
                <w:b/>
                <w:color w:val="000080"/>
                <w:sz w:val="24"/>
                <w:szCs w:val="24"/>
                <w:vertAlign w:val="subscript"/>
              </w:rPr>
              <w:t>3</w:t>
            </w:r>
          </w:p>
        </w:tc>
        <w:tc>
          <w:tcPr>
            <w:tcW w:w="6120" w:type="dxa"/>
          </w:tcPr>
          <w:p w:rsidR="00752263" w:rsidRPr="00ED7E20" w:rsidRDefault="00690722" w:rsidP="00090D69">
            <w:pPr>
              <w:spacing w:after="0" w:line="240" w:lineRule="auto"/>
              <w:rPr>
                <w:rFonts w:ascii="Times New Roman" w:hAnsi="Times New Roman"/>
                <w:color w:val="000080"/>
                <w:sz w:val="24"/>
                <w:szCs w:val="24"/>
              </w:rPr>
            </w:pPr>
            <w:r>
              <w:rPr>
                <w:rFonts w:ascii="Times New Roman" w:hAnsi="Times New Roman"/>
                <w:color w:val="000080"/>
                <w:sz w:val="24"/>
                <w:szCs w:val="24"/>
              </w:rPr>
              <w:t>Ammonia</w:t>
            </w: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p>
        </w:tc>
        <w:tc>
          <w:tcPr>
            <w:tcW w:w="6120" w:type="dxa"/>
          </w:tcPr>
          <w:p w:rsidR="00752263" w:rsidRPr="00ED7E20" w:rsidRDefault="00752263" w:rsidP="00090D69">
            <w:pPr>
              <w:spacing w:after="0" w:line="240" w:lineRule="auto"/>
              <w:rPr>
                <w:rFonts w:ascii="Times New Roman" w:hAnsi="Times New Roman"/>
                <w:color w:val="000080"/>
                <w:sz w:val="24"/>
                <w:szCs w:val="24"/>
              </w:rPr>
            </w:pP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r w:rsidRPr="00ED7E20">
              <w:rPr>
                <w:rFonts w:ascii="Times New Roman" w:hAnsi="Times New Roman"/>
                <w:b/>
                <w:color w:val="000080"/>
                <w:sz w:val="24"/>
                <w:szCs w:val="24"/>
              </w:rPr>
              <w:t>NO</w:t>
            </w:r>
            <w:r w:rsidRPr="00ED7E20">
              <w:rPr>
                <w:rFonts w:ascii="Times New Roman" w:hAnsi="Times New Roman"/>
                <w:b/>
                <w:color w:val="000080"/>
                <w:sz w:val="24"/>
                <w:szCs w:val="24"/>
                <w:vertAlign w:val="subscript"/>
              </w:rPr>
              <w:t>2</w:t>
            </w:r>
          </w:p>
        </w:tc>
        <w:tc>
          <w:tcPr>
            <w:tcW w:w="6120" w:type="dxa"/>
          </w:tcPr>
          <w:p w:rsidR="00752263" w:rsidRPr="00ED7E20" w:rsidRDefault="00690722" w:rsidP="00090D69">
            <w:pPr>
              <w:spacing w:after="0" w:line="240" w:lineRule="auto"/>
              <w:rPr>
                <w:rFonts w:ascii="Times New Roman" w:hAnsi="Times New Roman"/>
                <w:color w:val="000080"/>
                <w:sz w:val="24"/>
                <w:szCs w:val="24"/>
              </w:rPr>
            </w:pPr>
            <w:r>
              <w:rPr>
                <w:rFonts w:ascii="Times New Roman" w:hAnsi="Times New Roman"/>
                <w:color w:val="000080"/>
                <w:sz w:val="24"/>
                <w:szCs w:val="24"/>
              </w:rPr>
              <w:t>Nitrogen Dioxide</w:t>
            </w: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p>
        </w:tc>
        <w:tc>
          <w:tcPr>
            <w:tcW w:w="6120" w:type="dxa"/>
          </w:tcPr>
          <w:p w:rsidR="00752263" w:rsidRPr="00ED7E20" w:rsidRDefault="00752263" w:rsidP="00090D69">
            <w:pPr>
              <w:spacing w:after="0" w:line="240" w:lineRule="auto"/>
              <w:rPr>
                <w:rFonts w:ascii="Times New Roman" w:hAnsi="Times New Roman"/>
                <w:color w:val="000080"/>
                <w:sz w:val="24"/>
                <w:szCs w:val="24"/>
              </w:rPr>
            </w:pP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r w:rsidRPr="00ED7E20">
              <w:rPr>
                <w:rFonts w:ascii="Times New Roman" w:hAnsi="Times New Roman"/>
                <w:b/>
                <w:color w:val="000080"/>
                <w:sz w:val="24"/>
                <w:szCs w:val="24"/>
              </w:rPr>
              <w:t>NO</w:t>
            </w:r>
            <w:r w:rsidRPr="00ED7E20">
              <w:rPr>
                <w:rFonts w:ascii="Times New Roman" w:hAnsi="Times New Roman"/>
                <w:b/>
                <w:color w:val="000080"/>
                <w:sz w:val="24"/>
                <w:szCs w:val="24"/>
                <w:vertAlign w:val="subscript"/>
              </w:rPr>
              <w:t>X</w:t>
            </w:r>
          </w:p>
        </w:tc>
        <w:tc>
          <w:tcPr>
            <w:tcW w:w="6120" w:type="dxa"/>
          </w:tcPr>
          <w:p w:rsidR="00752263" w:rsidRPr="00ED7E20" w:rsidRDefault="00752263" w:rsidP="00090D69">
            <w:pPr>
              <w:spacing w:after="0" w:line="240" w:lineRule="auto"/>
              <w:rPr>
                <w:rFonts w:ascii="Times New Roman" w:hAnsi="Times New Roman"/>
                <w:color w:val="000080"/>
                <w:sz w:val="24"/>
                <w:szCs w:val="24"/>
              </w:rPr>
            </w:pPr>
            <w:r w:rsidRPr="00ED7E20">
              <w:rPr>
                <w:rFonts w:ascii="Times New Roman" w:hAnsi="Times New Roman"/>
                <w:color w:val="000080"/>
                <w:sz w:val="24"/>
                <w:szCs w:val="24"/>
              </w:rPr>
              <w:t>Nitrogen Ox</w:t>
            </w:r>
            <w:r w:rsidR="00690722">
              <w:rPr>
                <w:rFonts w:ascii="Times New Roman" w:hAnsi="Times New Roman"/>
                <w:color w:val="000080"/>
                <w:sz w:val="24"/>
                <w:szCs w:val="24"/>
              </w:rPr>
              <w:t>ide</w:t>
            </w: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p>
        </w:tc>
        <w:tc>
          <w:tcPr>
            <w:tcW w:w="6120" w:type="dxa"/>
          </w:tcPr>
          <w:p w:rsidR="00752263" w:rsidRPr="00ED7E20" w:rsidRDefault="00752263" w:rsidP="00090D69">
            <w:pPr>
              <w:spacing w:after="0" w:line="240" w:lineRule="auto"/>
              <w:rPr>
                <w:rFonts w:ascii="Times New Roman" w:hAnsi="Times New Roman"/>
                <w:color w:val="000080"/>
                <w:sz w:val="24"/>
                <w:szCs w:val="24"/>
              </w:rPr>
            </w:pP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r w:rsidRPr="00ED7E20">
              <w:rPr>
                <w:rFonts w:ascii="Times New Roman" w:hAnsi="Times New Roman"/>
                <w:b/>
                <w:color w:val="000080"/>
                <w:sz w:val="24"/>
                <w:szCs w:val="24"/>
              </w:rPr>
              <w:t>NPDES</w:t>
            </w:r>
          </w:p>
        </w:tc>
        <w:tc>
          <w:tcPr>
            <w:tcW w:w="6120" w:type="dxa"/>
          </w:tcPr>
          <w:p w:rsidR="00752263" w:rsidRPr="00ED7E20" w:rsidRDefault="00752263" w:rsidP="00090D69">
            <w:pPr>
              <w:spacing w:after="0" w:line="240" w:lineRule="auto"/>
              <w:rPr>
                <w:rFonts w:ascii="Times New Roman" w:hAnsi="Times New Roman"/>
                <w:color w:val="000080"/>
                <w:sz w:val="24"/>
                <w:szCs w:val="24"/>
              </w:rPr>
            </w:pPr>
            <w:r w:rsidRPr="00ED7E20">
              <w:rPr>
                <w:rFonts w:ascii="Times New Roman" w:hAnsi="Times New Roman"/>
                <w:color w:val="000080"/>
                <w:sz w:val="24"/>
                <w:szCs w:val="24"/>
              </w:rPr>
              <w:t>National Polluti</w:t>
            </w:r>
            <w:r w:rsidR="00690722">
              <w:rPr>
                <w:rFonts w:ascii="Times New Roman" w:hAnsi="Times New Roman"/>
                <w:color w:val="000080"/>
                <w:sz w:val="24"/>
                <w:szCs w:val="24"/>
              </w:rPr>
              <w:t>on Discharge Elimination System</w:t>
            </w: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p>
        </w:tc>
        <w:tc>
          <w:tcPr>
            <w:tcW w:w="6120" w:type="dxa"/>
          </w:tcPr>
          <w:p w:rsidR="00752263" w:rsidRPr="00ED7E20" w:rsidRDefault="00752263" w:rsidP="00090D69">
            <w:pPr>
              <w:spacing w:after="0" w:line="240" w:lineRule="auto"/>
              <w:rPr>
                <w:rFonts w:ascii="Times New Roman" w:hAnsi="Times New Roman"/>
                <w:color w:val="000080"/>
                <w:sz w:val="24"/>
                <w:szCs w:val="24"/>
              </w:rPr>
            </w:pPr>
          </w:p>
        </w:tc>
      </w:tr>
      <w:tr w:rsidR="00752263" w:rsidRPr="00ED7E20" w:rsidTr="00090D69">
        <w:trPr>
          <w:gridAfter w:val="1"/>
          <w:wAfter w:w="18" w:type="dxa"/>
          <w:trHeight w:val="360"/>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r w:rsidRPr="00ED7E20">
              <w:rPr>
                <w:rFonts w:ascii="Times New Roman" w:hAnsi="Times New Roman"/>
                <w:b/>
                <w:color w:val="000080"/>
                <w:sz w:val="24"/>
                <w:szCs w:val="24"/>
              </w:rPr>
              <w:t>NR</w:t>
            </w:r>
          </w:p>
        </w:tc>
        <w:tc>
          <w:tcPr>
            <w:tcW w:w="6120" w:type="dxa"/>
          </w:tcPr>
          <w:p w:rsidR="00752263" w:rsidRPr="00ED7E20" w:rsidRDefault="00752263" w:rsidP="00090D69">
            <w:pPr>
              <w:spacing w:after="0" w:line="240" w:lineRule="auto"/>
              <w:rPr>
                <w:rFonts w:ascii="Times New Roman" w:hAnsi="Times New Roman"/>
                <w:color w:val="000080"/>
                <w:sz w:val="24"/>
                <w:szCs w:val="24"/>
              </w:rPr>
            </w:pPr>
            <w:r w:rsidRPr="00ED7E20">
              <w:rPr>
                <w:rFonts w:ascii="Times New Roman" w:hAnsi="Times New Roman"/>
                <w:color w:val="000080"/>
                <w:sz w:val="24"/>
                <w:szCs w:val="24"/>
              </w:rPr>
              <w:t>Not required for complianc</w:t>
            </w:r>
            <w:r w:rsidR="00690722">
              <w:rPr>
                <w:rFonts w:ascii="Times New Roman" w:hAnsi="Times New Roman"/>
                <w:color w:val="000080"/>
                <w:sz w:val="24"/>
                <w:szCs w:val="24"/>
              </w:rPr>
              <w:t>e under current averaging plans</w:t>
            </w:r>
          </w:p>
        </w:tc>
      </w:tr>
      <w:tr w:rsidR="00752263" w:rsidRPr="00ED7E20" w:rsidTr="00090D69">
        <w:trPr>
          <w:gridAfter w:val="1"/>
          <w:wAfter w:w="18" w:type="dxa"/>
          <w:trHeight w:val="99"/>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p>
        </w:tc>
        <w:tc>
          <w:tcPr>
            <w:tcW w:w="6120" w:type="dxa"/>
          </w:tcPr>
          <w:p w:rsidR="00752263" w:rsidRPr="00ED7E20" w:rsidRDefault="00752263" w:rsidP="00090D69">
            <w:pPr>
              <w:spacing w:after="0" w:line="240" w:lineRule="auto"/>
              <w:rPr>
                <w:rFonts w:ascii="Times New Roman" w:hAnsi="Times New Roman"/>
                <w:color w:val="000080"/>
                <w:sz w:val="24"/>
                <w:szCs w:val="24"/>
              </w:rPr>
            </w:pP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r w:rsidRPr="00ED7E20">
              <w:rPr>
                <w:rFonts w:ascii="Times New Roman" w:hAnsi="Times New Roman"/>
                <w:b/>
                <w:color w:val="000080"/>
                <w:sz w:val="24"/>
                <w:szCs w:val="24"/>
              </w:rPr>
              <w:t>NSR</w:t>
            </w:r>
          </w:p>
        </w:tc>
        <w:tc>
          <w:tcPr>
            <w:tcW w:w="6120" w:type="dxa"/>
          </w:tcPr>
          <w:p w:rsidR="00752263" w:rsidRPr="00ED7E20" w:rsidRDefault="00690722" w:rsidP="00090D69">
            <w:pPr>
              <w:spacing w:after="0" w:line="240" w:lineRule="auto"/>
              <w:rPr>
                <w:rFonts w:ascii="Times New Roman" w:hAnsi="Times New Roman"/>
                <w:color w:val="000080"/>
                <w:sz w:val="24"/>
                <w:szCs w:val="24"/>
              </w:rPr>
            </w:pPr>
            <w:r>
              <w:rPr>
                <w:rFonts w:ascii="Times New Roman" w:hAnsi="Times New Roman"/>
                <w:color w:val="000080"/>
                <w:sz w:val="24"/>
                <w:szCs w:val="24"/>
              </w:rPr>
              <w:t>New Source Review</w:t>
            </w: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p>
        </w:tc>
        <w:tc>
          <w:tcPr>
            <w:tcW w:w="6120" w:type="dxa"/>
          </w:tcPr>
          <w:p w:rsidR="00752263" w:rsidRPr="00ED7E20" w:rsidRDefault="00752263" w:rsidP="00090D69">
            <w:pPr>
              <w:spacing w:after="0" w:line="240" w:lineRule="auto"/>
              <w:rPr>
                <w:rFonts w:ascii="Times New Roman" w:hAnsi="Times New Roman"/>
                <w:color w:val="000080"/>
                <w:sz w:val="24"/>
                <w:szCs w:val="24"/>
              </w:rPr>
            </w:pPr>
          </w:p>
        </w:tc>
      </w:tr>
      <w:tr w:rsidR="00752263" w:rsidRPr="00ED7E20" w:rsidTr="00090D69">
        <w:trPr>
          <w:gridAfter w:val="1"/>
          <w:wAfter w:w="18" w:type="dxa"/>
        </w:trPr>
        <w:tc>
          <w:tcPr>
            <w:tcW w:w="1872" w:type="dxa"/>
          </w:tcPr>
          <w:p w:rsidR="00752263" w:rsidRPr="00ED7E20" w:rsidRDefault="00752263" w:rsidP="00090D69">
            <w:pPr>
              <w:keepNext/>
              <w:keepLines/>
              <w:spacing w:after="0" w:line="240" w:lineRule="auto"/>
              <w:ind w:left="-86"/>
              <w:rPr>
                <w:rFonts w:ascii="Times New Roman" w:hAnsi="Times New Roman"/>
                <w:b/>
                <w:color w:val="000080"/>
                <w:sz w:val="24"/>
                <w:szCs w:val="24"/>
              </w:rPr>
            </w:pPr>
            <w:r w:rsidRPr="00ED7E20">
              <w:rPr>
                <w:rFonts w:ascii="Times New Roman" w:hAnsi="Times New Roman"/>
                <w:b/>
                <w:color w:val="000080"/>
                <w:sz w:val="24"/>
                <w:szCs w:val="24"/>
              </w:rPr>
              <w:t>OFA</w:t>
            </w:r>
          </w:p>
        </w:tc>
        <w:tc>
          <w:tcPr>
            <w:tcW w:w="6120" w:type="dxa"/>
          </w:tcPr>
          <w:p w:rsidR="00752263" w:rsidRPr="00ED7E20" w:rsidRDefault="00752263" w:rsidP="00690722">
            <w:pPr>
              <w:keepNext/>
              <w:keepLines/>
              <w:spacing w:after="0" w:line="240" w:lineRule="auto"/>
              <w:rPr>
                <w:rFonts w:ascii="Times New Roman" w:hAnsi="Times New Roman"/>
                <w:color w:val="000080"/>
                <w:sz w:val="24"/>
                <w:szCs w:val="24"/>
              </w:rPr>
            </w:pPr>
            <w:r w:rsidRPr="00ED7E20">
              <w:rPr>
                <w:rFonts w:ascii="Times New Roman" w:hAnsi="Times New Roman"/>
                <w:color w:val="000080"/>
                <w:sz w:val="24"/>
                <w:szCs w:val="24"/>
              </w:rPr>
              <w:t>Overfire Air</w:t>
            </w: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333399"/>
                <w:sz w:val="24"/>
                <w:szCs w:val="24"/>
              </w:rPr>
            </w:pPr>
          </w:p>
        </w:tc>
        <w:tc>
          <w:tcPr>
            <w:tcW w:w="6120" w:type="dxa"/>
          </w:tcPr>
          <w:p w:rsidR="00752263" w:rsidRPr="00ED7E20" w:rsidRDefault="00752263" w:rsidP="00090D69">
            <w:pPr>
              <w:spacing w:after="0" w:line="240" w:lineRule="auto"/>
              <w:rPr>
                <w:rFonts w:ascii="Times New Roman" w:hAnsi="Times New Roman"/>
                <w:color w:val="333399"/>
                <w:sz w:val="24"/>
                <w:szCs w:val="24"/>
              </w:rPr>
            </w:pP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r w:rsidRPr="00ED7E20">
              <w:rPr>
                <w:rFonts w:ascii="Times New Roman" w:hAnsi="Times New Roman"/>
                <w:b/>
                <w:color w:val="000080"/>
                <w:sz w:val="24"/>
                <w:szCs w:val="24"/>
              </w:rPr>
              <w:t>PJFF</w:t>
            </w:r>
          </w:p>
        </w:tc>
        <w:tc>
          <w:tcPr>
            <w:tcW w:w="6120" w:type="dxa"/>
          </w:tcPr>
          <w:p w:rsidR="00752263" w:rsidRPr="00ED7E20" w:rsidRDefault="00690722" w:rsidP="00090D69">
            <w:pPr>
              <w:spacing w:after="0" w:line="240" w:lineRule="auto"/>
              <w:rPr>
                <w:rFonts w:ascii="Times New Roman" w:hAnsi="Times New Roman"/>
                <w:color w:val="000080"/>
                <w:sz w:val="24"/>
                <w:szCs w:val="24"/>
              </w:rPr>
            </w:pPr>
            <w:r>
              <w:rPr>
                <w:rFonts w:ascii="Times New Roman" w:hAnsi="Times New Roman"/>
                <w:color w:val="000080"/>
                <w:sz w:val="24"/>
                <w:szCs w:val="24"/>
              </w:rPr>
              <w:t>Pulse-Jet Fabric Filter</w:t>
            </w: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p>
        </w:tc>
        <w:tc>
          <w:tcPr>
            <w:tcW w:w="6120" w:type="dxa"/>
          </w:tcPr>
          <w:p w:rsidR="00752263" w:rsidRPr="00ED7E20" w:rsidRDefault="00752263" w:rsidP="00090D69">
            <w:pPr>
              <w:spacing w:after="0" w:line="240" w:lineRule="auto"/>
              <w:rPr>
                <w:rFonts w:ascii="Times New Roman" w:hAnsi="Times New Roman"/>
                <w:color w:val="000080"/>
                <w:sz w:val="24"/>
                <w:szCs w:val="24"/>
              </w:rPr>
            </w:pP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r w:rsidRPr="00ED7E20">
              <w:rPr>
                <w:rFonts w:ascii="Times New Roman" w:hAnsi="Times New Roman"/>
                <w:b/>
                <w:color w:val="000080"/>
                <w:sz w:val="24"/>
                <w:szCs w:val="24"/>
              </w:rPr>
              <w:t>PM</w:t>
            </w:r>
          </w:p>
        </w:tc>
        <w:tc>
          <w:tcPr>
            <w:tcW w:w="6120" w:type="dxa"/>
          </w:tcPr>
          <w:p w:rsidR="00752263" w:rsidRPr="00ED7E20" w:rsidRDefault="00690722" w:rsidP="00090D69">
            <w:pPr>
              <w:spacing w:after="0" w:line="240" w:lineRule="auto"/>
              <w:rPr>
                <w:rFonts w:ascii="Times New Roman" w:hAnsi="Times New Roman"/>
                <w:color w:val="000080"/>
                <w:sz w:val="24"/>
                <w:szCs w:val="24"/>
              </w:rPr>
            </w:pPr>
            <w:r>
              <w:rPr>
                <w:rFonts w:ascii="Times New Roman" w:hAnsi="Times New Roman"/>
                <w:color w:val="000080"/>
                <w:sz w:val="24"/>
                <w:szCs w:val="24"/>
              </w:rPr>
              <w:t>Particulate Matter</w:t>
            </w: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p>
        </w:tc>
        <w:tc>
          <w:tcPr>
            <w:tcW w:w="6120" w:type="dxa"/>
          </w:tcPr>
          <w:p w:rsidR="00752263" w:rsidRPr="00ED7E20" w:rsidRDefault="00752263" w:rsidP="00090D69">
            <w:pPr>
              <w:spacing w:after="0" w:line="240" w:lineRule="auto"/>
              <w:rPr>
                <w:rFonts w:ascii="Times New Roman" w:hAnsi="Times New Roman"/>
                <w:color w:val="000080"/>
                <w:sz w:val="24"/>
                <w:szCs w:val="24"/>
              </w:rPr>
            </w:pPr>
          </w:p>
        </w:tc>
      </w:tr>
      <w:tr w:rsidR="00752263" w:rsidRPr="00ED7E20" w:rsidTr="00090D69">
        <w:trPr>
          <w:gridAfter w:val="1"/>
          <w:wAfter w:w="18" w:type="dxa"/>
        </w:trPr>
        <w:tc>
          <w:tcPr>
            <w:tcW w:w="1872" w:type="dxa"/>
          </w:tcPr>
          <w:p w:rsidR="00752263" w:rsidRPr="00ED7E20" w:rsidRDefault="00690722" w:rsidP="00090D69">
            <w:pPr>
              <w:spacing w:after="0" w:line="240" w:lineRule="auto"/>
              <w:ind w:left="-90"/>
              <w:rPr>
                <w:rFonts w:ascii="Times New Roman" w:hAnsi="Times New Roman"/>
                <w:b/>
                <w:color w:val="000080"/>
                <w:sz w:val="24"/>
                <w:szCs w:val="24"/>
              </w:rPr>
            </w:pPr>
            <w:r>
              <w:rPr>
                <w:rFonts w:ascii="Times New Roman" w:hAnsi="Times New Roman"/>
                <w:b/>
                <w:color w:val="000080"/>
                <w:sz w:val="24"/>
                <w:szCs w:val="24"/>
              </w:rPr>
              <w:t>PM</w:t>
            </w:r>
            <w:r w:rsidR="00752263" w:rsidRPr="00ED7E20">
              <w:rPr>
                <w:rFonts w:ascii="Times New Roman" w:hAnsi="Times New Roman"/>
                <w:b/>
                <w:color w:val="000080"/>
                <w:sz w:val="24"/>
                <w:szCs w:val="24"/>
              </w:rPr>
              <w:t>2.5</w:t>
            </w:r>
          </w:p>
        </w:tc>
        <w:tc>
          <w:tcPr>
            <w:tcW w:w="6120" w:type="dxa"/>
          </w:tcPr>
          <w:p w:rsidR="00752263" w:rsidRPr="00ED7E20" w:rsidRDefault="00752263" w:rsidP="00090D69">
            <w:pPr>
              <w:spacing w:after="0" w:line="240" w:lineRule="auto"/>
              <w:rPr>
                <w:rFonts w:ascii="Times New Roman" w:hAnsi="Times New Roman"/>
                <w:color w:val="000080"/>
                <w:sz w:val="24"/>
                <w:szCs w:val="24"/>
              </w:rPr>
            </w:pPr>
            <w:r w:rsidRPr="00ED7E20">
              <w:rPr>
                <w:rFonts w:ascii="Times New Roman" w:hAnsi="Times New Roman"/>
                <w:color w:val="000080"/>
                <w:sz w:val="24"/>
                <w:szCs w:val="24"/>
              </w:rPr>
              <w:t>Particulate Matter le</w:t>
            </w:r>
            <w:r w:rsidR="00690722">
              <w:rPr>
                <w:rFonts w:ascii="Times New Roman" w:hAnsi="Times New Roman"/>
                <w:color w:val="000080"/>
                <w:sz w:val="24"/>
                <w:szCs w:val="24"/>
              </w:rPr>
              <w:t>ss than 2.5 micrometers in size</w:t>
            </w: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p>
        </w:tc>
        <w:tc>
          <w:tcPr>
            <w:tcW w:w="6120" w:type="dxa"/>
          </w:tcPr>
          <w:p w:rsidR="00752263" w:rsidRPr="00ED7E20" w:rsidRDefault="00752263" w:rsidP="00090D69">
            <w:pPr>
              <w:spacing w:after="0" w:line="240" w:lineRule="auto"/>
              <w:rPr>
                <w:rFonts w:ascii="Times New Roman" w:hAnsi="Times New Roman"/>
                <w:color w:val="000080"/>
                <w:sz w:val="24"/>
                <w:szCs w:val="24"/>
              </w:rPr>
            </w:pP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r w:rsidRPr="00ED7E20">
              <w:rPr>
                <w:rFonts w:ascii="Times New Roman" w:hAnsi="Times New Roman"/>
                <w:b/>
                <w:color w:val="000080"/>
                <w:sz w:val="24"/>
                <w:szCs w:val="24"/>
              </w:rPr>
              <w:t>PRB</w:t>
            </w:r>
          </w:p>
        </w:tc>
        <w:tc>
          <w:tcPr>
            <w:tcW w:w="6120" w:type="dxa"/>
          </w:tcPr>
          <w:p w:rsidR="00752263" w:rsidRPr="00ED7E20" w:rsidRDefault="00690722" w:rsidP="00090D69">
            <w:pPr>
              <w:spacing w:after="0" w:line="240" w:lineRule="auto"/>
              <w:rPr>
                <w:rFonts w:ascii="Times New Roman" w:hAnsi="Times New Roman"/>
                <w:color w:val="000080"/>
                <w:sz w:val="24"/>
                <w:szCs w:val="24"/>
              </w:rPr>
            </w:pPr>
            <w:r>
              <w:rPr>
                <w:rFonts w:ascii="Times New Roman" w:hAnsi="Times New Roman"/>
                <w:color w:val="000080"/>
                <w:sz w:val="24"/>
                <w:szCs w:val="24"/>
              </w:rPr>
              <w:t>Powder River Basin</w:t>
            </w: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p>
        </w:tc>
        <w:tc>
          <w:tcPr>
            <w:tcW w:w="6120" w:type="dxa"/>
          </w:tcPr>
          <w:p w:rsidR="00752263" w:rsidRPr="00ED7E20" w:rsidRDefault="00752263" w:rsidP="00090D69">
            <w:pPr>
              <w:spacing w:after="0" w:line="240" w:lineRule="auto"/>
              <w:rPr>
                <w:rFonts w:ascii="Times New Roman" w:hAnsi="Times New Roman"/>
                <w:color w:val="000080"/>
                <w:sz w:val="24"/>
                <w:szCs w:val="24"/>
              </w:rPr>
            </w:pP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r w:rsidRPr="00ED7E20">
              <w:rPr>
                <w:rFonts w:ascii="Times New Roman" w:hAnsi="Times New Roman"/>
                <w:b/>
                <w:color w:val="000080"/>
                <w:sz w:val="24"/>
                <w:szCs w:val="24"/>
              </w:rPr>
              <w:t>RACT</w:t>
            </w:r>
          </w:p>
        </w:tc>
        <w:tc>
          <w:tcPr>
            <w:tcW w:w="6120" w:type="dxa"/>
          </w:tcPr>
          <w:p w:rsidR="00752263" w:rsidRPr="00ED7E20" w:rsidRDefault="00752263" w:rsidP="00090D69">
            <w:pPr>
              <w:spacing w:after="0" w:line="240" w:lineRule="auto"/>
              <w:rPr>
                <w:rFonts w:ascii="Times New Roman" w:hAnsi="Times New Roman"/>
                <w:color w:val="000080"/>
                <w:sz w:val="24"/>
                <w:szCs w:val="24"/>
              </w:rPr>
            </w:pPr>
            <w:r w:rsidRPr="00ED7E20">
              <w:rPr>
                <w:rFonts w:ascii="Times New Roman" w:hAnsi="Times New Roman"/>
                <w:color w:val="000080"/>
                <w:sz w:val="24"/>
                <w:szCs w:val="24"/>
              </w:rPr>
              <w:t>Reasonab</w:t>
            </w:r>
            <w:r w:rsidR="00690722">
              <w:rPr>
                <w:rFonts w:ascii="Times New Roman" w:hAnsi="Times New Roman"/>
                <w:color w:val="000080"/>
                <w:sz w:val="24"/>
                <w:szCs w:val="24"/>
              </w:rPr>
              <w:t>ly Available Control Technology</w:t>
            </w: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p>
        </w:tc>
        <w:tc>
          <w:tcPr>
            <w:tcW w:w="6120" w:type="dxa"/>
          </w:tcPr>
          <w:p w:rsidR="00752263" w:rsidRPr="00ED7E20" w:rsidRDefault="00752263" w:rsidP="00090D69">
            <w:pPr>
              <w:spacing w:after="0" w:line="240" w:lineRule="auto"/>
              <w:rPr>
                <w:rFonts w:ascii="Times New Roman" w:hAnsi="Times New Roman"/>
                <w:color w:val="000080"/>
                <w:sz w:val="24"/>
                <w:szCs w:val="24"/>
              </w:rPr>
            </w:pP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r w:rsidRPr="00ED7E20">
              <w:rPr>
                <w:rFonts w:ascii="Times New Roman" w:hAnsi="Times New Roman"/>
                <w:b/>
                <w:color w:val="000080"/>
                <w:sz w:val="24"/>
                <w:szCs w:val="24"/>
              </w:rPr>
              <w:t>RCRA</w:t>
            </w:r>
          </w:p>
        </w:tc>
        <w:tc>
          <w:tcPr>
            <w:tcW w:w="6120" w:type="dxa"/>
          </w:tcPr>
          <w:p w:rsidR="00752263" w:rsidRPr="00ED7E20" w:rsidRDefault="00752263" w:rsidP="00090D69">
            <w:pPr>
              <w:spacing w:after="0" w:line="240" w:lineRule="auto"/>
              <w:rPr>
                <w:rFonts w:ascii="Times New Roman" w:hAnsi="Times New Roman"/>
                <w:color w:val="000080"/>
                <w:sz w:val="24"/>
                <w:szCs w:val="24"/>
              </w:rPr>
            </w:pPr>
            <w:r w:rsidRPr="00ED7E20">
              <w:rPr>
                <w:rFonts w:ascii="Times New Roman" w:hAnsi="Times New Roman"/>
                <w:color w:val="000080"/>
                <w:sz w:val="24"/>
                <w:szCs w:val="24"/>
              </w:rPr>
              <w:t xml:space="preserve">Resource Conservation </w:t>
            </w:r>
            <w:r w:rsidR="00690722">
              <w:rPr>
                <w:rFonts w:ascii="Times New Roman" w:hAnsi="Times New Roman"/>
                <w:color w:val="000080"/>
                <w:sz w:val="24"/>
                <w:szCs w:val="24"/>
              </w:rPr>
              <w:t>and Recovery Act</w:t>
            </w: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p>
        </w:tc>
        <w:tc>
          <w:tcPr>
            <w:tcW w:w="6120" w:type="dxa"/>
          </w:tcPr>
          <w:p w:rsidR="00752263" w:rsidRPr="00ED7E20" w:rsidRDefault="00752263" w:rsidP="00090D69">
            <w:pPr>
              <w:spacing w:after="0" w:line="240" w:lineRule="auto"/>
              <w:rPr>
                <w:rFonts w:ascii="Times New Roman" w:hAnsi="Times New Roman"/>
                <w:color w:val="000080"/>
                <w:sz w:val="24"/>
                <w:szCs w:val="24"/>
              </w:rPr>
            </w:pP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r w:rsidRPr="00ED7E20">
              <w:rPr>
                <w:rFonts w:ascii="Times New Roman" w:hAnsi="Times New Roman"/>
                <w:b/>
                <w:color w:val="000080"/>
                <w:sz w:val="24"/>
                <w:szCs w:val="24"/>
              </w:rPr>
              <w:t>ROFA</w:t>
            </w:r>
          </w:p>
        </w:tc>
        <w:tc>
          <w:tcPr>
            <w:tcW w:w="6120" w:type="dxa"/>
          </w:tcPr>
          <w:p w:rsidR="00752263" w:rsidRPr="00ED7E20" w:rsidRDefault="00690722" w:rsidP="00090D69">
            <w:pPr>
              <w:spacing w:after="0" w:line="240" w:lineRule="auto"/>
              <w:rPr>
                <w:rFonts w:ascii="Times New Roman" w:hAnsi="Times New Roman"/>
                <w:color w:val="000080"/>
                <w:sz w:val="24"/>
                <w:szCs w:val="24"/>
              </w:rPr>
            </w:pPr>
            <w:r>
              <w:rPr>
                <w:rFonts w:ascii="Times New Roman" w:hAnsi="Times New Roman"/>
                <w:color w:val="000080"/>
                <w:sz w:val="24"/>
                <w:szCs w:val="24"/>
              </w:rPr>
              <w:t>Rotating Overfire Air</w:t>
            </w: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p>
        </w:tc>
        <w:tc>
          <w:tcPr>
            <w:tcW w:w="6120" w:type="dxa"/>
          </w:tcPr>
          <w:p w:rsidR="00752263" w:rsidRPr="00ED7E20" w:rsidRDefault="00752263" w:rsidP="00090D69">
            <w:pPr>
              <w:spacing w:after="0" w:line="240" w:lineRule="auto"/>
              <w:rPr>
                <w:rFonts w:ascii="Times New Roman" w:hAnsi="Times New Roman"/>
                <w:color w:val="000080"/>
                <w:sz w:val="24"/>
                <w:szCs w:val="24"/>
              </w:rPr>
            </w:pPr>
          </w:p>
        </w:tc>
      </w:tr>
      <w:tr w:rsidR="00854C6D" w:rsidRPr="00ED7E20" w:rsidTr="00090D69">
        <w:trPr>
          <w:gridAfter w:val="1"/>
          <w:wAfter w:w="18" w:type="dxa"/>
        </w:trPr>
        <w:tc>
          <w:tcPr>
            <w:tcW w:w="1872" w:type="dxa"/>
          </w:tcPr>
          <w:p w:rsidR="00854C6D" w:rsidRPr="00ED7E20" w:rsidRDefault="00854C6D" w:rsidP="00090D69">
            <w:pPr>
              <w:spacing w:after="0" w:line="240" w:lineRule="auto"/>
              <w:ind w:left="-90"/>
              <w:rPr>
                <w:rFonts w:ascii="Times New Roman" w:hAnsi="Times New Roman"/>
                <w:b/>
                <w:color w:val="000080"/>
                <w:sz w:val="24"/>
                <w:szCs w:val="24"/>
              </w:rPr>
            </w:pPr>
            <w:r>
              <w:rPr>
                <w:rFonts w:ascii="Times New Roman" w:hAnsi="Times New Roman"/>
                <w:b/>
                <w:color w:val="000080"/>
                <w:sz w:val="24"/>
                <w:szCs w:val="24"/>
              </w:rPr>
              <w:t>SAMC</w:t>
            </w:r>
          </w:p>
        </w:tc>
        <w:tc>
          <w:tcPr>
            <w:tcW w:w="6120" w:type="dxa"/>
          </w:tcPr>
          <w:p w:rsidR="00854C6D" w:rsidRPr="00ED7E20" w:rsidRDefault="00854C6D" w:rsidP="00090D69">
            <w:pPr>
              <w:spacing w:after="0" w:line="240" w:lineRule="auto"/>
              <w:rPr>
                <w:rFonts w:ascii="Times New Roman" w:hAnsi="Times New Roman"/>
                <w:color w:val="000080"/>
                <w:sz w:val="24"/>
                <w:szCs w:val="24"/>
              </w:rPr>
            </w:pPr>
            <w:r>
              <w:rPr>
                <w:rFonts w:ascii="Times New Roman" w:hAnsi="Times New Roman"/>
                <w:color w:val="000080"/>
                <w:sz w:val="24"/>
                <w:szCs w:val="24"/>
              </w:rPr>
              <w:t>Sulfuric Acid Mist Control</w:t>
            </w:r>
          </w:p>
        </w:tc>
      </w:tr>
      <w:tr w:rsidR="00854C6D" w:rsidRPr="00ED7E20" w:rsidTr="00090D69">
        <w:trPr>
          <w:gridAfter w:val="1"/>
          <w:wAfter w:w="18" w:type="dxa"/>
        </w:trPr>
        <w:tc>
          <w:tcPr>
            <w:tcW w:w="1872" w:type="dxa"/>
          </w:tcPr>
          <w:p w:rsidR="00854C6D" w:rsidRPr="00ED7E20" w:rsidRDefault="00854C6D" w:rsidP="00090D69">
            <w:pPr>
              <w:spacing w:after="0" w:line="240" w:lineRule="auto"/>
              <w:ind w:left="-90"/>
              <w:rPr>
                <w:rFonts w:ascii="Times New Roman" w:hAnsi="Times New Roman"/>
                <w:b/>
                <w:color w:val="000080"/>
                <w:sz w:val="24"/>
                <w:szCs w:val="24"/>
              </w:rPr>
            </w:pPr>
          </w:p>
        </w:tc>
        <w:tc>
          <w:tcPr>
            <w:tcW w:w="6120" w:type="dxa"/>
          </w:tcPr>
          <w:p w:rsidR="00854C6D" w:rsidRPr="00ED7E20" w:rsidRDefault="00854C6D" w:rsidP="00090D69">
            <w:pPr>
              <w:spacing w:after="0" w:line="240" w:lineRule="auto"/>
              <w:rPr>
                <w:rFonts w:ascii="Times New Roman" w:hAnsi="Times New Roman"/>
                <w:color w:val="000080"/>
                <w:sz w:val="24"/>
                <w:szCs w:val="24"/>
              </w:rPr>
            </w:pP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r w:rsidRPr="00ED7E20">
              <w:rPr>
                <w:rFonts w:ascii="Times New Roman" w:hAnsi="Times New Roman"/>
                <w:b/>
                <w:color w:val="000080"/>
                <w:sz w:val="24"/>
                <w:szCs w:val="24"/>
              </w:rPr>
              <w:t>SCR</w:t>
            </w:r>
          </w:p>
        </w:tc>
        <w:tc>
          <w:tcPr>
            <w:tcW w:w="6120" w:type="dxa"/>
          </w:tcPr>
          <w:p w:rsidR="00752263" w:rsidRPr="00ED7E20" w:rsidRDefault="00752263" w:rsidP="00690722">
            <w:pPr>
              <w:spacing w:after="0" w:line="240" w:lineRule="auto"/>
              <w:rPr>
                <w:rFonts w:ascii="Times New Roman" w:hAnsi="Times New Roman"/>
                <w:color w:val="000080"/>
                <w:sz w:val="24"/>
                <w:szCs w:val="24"/>
              </w:rPr>
            </w:pPr>
            <w:r w:rsidRPr="00ED7E20">
              <w:rPr>
                <w:rFonts w:ascii="Times New Roman" w:hAnsi="Times New Roman"/>
                <w:color w:val="000080"/>
                <w:sz w:val="24"/>
                <w:szCs w:val="24"/>
              </w:rPr>
              <w:t>Selective Catalytic Reduction</w:t>
            </w:r>
          </w:p>
        </w:tc>
      </w:tr>
      <w:tr w:rsidR="00752263" w:rsidRPr="00ED7E20" w:rsidTr="00090D69">
        <w:trPr>
          <w:gridAfter w:val="1"/>
          <w:wAfter w:w="18" w:type="dxa"/>
        </w:trPr>
        <w:tc>
          <w:tcPr>
            <w:tcW w:w="1872" w:type="dxa"/>
          </w:tcPr>
          <w:p w:rsidR="00752263" w:rsidRPr="00ED7E20" w:rsidRDefault="00752263" w:rsidP="00090D69">
            <w:pPr>
              <w:spacing w:after="0" w:line="240" w:lineRule="auto"/>
              <w:rPr>
                <w:rFonts w:ascii="Times New Roman" w:hAnsi="Times New Roman"/>
                <w:b/>
                <w:color w:val="000080"/>
                <w:sz w:val="24"/>
                <w:szCs w:val="24"/>
              </w:rPr>
            </w:pPr>
          </w:p>
        </w:tc>
        <w:tc>
          <w:tcPr>
            <w:tcW w:w="6120" w:type="dxa"/>
          </w:tcPr>
          <w:p w:rsidR="00752263" w:rsidRPr="00ED7E20" w:rsidRDefault="00752263" w:rsidP="00090D69">
            <w:pPr>
              <w:spacing w:after="0" w:line="240" w:lineRule="auto"/>
              <w:rPr>
                <w:rFonts w:ascii="Times New Roman" w:hAnsi="Times New Roman"/>
                <w:color w:val="000080"/>
                <w:sz w:val="24"/>
                <w:szCs w:val="24"/>
              </w:rPr>
            </w:pPr>
          </w:p>
        </w:tc>
      </w:tr>
      <w:tr w:rsidR="00752263" w:rsidRPr="00ED7E20" w:rsidTr="00090D69">
        <w:trPr>
          <w:gridAfter w:val="1"/>
          <w:wAfter w:w="18" w:type="dxa"/>
        </w:trPr>
        <w:tc>
          <w:tcPr>
            <w:tcW w:w="1872" w:type="dxa"/>
          </w:tcPr>
          <w:p w:rsidR="00752263" w:rsidRPr="00ED7E20" w:rsidRDefault="00752263" w:rsidP="00A56566">
            <w:pPr>
              <w:spacing w:after="0" w:line="240" w:lineRule="auto"/>
              <w:ind w:left="-108"/>
              <w:rPr>
                <w:rFonts w:ascii="Times New Roman" w:hAnsi="Times New Roman"/>
                <w:b/>
                <w:color w:val="000080"/>
                <w:sz w:val="24"/>
                <w:szCs w:val="24"/>
              </w:rPr>
            </w:pPr>
            <w:r w:rsidRPr="00ED7E20">
              <w:rPr>
                <w:rFonts w:ascii="Times New Roman" w:hAnsi="Times New Roman"/>
                <w:b/>
                <w:color w:val="000080"/>
                <w:sz w:val="24"/>
                <w:szCs w:val="24"/>
              </w:rPr>
              <w:t>SIP</w:t>
            </w:r>
          </w:p>
        </w:tc>
        <w:tc>
          <w:tcPr>
            <w:tcW w:w="6120" w:type="dxa"/>
          </w:tcPr>
          <w:p w:rsidR="00752263" w:rsidRPr="00ED7E20" w:rsidRDefault="00690722" w:rsidP="00090D69">
            <w:pPr>
              <w:spacing w:after="0" w:line="240" w:lineRule="auto"/>
              <w:rPr>
                <w:rFonts w:ascii="Times New Roman" w:hAnsi="Times New Roman"/>
                <w:color w:val="000080"/>
                <w:sz w:val="24"/>
                <w:szCs w:val="24"/>
              </w:rPr>
            </w:pPr>
            <w:r>
              <w:rPr>
                <w:rFonts w:ascii="Times New Roman" w:hAnsi="Times New Roman"/>
                <w:color w:val="000080"/>
                <w:sz w:val="24"/>
                <w:szCs w:val="24"/>
              </w:rPr>
              <w:t>State Implementation Plan</w:t>
            </w: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p>
        </w:tc>
        <w:tc>
          <w:tcPr>
            <w:tcW w:w="6120" w:type="dxa"/>
          </w:tcPr>
          <w:p w:rsidR="00752263" w:rsidRPr="00ED7E20" w:rsidRDefault="00752263" w:rsidP="00090D69">
            <w:pPr>
              <w:spacing w:after="0" w:line="240" w:lineRule="auto"/>
              <w:rPr>
                <w:rFonts w:ascii="Times New Roman" w:hAnsi="Times New Roman"/>
                <w:color w:val="000080"/>
                <w:sz w:val="24"/>
                <w:szCs w:val="24"/>
              </w:rPr>
            </w:pP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r w:rsidRPr="00ED7E20">
              <w:rPr>
                <w:rFonts w:ascii="Times New Roman" w:hAnsi="Times New Roman"/>
                <w:b/>
                <w:color w:val="000080"/>
                <w:sz w:val="24"/>
                <w:szCs w:val="24"/>
              </w:rPr>
              <w:t>SNCR</w:t>
            </w:r>
          </w:p>
        </w:tc>
        <w:tc>
          <w:tcPr>
            <w:tcW w:w="6120" w:type="dxa"/>
          </w:tcPr>
          <w:p w:rsidR="00752263" w:rsidRPr="00ED7E20" w:rsidRDefault="00752263" w:rsidP="00690722">
            <w:pPr>
              <w:spacing w:after="0" w:line="240" w:lineRule="auto"/>
              <w:rPr>
                <w:rFonts w:ascii="Times New Roman" w:hAnsi="Times New Roman"/>
                <w:color w:val="000080"/>
                <w:sz w:val="24"/>
                <w:szCs w:val="24"/>
              </w:rPr>
            </w:pPr>
            <w:r w:rsidRPr="00ED7E20">
              <w:rPr>
                <w:rFonts w:ascii="Times New Roman" w:hAnsi="Times New Roman"/>
                <w:color w:val="000080"/>
                <w:sz w:val="24"/>
                <w:szCs w:val="24"/>
              </w:rPr>
              <w:t>Selective Noncatalytic Reduction</w:t>
            </w: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p>
        </w:tc>
        <w:tc>
          <w:tcPr>
            <w:tcW w:w="6120" w:type="dxa"/>
          </w:tcPr>
          <w:p w:rsidR="00752263" w:rsidRPr="00ED7E20" w:rsidRDefault="00752263" w:rsidP="00090D69">
            <w:pPr>
              <w:spacing w:after="0" w:line="240" w:lineRule="auto"/>
              <w:rPr>
                <w:rFonts w:ascii="Times New Roman" w:hAnsi="Times New Roman"/>
                <w:color w:val="000080"/>
                <w:sz w:val="24"/>
                <w:szCs w:val="24"/>
              </w:rPr>
            </w:pP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r w:rsidRPr="00ED7E20">
              <w:rPr>
                <w:rFonts w:ascii="Times New Roman" w:hAnsi="Times New Roman"/>
                <w:b/>
                <w:color w:val="000080"/>
                <w:sz w:val="24"/>
                <w:szCs w:val="24"/>
              </w:rPr>
              <w:t>SO</w:t>
            </w:r>
            <w:r w:rsidRPr="00ED7E20">
              <w:rPr>
                <w:rFonts w:ascii="Times New Roman" w:hAnsi="Times New Roman"/>
                <w:b/>
                <w:color w:val="000080"/>
                <w:sz w:val="24"/>
                <w:szCs w:val="24"/>
                <w:vertAlign w:val="subscript"/>
              </w:rPr>
              <w:t>2</w:t>
            </w:r>
          </w:p>
        </w:tc>
        <w:tc>
          <w:tcPr>
            <w:tcW w:w="6120" w:type="dxa"/>
          </w:tcPr>
          <w:p w:rsidR="00752263" w:rsidRPr="00ED7E20" w:rsidRDefault="00690722" w:rsidP="00090D69">
            <w:pPr>
              <w:spacing w:after="0" w:line="240" w:lineRule="auto"/>
              <w:rPr>
                <w:rFonts w:ascii="Times New Roman" w:hAnsi="Times New Roman"/>
                <w:color w:val="000080"/>
                <w:sz w:val="24"/>
                <w:szCs w:val="24"/>
              </w:rPr>
            </w:pPr>
            <w:r>
              <w:rPr>
                <w:rFonts w:ascii="Times New Roman" w:hAnsi="Times New Roman"/>
                <w:color w:val="000080"/>
                <w:sz w:val="24"/>
                <w:szCs w:val="24"/>
              </w:rPr>
              <w:t>Sulfur Dioxide</w:t>
            </w: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p>
        </w:tc>
        <w:tc>
          <w:tcPr>
            <w:tcW w:w="6120" w:type="dxa"/>
          </w:tcPr>
          <w:p w:rsidR="00752263" w:rsidRPr="00ED7E20" w:rsidRDefault="00752263" w:rsidP="00090D69">
            <w:pPr>
              <w:spacing w:after="0" w:line="240" w:lineRule="auto"/>
              <w:rPr>
                <w:rFonts w:ascii="Times New Roman" w:hAnsi="Times New Roman"/>
                <w:color w:val="000080"/>
                <w:sz w:val="24"/>
                <w:szCs w:val="24"/>
              </w:rPr>
            </w:pP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r w:rsidRPr="00ED7E20">
              <w:rPr>
                <w:rFonts w:ascii="Times New Roman" w:hAnsi="Times New Roman"/>
                <w:b/>
                <w:color w:val="000080"/>
                <w:sz w:val="24"/>
                <w:szCs w:val="24"/>
              </w:rPr>
              <w:t>SO</w:t>
            </w:r>
            <w:r w:rsidRPr="00ED7E20">
              <w:rPr>
                <w:rFonts w:ascii="Times New Roman" w:hAnsi="Times New Roman"/>
                <w:b/>
                <w:color w:val="000080"/>
                <w:sz w:val="24"/>
                <w:szCs w:val="24"/>
                <w:vertAlign w:val="subscript"/>
              </w:rPr>
              <w:t>3</w:t>
            </w:r>
          </w:p>
        </w:tc>
        <w:tc>
          <w:tcPr>
            <w:tcW w:w="6120" w:type="dxa"/>
          </w:tcPr>
          <w:p w:rsidR="00752263" w:rsidRPr="00ED7E20" w:rsidRDefault="00690722" w:rsidP="00090D69">
            <w:pPr>
              <w:spacing w:after="0" w:line="240" w:lineRule="auto"/>
              <w:rPr>
                <w:rFonts w:ascii="Times New Roman" w:hAnsi="Times New Roman"/>
                <w:color w:val="000080"/>
                <w:sz w:val="24"/>
                <w:szCs w:val="24"/>
              </w:rPr>
            </w:pPr>
            <w:r>
              <w:rPr>
                <w:rFonts w:ascii="Times New Roman" w:hAnsi="Times New Roman"/>
                <w:color w:val="000080"/>
                <w:sz w:val="24"/>
                <w:szCs w:val="24"/>
              </w:rPr>
              <w:t>Sulfur Trioxide</w:t>
            </w: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p>
        </w:tc>
        <w:tc>
          <w:tcPr>
            <w:tcW w:w="6120" w:type="dxa"/>
          </w:tcPr>
          <w:p w:rsidR="00752263" w:rsidRPr="00ED7E20" w:rsidRDefault="00752263" w:rsidP="00090D69">
            <w:pPr>
              <w:spacing w:after="0" w:line="240" w:lineRule="auto"/>
              <w:rPr>
                <w:rFonts w:ascii="Times New Roman" w:hAnsi="Times New Roman"/>
                <w:color w:val="000080"/>
                <w:sz w:val="24"/>
                <w:szCs w:val="24"/>
              </w:rPr>
            </w:pP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r w:rsidRPr="00ED7E20">
              <w:rPr>
                <w:rFonts w:ascii="Times New Roman" w:hAnsi="Times New Roman"/>
                <w:b/>
                <w:color w:val="000080"/>
                <w:sz w:val="24"/>
                <w:szCs w:val="24"/>
              </w:rPr>
              <w:t>SOFA</w:t>
            </w:r>
          </w:p>
        </w:tc>
        <w:tc>
          <w:tcPr>
            <w:tcW w:w="6120" w:type="dxa"/>
          </w:tcPr>
          <w:p w:rsidR="00752263" w:rsidRPr="00ED7E20" w:rsidRDefault="00752263" w:rsidP="00690722">
            <w:pPr>
              <w:spacing w:after="0" w:line="240" w:lineRule="auto"/>
              <w:rPr>
                <w:rFonts w:ascii="Times New Roman" w:hAnsi="Times New Roman"/>
                <w:color w:val="000080"/>
                <w:sz w:val="24"/>
                <w:szCs w:val="24"/>
              </w:rPr>
            </w:pPr>
            <w:r w:rsidRPr="00ED7E20">
              <w:rPr>
                <w:rFonts w:ascii="Times New Roman" w:hAnsi="Times New Roman"/>
                <w:color w:val="000080"/>
                <w:sz w:val="24"/>
                <w:szCs w:val="24"/>
              </w:rPr>
              <w:t>Separated Overfire Air</w:t>
            </w: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p>
        </w:tc>
        <w:tc>
          <w:tcPr>
            <w:tcW w:w="6120" w:type="dxa"/>
          </w:tcPr>
          <w:p w:rsidR="00752263" w:rsidRPr="00ED7E20" w:rsidRDefault="00752263" w:rsidP="00090D69">
            <w:pPr>
              <w:spacing w:after="0" w:line="240" w:lineRule="auto"/>
              <w:rPr>
                <w:rFonts w:ascii="Times New Roman" w:hAnsi="Times New Roman"/>
                <w:color w:val="000080"/>
                <w:sz w:val="24"/>
                <w:szCs w:val="24"/>
              </w:rPr>
            </w:pP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r w:rsidRPr="00ED7E20">
              <w:rPr>
                <w:rFonts w:ascii="Times New Roman" w:hAnsi="Times New Roman"/>
                <w:b/>
                <w:color w:val="000080"/>
                <w:sz w:val="24"/>
                <w:szCs w:val="24"/>
              </w:rPr>
              <w:t>T-Fired</w:t>
            </w:r>
          </w:p>
        </w:tc>
        <w:tc>
          <w:tcPr>
            <w:tcW w:w="6120" w:type="dxa"/>
          </w:tcPr>
          <w:p w:rsidR="00752263" w:rsidRPr="00ED7E20" w:rsidRDefault="00752263" w:rsidP="00090D69">
            <w:pPr>
              <w:spacing w:after="0" w:line="240" w:lineRule="auto"/>
              <w:rPr>
                <w:rFonts w:ascii="Times New Roman" w:hAnsi="Times New Roman"/>
                <w:color w:val="000080"/>
                <w:sz w:val="24"/>
                <w:szCs w:val="24"/>
              </w:rPr>
            </w:pPr>
            <w:r w:rsidRPr="00ED7E20">
              <w:rPr>
                <w:rFonts w:ascii="Times New Roman" w:hAnsi="Times New Roman"/>
                <w:color w:val="000080"/>
                <w:sz w:val="24"/>
                <w:szCs w:val="24"/>
              </w:rPr>
              <w:t>T</w:t>
            </w:r>
            <w:r w:rsidR="00690722">
              <w:rPr>
                <w:rFonts w:ascii="Times New Roman" w:hAnsi="Times New Roman"/>
                <w:color w:val="000080"/>
                <w:sz w:val="24"/>
                <w:szCs w:val="24"/>
              </w:rPr>
              <w:t>angential or tangentially fired</w:t>
            </w: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p>
        </w:tc>
        <w:tc>
          <w:tcPr>
            <w:tcW w:w="6120" w:type="dxa"/>
          </w:tcPr>
          <w:p w:rsidR="00752263" w:rsidRPr="00ED7E20" w:rsidRDefault="00752263" w:rsidP="00090D69">
            <w:pPr>
              <w:spacing w:after="0" w:line="240" w:lineRule="auto"/>
              <w:rPr>
                <w:rFonts w:ascii="Times New Roman" w:hAnsi="Times New Roman"/>
                <w:color w:val="000080"/>
                <w:sz w:val="24"/>
                <w:szCs w:val="24"/>
              </w:rPr>
            </w:pP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r w:rsidRPr="00ED7E20">
              <w:rPr>
                <w:rFonts w:ascii="Times New Roman" w:hAnsi="Times New Roman"/>
                <w:b/>
                <w:color w:val="000080"/>
                <w:sz w:val="24"/>
                <w:szCs w:val="24"/>
              </w:rPr>
              <w:t>TMDL</w:t>
            </w:r>
          </w:p>
        </w:tc>
        <w:tc>
          <w:tcPr>
            <w:tcW w:w="6120" w:type="dxa"/>
          </w:tcPr>
          <w:p w:rsidR="00752263" w:rsidRPr="00ED7E20" w:rsidRDefault="00690722" w:rsidP="00090D69">
            <w:pPr>
              <w:spacing w:after="0" w:line="240" w:lineRule="auto"/>
              <w:rPr>
                <w:rFonts w:ascii="Times New Roman" w:hAnsi="Times New Roman"/>
                <w:color w:val="000080"/>
                <w:sz w:val="24"/>
                <w:szCs w:val="24"/>
              </w:rPr>
            </w:pPr>
            <w:r>
              <w:rPr>
                <w:rFonts w:ascii="Times New Roman" w:hAnsi="Times New Roman"/>
                <w:color w:val="000080"/>
                <w:sz w:val="24"/>
                <w:szCs w:val="24"/>
              </w:rPr>
              <w:t>Total Maximum Daily Load</w:t>
            </w: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p>
        </w:tc>
        <w:tc>
          <w:tcPr>
            <w:tcW w:w="6120" w:type="dxa"/>
          </w:tcPr>
          <w:p w:rsidR="00752263" w:rsidRPr="00ED7E20" w:rsidRDefault="00752263" w:rsidP="00090D69">
            <w:pPr>
              <w:spacing w:after="0" w:line="240" w:lineRule="auto"/>
              <w:rPr>
                <w:rFonts w:ascii="Times New Roman" w:hAnsi="Times New Roman"/>
                <w:color w:val="000080"/>
                <w:sz w:val="24"/>
                <w:szCs w:val="24"/>
              </w:rPr>
            </w:pPr>
          </w:p>
        </w:tc>
      </w:tr>
      <w:tr w:rsidR="00935BB1" w:rsidRPr="00ED7E20" w:rsidTr="00090D69">
        <w:trPr>
          <w:gridAfter w:val="1"/>
          <w:wAfter w:w="18" w:type="dxa"/>
        </w:trPr>
        <w:tc>
          <w:tcPr>
            <w:tcW w:w="1872" w:type="dxa"/>
          </w:tcPr>
          <w:p w:rsidR="00935BB1" w:rsidRPr="00ED7E20" w:rsidRDefault="00935BB1" w:rsidP="00090D69">
            <w:pPr>
              <w:spacing w:after="0" w:line="240" w:lineRule="auto"/>
              <w:ind w:left="-90"/>
              <w:rPr>
                <w:rFonts w:ascii="Times New Roman" w:hAnsi="Times New Roman"/>
                <w:b/>
                <w:color w:val="000080"/>
                <w:sz w:val="24"/>
                <w:szCs w:val="24"/>
              </w:rPr>
            </w:pPr>
            <w:r>
              <w:rPr>
                <w:rFonts w:ascii="Times New Roman" w:hAnsi="Times New Roman"/>
                <w:b/>
                <w:color w:val="000080"/>
                <w:sz w:val="24"/>
                <w:szCs w:val="24"/>
              </w:rPr>
              <w:t>TWS</w:t>
            </w:r>
          </w:p>
        </w:tc>
        <w:tc>
          <w:tcPr>
            <w:tcW w:w="6120" w:type="dxa"/>
          </w:tcPr>
          <w:p w:rsidR="00935BB1" w:rsidRPr="00ED7E20" w:rsidRDefault="00935BB1" w:rsidP="00090D69">
            <w:pPr>
              <w:spacing w:after="0" w:line="240" w:lineRule="auto"/>
              <w:rPr>
                <w:rFonts w:ascii="Times New Roman" w:hAnsi="Times New Roman"/>
                <w:color w:val="000080"/>
                <w:sz w:val="24"/>
                <w:szCs w:val="24"/>
              </w:rPr>
            </w:pPr>
            <w:r>
              <w:rPr>
                <w:rFonts w:ascii="Times New Roman" w:hAnsi="Times New Roman"/>
                <w:color w:val="000080"/>
                <w:sz w:val="24"/>
                <w:szCs w:val="24"/>
              </w:rPr>
              <w:t>Travelling Water Screens</w:t>
            </w:r>
          </w:p>
        </w:tc>
      </w:tr>
      <w:tr w:rsidR="00935BB1" w:rsidRPr="00ED7E20" w:rsidTr="00090D69">
        <w:trPr>
          <w:gridAfter w:val="1"/>
          <w:wAfter w:w="18" w:type="dxa"/>
        </w:trPr>
        <w:tc>
          <w:tcPr>
            <w:tcW w:w="1872" w:type="dxa"/>
          </w:tcPr>
          <w:p w:rsidR="00935BB1" w:rsidRPr="00ED7E20" w:rsidRDefault="00935BB1" w:rsidP="00090D69">
            <w:pPr>
              <w:spacing w:after="0" w:line="240" w:lineRule="auto"/>
              <w:ind w:left="-90"/>
              <w:rPr>
                <w:rFonts w:ascii="Times New Roman" w:hAnsi="Times New Roman"/>
                <w:b/>
                <w:color w:val="000080"/>
                <w:sz w:val="24"/>
                <w:szCs w:val="24"/>
              </w:rPr>
            </w:pPr>
          </w:p>
        </w:tc>
        <w:tc>
          <w:tcPr>
            <w:tcW w:w="6120" w:type="dxa"/>
          </w:tcPr>
          <w:p w:rsidR="00935BB1" w:rsidRPr="00ED7E20" w:rsidRDefault="00935BB1" w:rsidP="00090D69">
            <w:pPr>
              <w:spacing w:after="0" w:line="240" w:lineRule="auto"/>
              <w:rPr>
                <w:rFonts w:ascii="Times New Roman" w:hAnsi="Times New Roman"/>
                <w:color w:val="000080"/>
                <w:sz w:val="24"/>
                <w:szCs w:val="24"/>
              </w:rPr>
            </w:pPr>
          </w:p>
        </w:tc>
      </w:tr>
      <w:tr w:rsidR="00752263" w:rsidRPr="00ED7E20" w:rsidTr="00090D69">
        <w:trPr>
          <w:gridAfter w:val="1"/>
          <w:wAfter w:w="18" w:type="dxa"/>
        </w:trPr>
        <w:tc>
          <w:tcPr>
            <w:tcW w:w="1872" w:type="dxa"/>
          </w:tcPr>
          <w:p w:rsidR="00752263" w:rsidRPr="00ED7E20" w:rsidRDefault="00690722" w:rsidP="00090D69">
            <w:pPr>
              <w:spacing w:after="0" w:line="240" w:lineRule="auto"/>
              <w:ind w:left="-90"/>
              <w:rPr>
                <w:rFonts w:ascii="Times New Roman" w:hAnsi="Times New Roman"/>
                <w:b/>
                <w:color w:val="000080"/>
                <w:sz w:val="24"/>
                <w:szCs w:val="24"/>
              </w:rPr>
            </w:pPr>
            <w:r>
              <w:rPr>
                <w:rFonts w:ascii="Times New Roman" w:hAnsi="Times New Roman"/>
                <w:b/>
                <w:color w:val="000080"/>
                <w:sz w:val="24"/>
                <w:szCs w:val="24"/>
              </w:rPr>
              <w:t>UARG</w:t>
            </w:r>
          </w:p>
        </w:tc>
        <w:tc>
          <w:tcPr>
            <w:tcW w:w="6120" w:type="dxa"/>
          </w:tcPr>
          <w:p w:rsidR="00752263" w:rsidRPr="00ED7E20" w:rsidRDefault="00690722" w:rsidP="00090D69">
            <w:pPr>
              <w:spacing w:after="0" w:line="240" w:lineRule="auto"/>
              <w:rPr>
                <w:rFonts w:ascii="Times New Roman" w:hAnsi="Times New Roman"/>
                <w:color w:val="000080"/>
                <w:sz w:val="24"/>
                <w:szCs w:val="24"/>
              </w:rPr>
            </w:pPr>
            <w:r>
              <w:rPr>
                <w:rFonts w:ascii="Times New Roman" w:hAnsi="Times New Roman"/>
                <w:color w:val="000080"/>
                <w:sz w:val="24"/>
                <w:szCs w:val="24"/>
              </w:rPr>
              <w:t>Utility Air Regulatory Group</w:t>
            </w: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p>
        </w:tc>
        <w:tc>
          <w:tcPr>
            <w:tcW w:w="6120" w:type="dxa"/>
          </w:tcPr>
          <w:p w:rsidR="00752263" w:rsidRPr="00ED7E20" w:rsidRDefault="00752263" w:rsidP="00090D69">
            <w:pPr>
              <w:spacing w:after="0" w:line="240" w:lineRule="auto"/>
              <w:rPr>
                <w:rFonts w:ascii="Times New Roman" w:hAnsi="Times New Roman"/>
                <w:color w:val="000080"/>
                <w:sz w:val="24"/>
                <w:szCs w:val="24"/>
              </w:rPr>
            </w:pPr>
          </w:p>
        </w:tc>
      </w:tr>
      <w:tr w:rsidR="00690722" w:rsidRPr="00ED7E20" w:rsidTr="00090D69">
        <w:trPr>
          <w:gridAfter w:val="1"/>
          <w:wAfter w:w="18" w:type="dxa"/>
        </w:trPr>
        <w:tc>
          <w:tcPr>
            <w:tcW w:w="1872" w:type="dxa"/>
          </w:tcPr>
          <w:p w:rsidR="00690722" w:rsidRPr="00ED7E20" w:rsidRDefault="00690722" w:rsidP="00BC2B6B">
            <w:pPr>
              <w:spacing w:after="0" w:line="240" w:lineRule="auto"/>
              <w:ind w:left="-90"/>
              <w:rPr>
                <w:rFonts w:ascii="Times New Roman" w:hAnsi="Times New Roman"/>
                <w:b/>
                <w:color w:val="000080"/>
                <w:sz w:val="24"/>
                <w:szCs w:val="24"/>
              </w:rPr>
            </w:pPr>
            <w:r w:rsidRPr="00ED7E20">
              <w:rPr>
                <w:rFonts w:ascii="Times New Roman" w:hAnsi="Times New Roman"/>
                <w:b/>
                <w:color w:val="000080"/>
                <w:sz w:val="24"/>
                <w:szCs w:val="24"/>
              </w:rPr>
              <w:t>UFGI</w:t>
            </w:r>
          </w:p>
        </w:tc>
        <w:tc>
          <w:tcPr>
            <w:tcW w:w="6120" w:type="dxa"/>
          </w:tcPr>
          <w:p w:rsidR="00690722" w:rsidRPr="00ED7E20" w:rsidRDefault="00690722" w:rsidP="00BC2B6B">
            <w:pPr>
              <w:spacing w:after="0" w:line="240" w:lineRule="auto"/>
              <w:rPr>
                <w:rFonts w:ascii="Times New Roman" w:hAnsi="Times New Roman"/>
                <w:color w:val="000080"/>
                <w:sz w:val="24"/>
                <w:szCs w:val="24"/>
              </w:rPr>
            </w:pPr>
            <w:r>
              <w:rPr>
                <w:rFonts w:ascii="Times New Roman" w:hAnsi="Times New Roman"/>
                <w:color w:val="000080"/>
                <w:sz w:val="24"/>
                <w:szCs w:val="24"/>
              </w:rPr>
              <w:t>Upper Furnace Gas Injection</w:t>
            </w: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p>
        </w:tc>
        <w:tc>
          <w:tcPr>
            <w:tcW w:w="6120" w:type="dxa"/>
          </w:tcPr>
          <w:p w:rsidR="00752263" w:rsidRPr="00ED7E20" w:rsidRDefault="00752263" w:rsidP="00090D69">
            <w:pPr>
              <w:spacing w:after="0" w:line="240" w:lineRule="auto"/>
              <w:rPr>
                <w:rFonts w:ascii="Times New Roman" w:hAnsi="Times New Roman"/>
                <w:color w:val="000080"/>
                <w:sz w:val="24"/>
                <w:szCs w:val="24"/>
              </w:rPr>
            </w:pP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r w:rsidRPr="00ED7E20">
              <w:rPr>
                <w:rFonts w:ascii="Times New Roman" w:hAnsi="Times New Roman"/>
                <w:b/>
                <w:color w:val="000080"/>
                <w:sz w:val="24"/>
                <w:szCs w:val="24"/>
              </w:rPr>
              <w:t>USWAG</w:t>
            </w:r>
          </w:p>
        </w:tc>
        <w:tc>
          <w:tcPr>
            <w:tcW w:w="6120" w:type="dxa"/>
          </w:tcPr>
          <w:p w:rsidR="00752263" w:rsidRPr="00ED7E20" w:rsidRDefault="00752263" w:rsidP="00090D69">
            <w:pPr>
              <w:spacing w:after="0" w:line="240" w:lineRule="auto"/>
              <w:rPr>
                <w:rFonts w:ascii="Times New Roman" w:hAnsi="Times New Roman"/>
                <w:color w:val="000080"/>
                <w:sz w:val="24"/>
                <w:szCs w:val="24"/>
              </w:rPr>
            </w:pPr>
            <w:r w:rsidRPr="00ED7E20">
              <w:rPr>
                <w:rFonts w:ascii="Times New Roman" w:hAnsi="Times New Roman"/>
                <w:color w:val="000080"/>
                <w:sz w:val="24"/>
                <w:szCs w:val="24"/>
              </w:rPr>
              <w:t>Utili</w:t>
            </w:r>
            <w:r w:rsidR="00690722">
              <w:rPr>
                <w:rFonts w:ascii="Times New Roman" w:hAnsi="Times New Roman"/>
                <w:color w:val="000080"/>
                <w:sz w:val="24"/>
                <w:szCs w:val="24"/>
              </w:rPr>
              <w:t>ty Solid Waste Activities Group</w:t>
            </w: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p>
        </w:tc>
        <w:tc>
          <w:tcPr>
            <w:tcW w:w="6120" w:type="dxa"/>
          </w:tcPr>
          <w:p w:rsidR="00752263" w:rsidRPr="00ED7E20" w:rsidRDefault="00752263" w:rsidP="00090D69">
            <w:pPr>
              <w:spacing w:after="0" w:line="240" w:lineRule="auto"/>
              <w:rPr>
                <w:rFonts w:ascii="Times New Roman" w:hAnsi="Times New Roman"/>
                <w:color w:val="000080"/>
                <w:sz w:val="24"/>
                <w:szCs w:val="24"/>
              </w:rPr>
            </w:pP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r w:rsidRPr="00ED7E20">
              <w:rPr>
                <w:rFonts w:ascii="Times New Roman" w:hAnsi="Times New Roman"/>
                <w:b/>
                <w:color w:val="000080"/>
                <w:sz w:val="24"/>
                <w:szCs w:val="24"/>
              </w:rPr>
              <w:t>UWAG</w:t>
            </w:r>
          </w:p>
        </w:tc>
        <w:tc>
          <w:tcPr>
            <w:tcW w:w="6120" w:type="dxa"/>
          </w:tcPr>
          <w:p w:rsidR="00752263" w:rsidRPr="00ED7E20" w:rsidRDefault="00690722" w:rsidP="00090D69">
            <w:pPr>
              <w:spacing w:after="0" w:line="240" w:lineRule="auto"/>
              <w:rPr>
                <w:rFonts w:ascii="Times New Roman" w:hAnsi="Times New Roman"/>
                <w:color w:val="000080"/>
                <w:sz w:val="24"/>
                <w:szCs w:val="24"/>
              </w:rPr>
            </w:pPr>
            <w:r>
              <w:rPr>
                <w:rFonts w:ascii="Times New Roman" w:hAnsi="Times New Roman"/>
                <w:color w:val="000080"/>
                <w:sz w:val="24"/>
                <w:szCs w:val="24"/>
              </w:rPr>
              <w:t>Utility Water Act Group</w:t>
            </w: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p>
        </w:tc>
        <w:tc>
          <w:tcPr>
            <w:tcW w:w="6120" w:type="dxa"/>
          </w:tcPr>
          <w:p w:rsidR="00752263" w:rsidRPr="00ED7E20" w:rsidRDefault="00752263" w:rsidP="00090D69">
            <w:pPr>
              <w:spacing w:after="0" w:line="240" w:lineRule="auto"/>
              <w:rPr>
                <w:rFonts w:ascii="Times New Roman" w:hAnsi="Times New Roman"/>
                <w:color w:val="000080"/>
                <w:sz w:val="24"/>
                <w:szCs w:val="24"/>
              </w:rPr>
            </w:pPr>
          </w:p>
        </w:tc>
      </w:tr>
      <w:tr w:rsidR="00752263" w:rsidRPr="00ED7E20" w:rsidTr="00090D69">
        <w:trPr>
          <w:gridAfter w:val="1"/>
          <w:wAfter w:w="18" w:type="dxa"/>
        </w:trPr>
        <w:tc>
          <w:tcPr>
            <w:tcW w:w="1872" w:type="dxa"/>
          </w:tcPr>
          <w:p w:rsidR="00752263" w:rsidRPr="00ED7E20" w:rsidRDefault="00752263" w:rsidP="00090D69">
            <w:pPr>
              <w:spacing w:after="0" w:line="240" w:lineRule="auto"/>
              <w:ind w:left="-90"/>
              <w:rPr>
                <w:rFonts w:ascii="Times New Roman" w:hAnsi="Times New Roman"/>
                <w:b/>
                <w:color w:val="000080"/>
                <w:sz w:val="24"/>
                <w:szCs w:val="24"/>
              </w:rPr>
            </w:pPr>
            <w:r w:rsidRPr="00ED7E20">
              <w:rPr>
                <w:rFonts w:ascii="Times New Roman" w:hAnsi="Times New Roman"/>
                <w:b/>
                <w:color w:val="000080"/>
                <w:sz w:val="24"/>
                <w:szCs w:val="24"/>
              </w:rPr>
              <w:t>VOC</w:t>
            </w:r>
          </w:p>
        </w:tc>
        <w:tc>
          <w:tcPr>
            <w:tcW w:w="6120" w:type="dxa"/>
          </w:tcPr>
          <w:p w:rsidR="00752263" w:rsidRPr="00ED7E20" w:rsidRDefault="00690722" w:rsidP="00090D69">
            <w:pPr>
              <w:spacing w:after="0" w:line="240" w:lineRule="auto"/>
              <w:rPr>
                <w:rFonts w:ascii="Times New Roman" w:hAnsi="Times New Roman"/>
                <w:color w:val="000080"/>
                <w:sz w:val="24"/>
                <w:szCs w:val="24"/>
              </w:rPr>
            </w:pPr>
            <w:r>
              <w:rPr>
                <w:rFonts w:ascii="Times New Roman" w:hAnsi="Times New Roman"/>
                <w:color w:val="000080"/>
                <w:sz w:val="24"/>
                <w:szCs w:val="24"/>
              </w:rPr>
              <w:t>Volatile Organic Compounds</w:t>
            </w:r>
          </w:p>
        </w:tc>
      </w:tr>
    </w:tbl>
    <w:p w:rsidR="00FB6BE7" w:rsidRPr="00ED7E20" w:rsidRDefault="00752263" w:rsidP="001954D3">
      <w:pPr>
        <w:spacing w:after="0" w:line="240" w:lineRule="auto"/>
        <w:jc w:val="center"/>
        <w:outlineLvl w:val="0"/>
        <w:rPr>
          <w:rFonts w:ascii="Times New Roman" w:hAnsi="Times New Roman"/>
          <w:b/>
          <w:color w:val="000080"/>
          <w:sz w:val="24"/>
          <w:szCs w:val="24"/>
        </w:rPr>
      </w:pPr>
      <w:r>
        <w:br w:type="page"/>
      </w:r>
      <w:bookmarkStart w:id="39" w:name="_Toc347314862"/>
      <w:r w:rsidR="00B67C6E">
        <w:rPr>
          <w:rFonts w:ascii="Times New Roman" w:hAnsi="Times New Roman"/>
          <w:b/>
          <w:color w:val="000080"/>
          <w:sz w:val="24"/>
          <w:szCs w:val="24"/>
        </w:rPr>
        <w:t>ECS-A</w:t>
      </w:r>
      <w:r w:rsidR="00FB6BE7" w:rsidRPr="00ED7E20">
        <w:rPr>
          <w:rFonts w:ascii="Times New Roman" w:hAnsi="Times New Roman"/>
          <w:b/>
          <w:color w:val="000080"/>
          <w:sz w:val="24"/>
          <w:szCs w:val="24"/>
        </w:rPr>
        <w:t>PPENDIX B</w:t>
      </w:r>
      <w:bookmarkEnd w:id="39"/>
    </w:p>
    <w:p w:rsidR="00FB6BE7" w:rsidRPr="00FB6BE7" w:rsidRDefault="00FB6BE7" w:rsidP="00FB6BE7">
      <w:pPr>
        <w:spacing w:after="0" w:line="240" w:lineRule="auto"/>
        <w:jc w:val="center"/>
        <w:rPr>
          <w:rFonts w:ascii="Times New Roman" w:hAnsi="Times New Roman"/>
          <w:b/>
          <w:color w:val="000080"/>
          <w:sz w:val="18"/>
          <w:szCs w:val="24"/>
        </w:rPr>
      </w:pPr>
    </w:p>
    <w:p w:rsidR="00FB6BE7" w:rsidRPr="00ED7E20" w:rsidRDefault="00FB6BE7" w:rsidP="00FB6BE7">
      <w:pPr>
        <w:spacing w:after="0" w:line="240" w:lineRule="auto"/>
        <w:jc w:val="center"/>
        <w:rPr>
          <w:rFonts w:ascii="Times New Roman" w:hAnsi="Times New Roman"/>
          <w:b/>
          <w:caps/>
          <w:color w:val="000080"/>
          <w:sz w:val="24"/>
          <w:szCs w:val="24"/>
          <w:u w:val="single"/>
        </w:rPr>
      </w:pPr>
      <w:r w:rsidRPr="00ED7E20">
        <w:rPr>
          <w:rFonts w:ascii="Times New Roman" w:hAnsi="Times New Roman"/>
          <w:b/>
          <w:caps/>
          <w:color w:val="000080"/>
          <w:sz w:val="24"/>
          <w:szCs w:val="24"/>
          <w:u w:val="single"/>
        </w:rPr>
        <w:t>Emission Control Alternatives</w:t>
      </w:r>
    </w:p>
    <w:p w:rsidR="00FB6BE7" w:rsidRPr="00FB6BE7" w:rsidRDefault="00FB6BE7" w:rsidP="00FB6BE7">
      <w:pPr>
        <w:spacing w:after="0" w:line="240" w:lineRule="auto"/>
        <w:jc w:val="center"/>
        <w:rPr>
          <w:rFonts w:ascii="Times New Roman" w:hAnsi="Times New Roman"/>
          <w:color w:val="000080"/>
          <w:sz w:val="18"/>
          <w:szCs w:val="24"/>
          <w:u w:val="single"/>
        </w:rPr>
      </w:pPr>
    </w:p>
    <w:p w:rsidR="00FB6BE7" w:rsidRPr="00ED7E20" w:rsidRDefault="00FB6BE7" w:rsidP="00FB6BE7">
      <w:pPr>
        <w:spacing w:after="0" w:line="240" w:lineRule="auto"/>
        <w:jc w:val="center"/>
        <w:rPr>
          <w:rFonts w:ascii="Times New Roman" w:hAnsi="Times New Roman"/>
          <w:b/>
          <w:color w:val="000080"/>
          <w:sz w:val="24"/>
          <w:szCs w:val="24"/>
        </w:rPr>
      </w:pPr>
      <w:r w:rsidRPr="00ED7E20">
        <w:rPr>
          <w:rFonts w:ascii="Times New Roman" w:hAnsi="Times New Roman"/>
          <w:b/>
          <w:color w:val="000080"/>
          <w:sz w:val="24"/>
          <w:szCs w:val="24"/>
        </w:rPr>
        <w:t>INDEX</w:t>
      </w:r>
    </w:p>
    <w:p w:rsidR="00FB6BE7" w:rsidRPr="00FB6BE7" w:rsidRDefault="00FB6BE7" w:rsidP="00FB6BE7">
      <w:pPr>
        <w:spacing w:after="0" w:line="240" w:lineRule="auto"/>
        <w:rPr>
          <w:rFonts w:ascii="Times New Roman" w:hAnsi="Times New Roman"/>
          <w:b/>
          <w:color w:val="333399"/>
          <w:sz w:val="18"/>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86"/>
        <w:gridCol w:w="7770"/>
      </w:tblGrid>
      <w:tr w:rsidR="00FB6BE7" w:rsidRPr="00ED7E20" w:rsidTr="00FB6BE7">
        <w:tc>
          <w:tcPr>
            <w:tcW w:w="1086" w:type="dxa"/>
          </w:tcPr>
          <w:p w:rsidR="00FB6BE7" w:rsidRPr="00ED7E20" w:rsidRDefault="00FB6BE7" w:rsidP="00FB6BE7">
            <w:pPr>
              <w:spacing w:after="0" w:line="240" w:lineRule="auto"/>
              <w:rPr>
                <w:rFonts w:ascii="Times New Roman" w:hAnsi="Times New Roman"/>
                <w:color w:val="CC0000"/>
                <w:sz w:val="24"/>
                <w:szCs w:val="24"/>
              </w:rPr>
            </w:pPr>
            <w:r w:rsidRPr="00ED7E20">
              <w:rPr>
                <w:rFonts w:ascii="Times New Roman" w:hAnsi="Times New Roman"/>
                <w:color w:val="CC0000"/>
                <w:sz w:val="24"/>
                <w:szCs w:val="24"/>
              </w:rPr>
              <w:t>I.</w:t>
            </w:r>
          </w:p>
        </w:tc>
        <w:tc>
          <w:tcPr>
            <w:tcW w:w="7770" w:type="dxa"/>
          </w:tcPr>
          <w:p w:rsidR="00FB6BE7" w:rsidRPr="00ED7E20" w:rsidRDefault="00FB6BE7" w:rsidP="00FB6BE7">
            <w:pPr>
              <w:spacing w:after="0" w:line="240" w:lineRule="auto"/>
              <w:rPr>
                <w:rFonts w:ascii="Times New Roman" w:hAnsi="Times New Roman"/>
                <w:b/>
                <w:color w:val="CC0000"/>
                <w:sz w:val="24"/>
                <w:szCs w:val="24"/>
              </w:rPr>
            </w:pPr>
            <w:r w:rsidRPr="00ED7E20">
              <w:rPr>
                <w:rFonts w:ascii="Times New Roman" w:hAnsi="Times New Roman"/>
                <w:color w:val="CC0000"/>
                <w:sz w:val="24"/>
                <w:szCs w:val="24"/>
              </w:rPr>
              <w:t>Selective Catalytic Reduction (SCR)</w:t>
            </w:r>
          </w:p>
        </w:tc>
      </w:tr>
      <w:tr w:rsidR="00FB6BE7" w:rsidRPr="00ED7E20" w:rsidTr="00FB6BE7">
        <w:tc>
          <w:tcPr>
            <w:tcW w:w="1086" w:type="dxa"/>
          </w:tcPr>
          <w:p w:rsidR="00FB6BE7" w:rsidRPr="00ED7E20" w:rsidRDefault="00FB6BE7" w:rsidP="00FB6BE7">
            <w:pPr>
              <w:spacing w:after="0" w:line="240" w:lineRule="auto"/>
              <w:rPr>
                <w:rFonts w:ascii="Times New Roman" w:hAnsi="Times New Roman"/>
                <w:color w:val="CC0000"/>
                <w:sz w:val="24"/>
                <w:szCs w:val="24"/>
              </w:rPr>
            </w:pPr>
          </w:p>
        </w:tc>
        <w:tc>
          <w:tcPr>
            <w:tcW w:w="7770" w:type="dxa"/>
          </w:tcPr>
          <w:p w:rsidR="00FB6BE7" w:rsidRPr="00ED7E20" w:rsidRDefault="00FB6BE7" w:rsidP="00FB6BE7">
            <w:pPr>
              <w:spacing w:after="0" w:line="240" w:lineRule="auto"/>
              <w:rPr>
                <w:rFonts w:ascii="Times New Roman" w:hAnsi="Times New Roman"/>
                <w:b/>
                <w:color w:val="CC0000"/>
                <w:sz w:val="24"/>
                <w:szCs w:val="24"/>
              </w:rPr>
            </w:pPr>
          </w:p>
        </w:tc>
      </w:tr>
      <w:tr w:rsidR="00FB6BE7" w:rsidRPr="00ED7E20" w:rsidTr="00FB6BE7">
        <w:tc>
          <w:tcPr>
            <w:tcW w:w="1086" w:type="dxa"/>
          </w:tcPr>
          <w:p w:rsidR="00FB6BE7" w:rsidRPr="00ED7E20" w:rsidRDefault="00FB6BE7" w:rsidP="00FB6BE7">
            <w:pPr>
              <w:spacing w:after="0" w:line="240" w:lineRule="auto"/>
              <w:rPr>
                <w:rFonts w:ascii="Times New Roman" w:hAnsi="Times New Roman"/>
                <w:color w:val="CC0000"/>
                <w:sz w:val="24"/>
                <w:szCs w:val="24"/>
              </w:rPr>
            </w:pPr>
            <w:r w:rsidRPr="00ED7E20">
              <w:rPr>
                <w:rFonts w:ascii="Times New Roman" w:hAnsi="Times New Roman"/>
                <w:color w:val="CC0000"/>
                <w:sz w:val="24"/>
                <w:szCs w:val="24"/>
              </w:rPr>
              <w:t>II.</w:t>
            </w:r>
          </w:p>
        </w:tc>
        <w:tc>
          <w:tcPr>
            <w:tcW w:w="7770" w:type="dxa"/>
          </w:tcPr>
          <w:p w:rsidR="00FB6BE7" w:rsidRPr="00ED7E20" w:rsidRDefault="00FB6BE7" w:rsidP="00FB6BE7">
            <w:pPr>
              <w:spacing w:after="0" w:line="240" w:lineRule="auto"/>
              <w:rPr>
                <w:rFonts w:ascii="Times New Roman" w:hAnsi="Times New Roman"/>
                <w:color w:val="CC0000"/>
                <w:sz w:val="24"/>
                <w:szCs w:val="24"/>
              </w:rPr>
            </w:pPr>
            <w:r w:rsidRPr="00ED7E20">
              <w:rPr>
                <w:rFonts w:ascii="Times New Roman" w:hAnsi="Times New Roman"/>
                <w:color w:val="CC0000"/>
                <w:sz w:val="24"/>
                <w:szCs w:val="24"/>
              </w:rPr>
              <w:t>Selective Noncatalytic Reduction (SNCR)</w:t>
            </w:r>
          </w:p>
        </w:tc>
      </w:tr>
      <w:tr w:rsidR="00FB6BE7" w:rsidRPr="00ED7E20" w:rsidTr="00FB6BE7">
        <w:tc>
          <w:tcPr>
            <w:tcW w:w="1086" w:type="dxa"/>
          </w:tcPr>
          <w:p w:rsidR="00FB6BE7" w:rsidRPr="00ED7E20" w:rsidRDefault="00FB6BE7" w:rsidP="00FB6BE7">
            <w:pPr>
              <w:spacing w:after="0" w:line="240" w:lineRule="auto"/>
              <w:rPr>
                <w:rFonts w:ascii="Times New Roman" w:hAnsi="Times New Roman"/>
                <w:color w:val="CC0000"/>
                <w:sz w:val="24"/>
                <w:szCs w:val="24"/>
              </w:rPr>
            </w:pPr>
          </w:p>
        </w:tc>
        <w:tc>
          <w:tcPr>
            <w:tcW w:w="7770" w:type="dxa"/>
          </w:tcPr>
          <w:p w:rsidR="00FB6BE7" w:rsidRPr="00ED7E20" w:rsidRDefault="00FB6BE7" w:rsidP="00FB6BE7">
            <w:pPr>
              <w:spacing w:after="0" w:line="240" w:lineRule="auto"/>
              <w:rPr>
                <w:rFonts w:ascii="Times New Roman" w:hAnsi="Times New Roman"/>
                <w:b/>
                <w:color w:val="CC0000"/>
                <w:sz w:val="24"/>
                <w:szCs w:val="24"/>
              </w:rPr>
            </w:pPr>
          </w:p>
        </w:tc>
      </w:tr>
      <w:tr w:rsidR="00FB6BE7" w:rsidRPr="00ED7E20" w:rsidTr="00FB6BE7">
        <w:tc>
          <w:tcPr>
            <w:tcW w:w="1086" w:type="dxa"/>
          </w:tcPr>
          <w:p w:rsidR="00FB6BE7" w:rsidRPr="00ED7E20" w:rsidRDefault="00FB6BE7" w:rsidP="00FB6BE7">
            <w:pPr>
              <w:spacing w:after="0" w:line="240" w:lineRule="auto"/>
              <w:rPr>
                <w:rFonts w:ascii="Times New Roman" w:hAnsi="Times New Roman"/>
                <w:color w:val="CC0000"/>
                <w:sz w:val="24"/>
                <w:szCs w:val="24"/>
              </w:rPr>
            </w:pPr>
            <w:r w:rsidRPr="00ED7E20">
              <w:rPr>
                <w:rFonts w:ascii="Times New Roman" w:hAnsi="Times New Roman"/>
                <w:color w:val="CC0000"/>
                <w:sz w:val="24"/>
                <w:szCs w:val="24"/>
              </w:rPr>
              <w:t>III</w:t>
            </w:r>
          </w:p>
        </w:tc>
        <w:tc>
          <w:tcPr>
            <w:tcW w:w="7770" w:type="dxa"/>
          </w:tcPr>
          <w:p w:rsidR="00FB6BE7" w:rsidRPr="00ED7E20" w:rsidRDefault="00FB6BE7" w:rsidP="00FB6BE7">
            <w:pPr>
              <w:spacing w:after="0" w:line="240" w:lineRule="auto"/>
              <w:rPr>
                <w:rFonts w:ascii="Times New Roman" w:hAnsi="Times New Roman"/>
                <w:color w:val="CC0000"/>
                <w:sz w:val="24"/>
                <w:szCs w:val="24"/>
              </w:rPr>
            </w:pPr>
            <w:r>
              <w:rPr>
                <w:rFonts w:ascii="Times New Roman" w:hAnsi="Times New Roman"/>
                <w:color w:val="CC0000"/>
                <w:sz w:val="24"/>
                <w:szCs w:val="24"/>
              </w:rPr>
              <w:t>Fuel Switch to</w:t>
            </w:r>
            <w:r w:rsidRPr="00ED7E20">
              <w:rPr>
                <w:rFonts w:ascii="Times New Roman" w:hAnsi="Times New Roman"/>
                <w:color w:val="CC0000"/>
                <w:sz w:val="24"/>
                <w:szCs w:val="24"/>
              </w:rPr>
              <w:t xml:space="preserve"> Natural Gas</w:t>
            </w:r>
          </w:p>
        </w:tc>
      </w:tr>
      <w:tr w:rsidR="00FB6BE7" w:rsidRPr="00ED7E20" w:rsidTr="00FB6BE7">
        <w:tc>
          <w:tcPr>
            <w:tcW w:w="1086" w:type="dxa"/>
          </w:tcPr>
          <w:p w:rsidR="00FB6BE7" w:rsidRPr="00ED7E20" w:rsidRDefault="00FB6BE7" w:rsidP="00FB6BE7">
            <w:pPr>
              <w:spacing w:after="0" w:line="240" w:lineRule="auto"/>
              <w:rPr>
                <w:rFonts w:ascii="Times New Roman" w:hAnsi="Times New Roman"/>
                <w:color w:val="CC0000"/>
                <w:sz w:val="24"/>
                <w:szCs w:val="24"/>
              </w:rPr>
            </w:pPr>
          </w:p>
        </w:tc>
        <w:tc>
          <w:tcPr>
            <w:tcW w:w="7770" w:type="dxa"/>
          </w:tcPr>
          <w:p w:rsidR="00FB6BE7" w:rsidRPr="00ED7E20" w:rsidRDefault="00FB6BE7" w:rsidP="00FB6BE7">
            <w:pPr>
              <w:spacing w:after="0" w:line="240" w:lineRule="auto"/>
              <w:rPr>
                <w:rFonts w:ascii="Times New Roman" w:hAnsi="Times New Roman"/>
                <w:b/>
                <w:color w:val="CC0000"/>
                <w:sz w:val="24"/>
                <w:szCs w:val="24"/>
              </w:rPr>
            </w:pPr>
          </w:p>
        </w:tc>
      </w:tr>
      <w:tr w:rsidR="00FB6BE7" w:rsidRPr="00ED7E20" w:rsidTr="00FB6BE7">
        <w:tc>
          <w:tcPr>
            <w:tcW w:w="1086" w:type="dxa"/>
          </w:tcPr>
          <w:p w:rsidR="00FB6BE7" w:rsidRPr="00ED7E20" w:rsidRDefault="00FB6BE7" w:rsidP="00FB6BE7">
            <w:pPr>
              <w:spacing w:after="0" w:line="240" w:lineRule="auto"/>
              <w:rPr>
                <w:rFonts w:ascii="Times New Roman" w:hAnsi="Times New Roman"/>
                <w:color w:val="CC0000"/>
                <w:sz w:val="24"/>
                <w:szCs w:val="24"/>
              </w:rPr>
            </w:pPr>
            <w:r w:rsidRPr="00ED7E20">
              <w:rPr>
                <w:rFonts w:ascii="Times New Roman" w:hAnsi="Times New Roman"/>
                <w:color w:val="CC0000"/>
                <w:sz w:val="24"/>
                <w:szCs w:val="24"/>
              </w:rPr>
              <w:t>IV.</w:t>
            </w:r>
          </w:p>
        </w:tc>
        <w:tc>
          <w:tcPr>
            <w:tcW w:w="7770" w:type="dxa"/>
          </w:tcPr>
          <w:p w:rsidR="00FB6BE7" w:rsidRPr="00ED7E20" w:rsidRDefault="00FB6BE7" w:rsidP="00FB6BE7">
            <w:pPr>
              <w:spacing w:after="0" w:line="240" w:lineRule="auto"/>
              <w:rPr>
                <w:rFonts w:ascii="Times New Roman" w:hAnsi="Times New Roman"/>
                <w:color w:val="CC0000"/>
                <w:sz w:val="24"/>
                <w:szCs w:val="24"/>
              </w:rPr>
            </w:pPr>
            <w:r w:rsidRPr="00ED7E20">
              <w:rPr>
                <w:rFonts w:ascii="Times New Roman" w:hAnsi="Times New Roman"/>
                <w:color w:val="CC0000"/>
                <w:sz w:val="24"/>
                <w:szCs w:val="24"/>
              </w:rPr>
              <w:t>Low-NO</w:t>
            </w:r>
            <w:r w:rsidRPr="00ED7E20">
              <w:rPr>
                <w:rFonts w:ascii="Times New Roman" w:hAnsi="Times New Roman"/>
                <w:color w:val="CC0000"/>
                <w:sz w:val="24"/>
                <w:szCs w:val="24"/>
                <w:vertAlign w:val="subscript"/>
              </w:rPr>
              <w:t>X</w:t>
            </w:r>
            <w:r w:rsidRPr="00ED7E20">
              <w:rPr>
                <w:rFonts w:ascii="Times New Roman" w:hAnsi="Times New Roman"/>
                <w:color w:val="CC0000"/>
                <w:sz w:val="24"/>
                <w:szCs w:val="24"/>
              </w:rPr>
              <w:t xml:space="preserve"> Burners (LNBs)</w:t>
            </w:r>
            <w:r>
              <w:rPr>
                <w:rFonts w:ascii="Times New Roman" w:hAnsi="Times New Roman"/>
                <w:color w:val="CC0000"/>
                <w:sz w:val="24"/>
                <w:szCs w:val="24"/>
              </w:rPr>
              <w:t xml:space="preserve"> and Overfire Air</w:t>
            </w:r>
          </w:p>
        </w:tc>
      </w:tr>
      <w:tr w:rsidR="00FB6BE7" w:rsidRPr="00ED7E20" w:rsidTr="00FB6BE7">
        <w:tc>
          <w:tcPr>
            <w:tcW w:w="1086" w:type="dxa"/>
          </w:tcPr>
          <w:p w:rsidR="00FB6BE7" w:rsidRPr="00ED7E20" w:rsidRDefault="00FB6BE7" w:rsidP="00FB6BE7">
            <w:pPr>
              <w:spacing w:after="0" w:line="240" w:lineRule="auto"/>
              <w:rPr>
                <w:rFonts w:ascii="Times New Roman" w:hAnsi="Times New Roman"/>
                <w:color w:val="CC0000"/>
                <w:sz w:val="24"/>
                <w:szCs w:val="24"/>
              </w:rPr>
            </w:pPr>
          </w:p>
        </w:tc>
        <w:tc>
          <w:tcPr>
            <w:tcW w:w="7770" w:type="dxa"/>
          </w:tcPr>
          <w:p w:rsidR="00FB6BE7" w:rsidRPr="00ED7E20" w:rsidRDefault="00FB6BE7" w:rsidP="00FB6BE7">
            <w:pPr>
              <w:spacing w:after="0" w:line="240" w:lineRule="auto"/>
              <w:rPr>
                <w:rFonts w:ascii="Times New Roman" w:hAnsi="Times New Roman"/>
                <w:color w:val="CC0000"/>
                <w:sz w:val="24"/>
                <w:szCs w:val="24"/>
              </w:rPr>
            </w:pPr>
          </w:p>
        </w:tc>
      </w:tr>
      <w:tr w:rsidR="00FB6BE7" w:rsidRPr="00ED7E20" w:rsidTr="00FB6BE7">
        <w:tc>
          <w:tcPr>
            <w:tcW w:w="1086" w:type="dxa"/>
          </w:tcPr>
          <w:p w:rsidR="00FB6BE7" w:rsidRPr="00ED7E20" w:rsidRDefault="00FB6BE7" w:rsidP="00FB6BE7">
            <w:pPr>
              <w:spacing w:after="0" w:line="240" w:lineRule="auto"/>
              <w:rPr>
                <w:rFonts w:ascii="Times New Roman" w:hAnsi="Times New Roman"/>
                <w:color w:val="CC0000"/>
                <w:sz w:val="24"/>
                <w:szCs w:val="24"/>
              </w:rPr>
            </w:pPr>
            <w:r w:rsidRPr="00ED7E20">
              <w:rPr>
                <w:rFonts w:ascii="Times New Roman" w:hAnsi="Times New Roman"/>
                <w:color w:val="CC0000"/>
                <w:sz w:val="24"/>
                <w:szCs w:val="24"/>
              </w:rPr>
              <w:t>V.</w:t>
            </w:r>
          </w:p>
        </w:tc>
        <w:tc>
          <w:tcPr>
            <w:tcW w:w="7770" w:type="dxa"/>
          </w:tcPr>
          <w:p w:rsidR="00FB6BE7" w:rsidRPr="00ED7E20" w:rsidRDefault="00FB6BE7" w:rsidP="00FB6BE7">
            <w:pPr>
              <w:spacing w:after="0" w:line="240" w:lineRule="auto"/>
              <w:rPr>
                <w:rFonts w:ascii="Times New Roman" w:hAnsi="Times New Roman"/>
                <w:color w:val="CC0000"/>
                <w:sz w:val="24"/>
                <w:szCs w:val="24"/>
              </w:rPr>
            </w:pPr>
            <w:r w:rsidRPr="00ED7E20">
              <w:rPr>
                <w:rFonts w:ascii="Times New Roman" w:hAnsi="Times New Roman"/>
                <w:color w:val="CC0000"/>
                <w:sz w:val="24"/>
                <w:szCs w:val="24"/>
              </w:rPr>
              <w:t>Powder River Basin (PRB) Coal</w:t>
            </w:r>
          </w:p>
        </w:tc>
      </w:tr>
      <w:tr w:rsidR="00FB6BE7" w:rsidRPr="00ED7E20" w:rsidTr="00FB6BE7">
        <w:tc>
          <w:tcPr>
            <w:tcW w:w="1086" w:type="dxa"/>
          </w:tcPr>
          <w:p w:rsidR="00FB6BE7" w:rsidRPr="00ED7E20" w:rsidRDefault="00FB6BE7" w:rsidP="00FB6BE7">
            <w:pPr>
              <w:spacing w:after="0" w:line="240" w:lineRule="auto"/>
              <w:rPr>
                <w:rFonts w:ascii="Times New Roman" w:hAnsi="Times New Roman"/>
                <w:color w:val="CC0000"/>
                <w:sz w:val="24"/>
                <w:szCs w:val="24"/>
              </w:rPr>
            </w:pPr>
          </w:p>
        </w:tc>
        <w:tc>
          <w:tcPr>
            <w:tcW w:w="7770" w:type="dxa"/>
          </w:tcPr>
          <w:p w:rsidR="00FB6BE7" w:rsidRPr="00ED7E20" w:rsidRDefault="00FB6BE7" w:rsidP="00FB6BE7">
            <w:pPr>
              <w:spacing w:after="0" w:line="240" w:lineRule="auto"/>
              <w:rPr>
                <w:rFonts w:ascii="Times New Roman" w:hAnsi="Times New Roman"/>
                <w:color w:val="CC0000"/>
                <w:sz w:val="24"/>
                <w:szCs w:val="24"/>
              </w:rPr>
            </w:pPr>
          </w:p>
        </w:tc>
      </w:tr>
      <w:tr w:rsidR="00FB6BE7" w:rsidRPr="00ED7E20" w:rsidTr="00FB6BE7">
        <w:tc>
          <w:tcPr>
            <w:tcW w:w="1086" w:type="dxa"/>
          </w:tcPr>
          <w:p w:rsidR="00FB6BE7" w:rsidRPr="00ED7E20" w:rsidRDefault="00FB6BE7" w:rsidP="00FB6BE7">
            <w:pPr>
              <w:spacing w:after="0" w:line="240" w:lineRule="auto"/>
              <w:rPr>
                <w:rFonts w:ascii="Times New Roman" w:hAnsi="Times New Roman"/>
                <w:color w:val="CC0000"/>
                <w:sz w:val="24"/>
                <w:szCs w:val="24"/>
              </w:rPr>
            </w:pPr>
            <w:r w:rsidRPr="00ED7E20">
              <w:rPr>
                <w:rFonts w:ascii="Times New Roman" w:hAnsi="Times New Roman"/>
                <w:color w:val="CC0000"/>
                <w:sz w:val="24"/>
                <w:szCs w:val="24"/>
              </w:rPr>
              <w:t>VI.</w:t>
            </w:r>
          </w:p>
        </w:tc>
        <w:tc>
          <w:tcPr>
            <w:tcW w:w="7770" w:type="dxa"/>
          </w:tcPr>
          <w:p w:rsidR="00FB6BE7" w:rsidRPr="00ED7E20" w:rsidRDefault="00FB6BE7" w:rsidP="00FB6BE7">
            <w:pPr>
              <w:spacing w:after="0" w:line="240" w:lineRule="auto"/>
              <w:rPr>
                <w:rFonts w:ascii="Times New Roman" w:hAnsi="Times New Roman"/>
                <w:color w:val="CC0000"/>
                <w:sz w:val="24"/>
                <w:szCs w:val="24"/>
              </w:rPr>
            </w:pPr>
            <w:r w:rsidRPr="00ED7E20">
              <w:rPr>
                <w:rFonts w:ascii="Times New Roman" w:hAnsi="Times New Roman"/>
                <w:color w:val="CC0000"/>
                <w:sz w:val="24"/>
                <w:szCs w:val="24"/>
              </w:rPr>
              <w:t>Flue Gas Desulfurization (FGD)</w:t>
            </w:r>
          </w:p>
        </w:tc>
      </w:tr>
      <w:tr w:rsidR="00FB6BE7" w:rsidRPr="00ED7E20" w:rsidTr="00FB6BE7">
        <w:tc>
          <w:tcPr>
            <w:tcW w:w="1086" w:type="dxa"/>
          </w:tcPr>
          <w:p w:rsidR="00FB6BE7" w:rsidRPr="00ED7E20" w:rsidRDefault="00FB6BE7" w:rsidP="00FB6BE7">
            <w:pPr>
              <w:spacing w:after="0" w:line="240" w:lineRule="auto"/>
              <w:rPr>
                <w:rFonts w:ascii="Times New Roman" w:hAnsi="Times New Roman"/>
                <w:color w:val="CC0000"/>
                <w:sz w:val="24"/>
                <w:szCs w:val="24"/>
              </w:rPr>
            </w:pPr>
          </w:p>
        </w:tc>
        <w:tc>
          <w:tcPr>
            <w:tcW w:w="7770" w:type="dxa"/>
          </w:tcPr>
          <w:p w:rsidR="00FB6BE7" w:rsidRPr="00ED7E20" w:rsidRDefault="00FB6BE7" w:rsidP="00FB6BE7">
            <w:pPr>
              <w:spacing w:after="0" w:line="240" w:lineRule="auto"/>
              <w:rPr>
                <w:rFonts w:ascii="Times New Roman" w:hAnsi="Times New Roman"/>
                <w:color w:val="CC0000"/>
                <w:sz w:val="24"/>
                <w:szCs w:val="24"/>
              </w:rPr>
            </w:pPr>
          </w:p>
        </w:tc>
      </w:tr>
      <w:tr w:rsidR="00FB6BE7" w:rsidRPr="00ED7E20" w:rsidTr="00FB6BE7">
        <w:tc>
          <w:tcPr>
            <w:tcW w:w="1086" w:type="dxa"/>
          </w:tcPr>
          <w:p w:rsidR="00FB6BE7" w:rsidRPr="00ED7E20" w:rsidRDefault="00FB6BE7" w:rsidP="00FB6BE7">
            <w:pPr>
              <w:spacing w:after="0" w:line="240" w:lineRule="auto"/>
              <w:rPr>
                <w:rFonts w:ascii="Times New Roman" w:hAnsi="Times New Roman"/>
                <w:color w:val="CC0000"/>
                <w:sz w:val="24"/>
                <w:szCs w:val="24"/>
              </w:rPr>
            </w:pPr>
            <w:r w:rsidRPr="00ED7E20">
              <w:rPr>
                <w:rFonts w:ascii="Times New Roman" w:hAnsi="Times New Roman"/>
                <w:color w:val="CC0000"/>
                <w:sz w:val="24"/>
                <w:szCs w:val="24"/>
              </w:rPr>
              <w:t>VII.</w:t>
            </w:r>
          </w:p>
        </w:tc>
        <w:tc>
          <w:tcPr>
            <w:tcW w:w="7770" w:type="dxa"/>
          </w:tcPr>
          <w:p w:rsidR="00FB6BE7" w:rsidRPr="00ED7E20" w:rsidRDefault="00FB6BE7" w:rsidP="00FB6BE7">
            <w:pPr>
              <w:spacing w:after="0" w:line="240" w:lineRule="auto"/>
              <w:rPr>
                <w:rFonts w:ascii="Times New Roman" w:hAnsi="Times New Roman"/>
                <w:color w:val="CC0000"/>
                <w:sz w:val="24"/>
                <w:szCs w:val="24"/>
              </w:rPr>
            </w:pPr>
            <w:r>
              <w:rPr>
                <w:rFonts w:ascii="Times New Roman" w:hAnsi="Times New Roman"/>
                <w:color w:val="CC0000"/>
                <w:sz w:val="24"/>
                <w:szCs w:val="24"/>
              </w:rPr>
              <w:t>Dry Sorbent Injection</w:t>
            </w:r>
          </w:p>
        </w:tc>
      </w:tr>
      <w:tr w:rsidR="00FB6BE7" w:rsidRPr="00ED7E20" w:rsidTr="00FB6BE7">
        <w:tc>
          <w:tcPr>
            <w:tcW w:w="1086" w:type="dxa"/>
          </w:tcPr>
          <w:p w:rsidR="00FB6BE7" w:rsidRPr="00ED7E20" w:rsidRDefault="00FB6BE7" w:rsidP="00FB6BE7">
            <w:pPr>
              <w:spacing w:after="0" w:line="240" w:lineRule="auto"/>
              <w:rPr>
                <w:rFonts w:ascii="Times New Roman" w:hAnsi="Times New Roman"/>
                <w:color w:val="CC0000"/>
                <w:sz w:val="24"/>
                <w:szCs w:val="24"/>
              </w:rPr>
            </w:pPr>
          </w:p>
        </w:tc>
        <w:tc>
          <w:tcPr>
            <w:tcW w:w="7770" w:type="dxa"/>
          </w:tcPr>
          <w:p w:rsidR="00FB6BE7" w:rsidRPr="00ED7E20" w:rsidRDefault="00FB6BE7" w:rsidP="00FB6BE7">
            <w:pPr>
              <w:spacing w:after="0" w:line="240" w:lineRule="auto"/>
              <w:rPr>
                <w:rFonts w:ascii="Times New Roman" w:hAnsi="Times New Roman"/>
                <w:color w:val="CC0000"/>
                <w:sz w:val="24"/>
                <w:szCs w:val="24"/>
              </w:rPr>
            </w:pPr>
          </w:p>
        </w:tc>
      </w:tr>
      <w:tr w:rsidR="00FB6BE7" w:rsidRPr="00ED7E20" w:rsidTr="00FB6BE7">
        <w:tc>
          <w:tcPr>
            <w:tcW w:w="1086" w:type="dxa"/>
          </w:tcPr>
          <w:p w:rsidR="00FB6BE7" w:rsidRPr="00ED7E20" w:rsidRDefault="00FB6BE7" w:rsidP="00FB6BE7">
            <w:pPr>
              <w:spacing w:after="0" w:line="240" w:lineRule="auto"/>
              <w:rPr>
                <w:rFonts w:ascii="Times New Roman" w:hAnsi="Times New Roman"/>
                <w:color w:val="CC0000"/>
                <w:sz w:val="24"/>
                <w:szCs w:val="24"/>
              </w:rPr>
            </w:pPr>
            <w:r w:rsidRPr="00ED7E20">
              <w:rPr>
                <w:rFonts w:ascii="Times New Roman" w:hAnsi="Times New Roman"/>
                <w:color w:val="CC0000"/>
                <w:sz w:val="24"/>
                <w:szCs w:val="24"/>
              </w:rPr>
              <w:t>VIII.</w:t>
            </w:r>
          </w:p>
        </w:tc>
        <w:tc>
          <w:tcPr>
            <w:tcW w:w="7770" w:type="dxa"/>
          </w:tcPr>
          <w:p w:rsidR="00FB6BE7" w:rsidRPr="00ED7E20" w:rsidRDefault="00FB6BE7" w:rsidP="00FB6BE7">
            <w:pPr>
              <w:spacing w:after="0" w:line="240" w:lineRule="auto"/>
              <w:rPr>
                <w:rFonts w:ascii="Times New Roman" w:hAnsi="Times New Roman"/>
                <w:color w:val="CC0000"/>
                <w:sz w:val="24"/>
                <w:szCs w:val="24"/>
              </w:rPr>
            </w:pPr>
            <w:r>
              <w:rPr>
                <w:rFonts w:ascii="Times New Roman" w:hAnsi="Times New Roman"/>
                <w:color w:val="CC0000"/>
                <w:sz w:val="24"/>
                <w:szCs w:val="24"/>
              </w:rPr>
              <w:t>Baghouses</w:t>
            </w:r>
          </w:p>
        </w:tc>
      </w:tr>
      <w:tr w:rsidR="00FB6BE7" w:rsidRPr="00ED7E20" w:rsidTr="00FB6BE7">
        <w:tc>
          <w:tcPr>
            <w:tcW w:w="1086" w:type="dxa"/>
          </w:tcPr>
          <w:p w:rsidR="00FB6BE7" w:rsidRPr="00ED7E20" w:rsidRDefault="00FB6BE7" w:rsidP="00FB6BE7">
            <w:pPr>
              <w:spacing w:after="0" w:line="240" w:lineRule="auto"/>
              <w:rPr>
                <w:rFonts w:ascii="Times New Roman" w:hAnsi="Times New Roman"/>
                <w:color w:val="CC0000"/>
                <w:sz w:val="24"/>
                <w:szCs w:val="24"/>
              </w:rPr>
            </w:pPr>
          </w:p>
        </w:tc>
        <w:tc>
          <w:tcPr>
            <w:tcW w:w="7770" w:type="dxa"/>
          </w:tcPr>
          <w:p w:rsidR="00FB6BE7" w:rsidRPr="00ED7E20" w:rsidRDefault="00FB6BE7" w:rsidP="00FB6BE7">
            <w:pPr>
              <w:spacing w:after="0" w:line="240" w:lineRule="auto"/>
              <w:rPr>
                <w:rFonts w:ascii="Times New Roman" w:hAnsi="Times New Roman"/>
                <w:color w:val="CC0000"/>
                <w:sz w:val="24"/>
                <w:szCs w:val="24"/>
              </w:rPr>
            </w:pPr>
          </w:p>
        </w:tc>
      </w:tr>
      <w:tr w:rsidR="00FB6BE7" w:rsidRPr="00ED7E20" w:rsidTr="00FB6BE7">
        <w:tc>
          <w:tcPr>
            <w:tcW w:w="1086" w:type="dxa"/>
          </w:tcPr>
          <w:p w:rsidR="00FB6BE7" w:rsidRPr="00ED7E20" w:rsidRDefault="00FB6BE7" w:rsidP="00FB6BE7">
            <w:pPr>
              <w:spacing w:after="0" w:line="240" w:lineRule="auto"/>
              <w:rPr>
                <w:rFonts w:ascii="Times New Roman" w:hAnsi="Times New Roman"/>
                <w:color w:val="CC0000"/>
                <w:sz w:val="24"/>
                <w:szCs w:val="24"/>
              </w:rPr>
            </w:pPr>
            <w:r w:rsidRPr="00ED7E20">
              <w:rPr>
                <w:rFonts w:ascii="Times New Roman" w:hAnsi="Times New Roman"/>
                <w:color w:val="CC0000"/>
                <w:sz w:val="24"/>
                <w:szCs w:val="24"/>
              </w:rPr>
              <w:t>IX.</w:t>
            </w:r>
          </w:p>
        </w:tc>
        <w:tc>
          <w:tcPr>
            <w:tcW w:w="7770" w:type="dxa"/>
          </w:tcPr>
          <w:p w:rsidR="00FB6BE7" w:rsidRPr="00ED7E20" w:rsidRDefault="00FB6BE7" w:rsidP="00FB6BE7">
            <w:pPr>
              <w:spacing w:after="0" w:line="240" w:lineRule="auto"/>
              <w:rPr>
                <w:rFonts w:ascii="Times New Roman" w:hAnsi="Times New Roman"/>
                <w:color w:val="CC0000"/>
                <w:sz w:val="24"/>
                <w:szCs w:val="24"/>
              </w:rPr>
            </w:pPr>
            <w:r w:rsidRPr="00ED7E20">
              <w:rPr>
                <w:rFonts w:ascii="Times New Roman" w:hAnsi="Times New Roman"/>
                <w:color w:val="CC0000"/>
                <w:sz w:val="24"/>
                <w:szCs w:val="24"/>
              </w:rPr>
              <w:t>Activated Carbon Injection</w:t>
            </w:r>
            <w:r w:rsidR="002F2289">
              <w:rPr>
                <w:rFonts w:ascii="Times New Roman" w:hAnsi="Times New Roman"/>
                <w:color w:val="CC0000"/>
                <w:sz w:val="24"/>
                <w:szCs w:val="24"/>
              </w:rPr>
              <w:t xml:space="preserve"> and Sulfuric Acid Mist Control</w:t>
            </w:r>
          </w:p>
        </w:tc>
      </w:tr>
      <w:tr w:rsidR="00FB6BE7" w:rsidRPr="00ED7E20" w:rsidTr="00FB6BE7">
        <w:tc>
          <w:tcPr>
            <w:tcW w:w="1086" w:type="dxa"/>
          </w:tcPr>
          <w:p w:rsidR="00FB6BE7" w:rsidRPr="00ED7E20" w:rsidRDefault="00FB6BE7" w:rsidP="00FB6BE7">
            <w:pPr>
              <w:spacing w:after="0" w:line="240" w:lineRule="auto"/>
              <w:rPr>
                <w:rFonts w:ascii="Times New Roman" w:hAnsi="Times New Roman"/>
                <w:color w:val="CC0000"/>
                <w:sz w:val="24"/>
                <w:szCs w:val="24"/>
              </w:rPr>
            </w:pPr>
          </w:p>
        </w:tc>
        <w:tc>
          <w:tcPr>
            <w:tcW w:w="7770" w:type="dxa"/>
          </w:tcPr>
          <w:p w:rsidR="00FB6BE7" w:rsidRPr="00ED7E20" w:rsidRDefault="00FB6BE7" w:rsidP="00FB6BE7">
            <w:pPr>
              <w:spacing w:after="0" w:line="240" w:lineRule="auto"/>
              <w:rPr>
                <w:rFonts w:ascii="Times New Roman" w:hAnsi="Times New Roman"/>
                <w:color w:val="CC0000"/>
                <w:sz w:val="24"/>
                <w:szCs w:val="24"/>
              </w:rPr>
            </w:pPr>
          </w:p>
        </w:tc>
      </w:tr>
      <w:tr w:rsidR="00FB6BE7" w:rsidRPr="00ED7E20" w:rsidTr="00FB6BE7">
        <w:tc>
          <w:tcPr>
            <w:tcW w:w="1086" w:type="dxa"/>
          </w:tcPr>
          <w:p w:rsidR="00FB6BE7" w:rsidRPr="00ED7E20" w:rsidRDefault="00FB6BE7" w:rsidP="00FB6BE7">
            <w:pPr>
              <w:spacing w:after="0" w:line="240" w:lineRule="auto"/>
              <w:rPr>
                <w:rFonts w:ascii="Times New Roman" w:hAnsi="Times New Roman"/>
                <w:color w:val="CC0000"/>
                <w:sz w:val="24"/>
                <w:szCs w:val="24"/>
              </w:rPr>
            </w:pPr>
            <w:r w:rsidRPr="00ED7E20">
              <w:rPr>
                <w:rFonts w:ascii="Times New Roman" w:hAnsi="Times New Roman"/>
                <w:color w:val="CC0000"/>
                <w:sz w:val="24"/>
                <w:szCs w:val="24"/>
              </w:rPr>
              <w:t>X.</w:t>
            </w:r>
          </w:p>
        </w:tc>
        <w:tc>
          <w:tcPr>
            <w:tcW w:w="7770" w:type="dxa"/>
          </w:tcPr>
          <w:p w:rsidR="00FB6BE7" w:rsidRPr="00ED7E20" w:rsidRDefault="00FB6BE7" w:rsidP="00FB6BE7">
            <w:pPr>
              <w:spacing w:after="0" w:line="240" w:lineRule="auto"/>
              <w:rPr>
                <w:rFonts w:ascii="Times New Roman" w:hAnsi="Times New Roman"/>
                <w:color w:val="CC0000"/>
                <w:sz w:val="24"/>
                <w:szCs w:val="24"/>
              </w:rPr>
            </w:pPr>
            <w:r w:rsidRPr="00ED7E20">
              <w:rPr>
                <w:rFonts w:ascii="Times New Roman" w:hAnsi="Times New Roman"/>
                <w:color w:val="CC0000"/>
                <w:sz w:val="24"/>
                <w:szCs w:val="24"/>
              </w:rPr>
              <w:t>Chemical Injection for Mercury Removal</w:t>
            </w:r>
          </w:p>
        </w:tc>
      </w:tr>
      <w:tr w:rsidR="00FB6BE7" w:rsidRPr="00ED7E20" w:rsidTr="00FB6BE7">
        <w:tc>
          <w:tcPr>
            <w:tcW w:w="1086" w:type="dxa"/>
          </w:tcPr>
          <w:p w:rsidR="00FB6BE7" w:rsidRPr="00ED7E20" w:rsidRDefault="00FB6BE7" w:rsidP="00FB6BE7">
            <w:pPr>
              <w:spacing w:after="0" w:line="240" w:lineRule="auto"/>
              <w:rPr>
                <w:rFonts w:ascii="Times New Roman" w:hAnsi="Times New Roman"/>
                <w:color w:val="CC0000"/>
                <w:sz w:val="24"/>
                <w:szCs w:val="24"/>
              </w:rPr>
            </w:pPr>
          </w:p>
        </w:tc>
        <w:tc>
          <w:tcPr>
            <w:tcW w:w="7770" w:type="dxa"/>
          </w:tcPr>
          <w:p w:rsidR="00FB6BE7" w:rsidRPr="00ED7E20" w:rsidRDefault="00FB6BE7" w:rsidP="00FB6BE7">
            <w:pPr>
              <w:spacing w:after="0" w:line="240" w:lineRule="auto"/>
              <w:rPr>
                <w:rFonts w:ascii="Times New Roman" w:hAnsi="Times New Roman"/>
                <w:color w:val="CC0000"/>
                <w:sz w:val="24"/>
                <w:szCs w:val="24"/>
              </w:rPr>
            </w:pPr>
          </w:p>
        </w:tc>
      </w:tr>
      <w:tr w:rsidR="00FB6BE7" w:rsidRPr="00ED7E20" w:rsidTr="00FB6BE7">
        <w:tc>
          <w:tcPr>
            <w:tcW w:w="1086" w:type="dxa"/>
          </w:tcPr>
          <w:p w:rsidR="00FB6BE7" w:rsidRPr="00ED7E20" w:rsidRDefault="00FB6BE7" w:rsidP="00FB6BE7">
            <w:pPr>
              <w:spacing w:after="0" w:line="240" w:lineRule="auto"/>
              <w:rPr>
                <w:rFonts w:ascii="Times New Roman" w:hAnsi="Times New Roman"/>
                <w:color w:val="CC0000"/>
                <w:sz w:val="24"/>
                <w:szCs w:val="24"/>
              </w:rPr>
            </w:pPr>
            <w:r w:rsidRPr="00ED7E20">
              <w:rPr>
                <w:rFonts w:ascii="Times New Roman" w:hAnsi="Times New Roman"/>
                <w:color w:val="CC0000"/>
                <w:sz w:val="24"/>
                <w:szCs w:val="24"/>
              </w:rPr>
              <w:t>XI.</w:t>
            </w:r>
          </w:p>
        </w:tc>
        <w:tc>
          <w:tcPr>
            <w:tcW w:w="7770" w:type="dxa"/>
          </w:tcPr>
          <w:p w:rsidR="00FB6BE7" w:rsidRPr="00ED7E20" w:rsidRDefault="00FB6BE7" w:rsidP="00FB6BE7">
            <w:pPr>
              <w:spacing w:after="0" w:line="240" w:lineRule="auto"/>
              <w:rPr>
                <w:rFonts w:ascii="Times New Roman" w:hAnsi="Times New Roman"/>
                <w:color w:val="CC0000"/>
                <w:sz w:val="24"/>
                <w:szCs w:val="24"/>
              </w:rPr>
            </w:pPr>
            <w:r>
              <w:rPr>
                <w:rFonts w:ascii="Times New Roman" w:hAnsi="Times New Roman"/>
                <w:color w:val="CC0000"/>
                <w:sz w:val="24"/>
                <w:szCs w:val="24"/>
              </w:rPr>
              <w:t>Scrubber Additives for Preventing Mercury Re-Emission</w:t>
            </w:r>
          </w:p>
        </w:tc>
      </w:tr>
      <w:tr w:rsidR="00FB6BE7" w:rsidRPr="00ED7E20" w:rsidTr="00FB6BE7">
        <w:tc>
          <w:tcPr>
            <w:tcW w:w="1086" w:type="dxa"/>
          </w:tcPr>
          <w:p w:rsidR="00FB6BE7" w:rsidRPr="00ED7E20" w:rsidRDefault="00FB6BE7" w:rsidP="00FB6BE7">
            <w:pPr>
              <w:spacing w:after="0" w:line="240" w:lineRule="auto"/>
              <w:rPr>
                <w:rFonts w:ascii="Times New Roman" w:hAnsi="Times New Roman"/>
                <w:color w:val="CC0000"/>
                <w:sz w:val="24"/>
                <w:szCs w:val="24"/>
              </w:rPr>
            </w:pPr>
          </w:p>
        </w:tc>
        <w:tc>
          <w:tcPr>
            <w:tcW w:w="7770" w:type="dxa"/>
          </w:tcPr>
          <w:p w:rsidR="00FB6BE7" w:rsidRPr="00ED7E20" w:rsidRDefault="00FB6BE7" w:rsidP="00FB6BE7">
            <w:pPr>
              <w:spacing w:after="0" w:line="240" w:lineRule="auto"/>
              <w:rPr>
                <w:rFonts w:ascii="Times New Roman" w:hAnsi="Times New Roman"/>
                <w:color w:val="CC0000"/>
                <w:sz w:val="24"/>
                <w:szCs w:val="24"/>
              </w:rPr>
            </w:pPr>
          </w:p>
        </w:tc>
      </w:tr>
      <w:tr w:rsidR="00FB6BE7" w:rsidRPr="00ED7E20" w:rsidTr="00FB6BE7">
        <w:tc>
          <w:tcPr>
            <w:tcW w:w="1086" w:type="dxa"/>
          </w:tcPr>
          <w:p w:rsidR="00FB6BE7" w:rsidRPr="00ED7E20" w:rsidRDefault="00FB6BE7" w:rsidP="00FB6BE7">
            <w:pPr>
              <w:spacing w:after="0" w:line="240" w:lineRule="auto"/>
              <w:rPr>
                <w:rFonts w:ascii="Times New Roman" w:hAnsi="Times New Roman"/>
                <w:color w:val="CC0000"/>
                <w:sz w:val="24"/>
                <w:szCs w:val="24"/>
              </w:rPr>
            </w:pPr>
            <w:r w:rsidRPr="00ED7E20">
              <w:rPr>
                <w:rFonts w:ascii="Times New Roman" w:hAnsi="Times New Roman"/>
                <w:color w:val="CC0000"/>
                <w:sz w:val="24"/>
                <w:szCs w:val="24"/>
              </w:rPr>
              <w:t>XII.</w:t>
            </w:r>
          </w:p>
        </w:tc>
        <w:tc>
          <w:tcPr>
            <w:tcW w:w="7770" w:type="dxa"/>
          </w:tcPr>
          <w:p w:rsidR="00FB6BE7" w:rsidRPr="00ED7E20" w:rsidRDefault="00FB6BE7" w:rsidP="00FB6BE7">
            <w:pPr>
              <w:spacing w:after="0" w:line="240" w:lineRule="auto"/>
              <w:rPr>
                <w:rFonts w:ascii="Times New Roman" w:hAnsi="Times New Roman"/>
                <w:color w:val="CC0000"/>
                <w:sz w:val="24"/>
                <w:szCs w:val="24"/>
              </w:rPr>
            </w:pPr>
            <w:r w:rsidRPr="00ED7E20">
              <w:rPr>
                <w:rFonts w:ascii="Times New Roman" w:hAnsi="Times New Roman"/>
                <w:color w:val="CC0000"/>
                <w:sz w:val="24"/>
                <w:szCs w:val="24"/>
              </w:rPr>
              <w:t>Mercury Research Center</w:t>
            </w:r>
          </w:p>
        </w:tc>
      </w:tr>
      <w:tr w:rsidR="00FB6BE7" w:rsidRPr="00ED7E20" w:rsidTr="00FB6BE7">
        <w:tc>
          <w:tcPr>
            <w:tcW w:w="1086" w:type="dxa"/>
          </w:tcPr>
          <w:p w:rsidR="00FB6BE7" w:rsidRPr="00ED7E20" w:rsidRDefault="00FB6BE7" w:rsidP="00FB6BE7">
            <w:pPr>
              <w:spacing w:after="0" w:line="240" w:lineRule="auto"/>
              <w:rPr>
                <w:rFonts w:ascii="Times New Roman" w:hAnsi="Times New Roman"/>
                <w:color w:val="CC0000"/>
                <w:sz w:val="24"/>
                <w:szCs w:val="24"/>
                <w:lang w:val="nl-NL"/>
              </w:rPr>
            </w:pPr>
          </w:p>
        </w:tc>
        <w:tc>
          <w:tcPr>
            <w:tcW w:w="7770" w:type="dxa"/>
          </w:tcPr>
          <w:p w:rsidR="00FB6BE7" w:rsidRPr="00ED7E20" w:rsidRDefault="00FB6BE7" w:rsidP="00FB6BE7">
            <w:pPr>
              <w:spacing w:after="0" w:line="240" w:lineRule="auto"/>
              <w:rPr>
                <w:rFonts w:ascii="Times New Roman" w:hAnsi="Times New Roman"/>
                <w:color w:val="CC0000"/>
                <w:sz w:val="24"/>
                <w:szCs w:val="24"/>
              </w:rPr>
            </w:pPr>
          </w:p>
        </w:tc>
      </w:tr>
      <w:tr w:rsidR="00FB6BE7" w:rsidRPr="00ED7E20" w:rsidTr="00FB6BE7">
        <w:tc>
          <w:tcPr>
            <w:tcW w:w="1086" w:type="dxa"/>
          </w:tcPr>
          <w:p w:rsidR="00FB6BE7" w:rsidRPr="00ED7E20" w:rsidRDefault="00FB6BE7" w:rsidP="00FB6BE7">
            <w:pPr>
              <w:spacing w:after="0" w:line="240" w:lineRule="auto"/>
              <w:rPr>
                <w:rFonts w:ascii="Times New Roman" w:hAnsi="Times New Roman"/>
                <w:color w:val="CC0000"/>
                <w:sz w:val="24"/>
                <w:szCs w:val="24"/>
              </w:rPr>
            </w:pPr>
            <w:r w:rsidRPr="00ED7E20">
              <w:rPr>
                <w:rFonts w:ascii="Times New Roman" w:hAnsi="Times New Roman"/>
                <w:color w:val="CC0000"/>
                <w:sz w:val="24"/>
                <w:szCs w:val="24"/>
              </w:rPr>
              <w:t>XIII.</w:t>
            </w:r>
          </w:p>
        </w:tc>
        <w:tc>
          <w:tcPr>
            <w:tcW w:w="7770" w:type="dxa"/>
          </w:tcPr>
          <w:p w:rsidR="00FB6BE7" w:rsidRPr="00ED7E20" w:rsidRDefault="00FB6BE7" w:rsidP="00FB6BE7">
            <w:pPr>
              <w:spacing w:after="0" w:line="240" w:lineRule="auto"/>
              <w:rPr>
                <w:rFonts w:ascii="Times New Roman" w:hAnsi="Times New Roman"/>
                <w:color w:val="CC0000"/>
                <w:sz w:val="24"/>
                <w:szCs w:val="24"/>
              </w:rPr>
            </w:pPr>
            <w:r w:rsidRPr="00ED7E20">
              <w:rPr>
                <w:rFonts w:ascii="Times New Roman" w:hAnsi="Times New Roman"/>
                <w:color w:val="CC0000"/>
                <w:sz w:val="24"/>
                <w:szCs w:val="24"/>
              </w:rPr>
              <w:t>Containment and Control Technologies for Ash Storage Areas</w:t>
            </w:r>
          </w:p>
        </w:tc>
      </w:tr>
      <w:tr w:rsidR="00FB6BE7" w:rsidRPr="00ED7E20" w:rsidTr="00FB6BE7">
        <w:tc>
          <w:tcPr>
            <w:tcW w:w="1086" w:type="dxa"/>
          </w:tcPr>
          <w:p w:rsidR="00FB6BE7" w:rsidRPr="00ED7E20" w:rsidRDefault="00FB6BE7" w:rsidP="00FB6BE7">
            <w:pPr>
              <w:spacing w:after="0" w:line="240" w:lineRule="auto"/>
              <w:rPr>
                <w:rFonts w:ascii="Times New Roman" w:hAnsi="Times New Roman"/>
                <w:color w:val="CC0000"/>
                <w:sz w:val="24"/>
                <w:szCs w:val="24"/>
              </w:rPr>
            </w:pPr>
          </w:p>
        </w:tc>
        <w:tc>
          <w:tcPr>
            <w:tcW w:w="7770" w:type="dxa"/>
          </w:tcPr>
          <w:p w:rsidR="00FB6BE7" w:rsidRPr="00ED7E20" w:rsidRDefault="00FB6BE7" w:rsidP="00FB6BE7">
            <w:pPr>
              <w:spacing w:after="0" w:line="240" w:lineRule="auto"/>
              <w:rPr>
                <w:rFonts w:ascii="Times New Roman" w:hAnsi="Times New Roman"/>
                <w:color w:val="CC0000"/>
                <w:sz w:val="24"/>
                <w:szCs w:val="24"/>
                <w:lang w:val="nl-NL"/>
              </w:rPr>
            </w:pPr>
          </w:p>
        </w:tc>
      </w:tr>
      <w:tr w:rsidR="00FB6BE7" w:rsidRPr="00ED7E20" w:rsidTr="00FB6BE7">
        <w:tc>
          <w:tcPr>
            <w:tcW w:w="1086" w:type="dxa"/>
          </w:tcPr>
          <w:p w:rsidR="00FB6BE7" w:rsidRPr="00ED7E20" w:rsidRDefault="00FB6BE7" w:rsidP="00FB6BE7">
            <w:pPr>
              <w:spacing w:after="0" w:line="240" w:lineRule="auto"/>
              <w:rPr>
                <w:rFonts w:ascii="Times New Roman" w:hAnsi="Times New Roman"/>
                <w:color w:val="CC0000"/>
                <w:sz w:val="24"/>
                <w:szCs w:val="24"/>
              </w:rPr>
            </w:pPr>
            <w:r w:rsidRPr="00ED7E20">
              <w:rPr>
                <w:rFonts w:ascii="Times New Roman" w:hAnsi="Times New Roman"/>
                <w:color w:val="CC0000"/>
                <w:sz w:val="24"/>
                <w:szCs w:val="24"/>
              </w:rPr>
              <w:t>XIV.</w:t>
            </w:r>
          </w:p>
        </w:tc>
        <w:tc>
          <w:tcPr>
            <w:tcW w:w="7770" w:type="dxa"/>
          </w:tcPr>
          <w:p w:rsidR="00FB6BE7" w:rsidRPr="00ED7E20" w:rsidRDefault="00FB6BE7" w:rsidP="00FB6BE7">
            <w:pPr>
              <w:spacing w:after="0" w:line="240" w:lineRule="auto"/>
              <w:rPr>
                <w:rFonts w:ascii="Times New Roman" w:hAnsi="Times New Roman"/>
                <w:color w:val="CC0000"/>
                <w:sz w:val="24"/>
                <w:szCs w:val="24"/>
              </w:rPr>
            </w:pPr>
            <w:r w:rsidRPr="00ED7E20">
              <w:rPr>
                <w:rFonts w:ascii="Times New Roman" w:hAnsi="Times New Roman"/>
                <w:color w:val="CC0000"/>
                <w:sz w:val="24"/>
                <w:szCs w:val="24"/>
              </w:rPr>
              <w:t>Cooling Water Intake Screen Technology</w:t>
            </w:r>
          </w:p>
        </w:tc>
      </w:tr>
      <w:tr w:rsidR="00FB6BE7" w:rsidRPr="00ED7E20" w:rsidTr="00FB6BE7">
        <w:tc>
          <w:tcPr>
            <w:tcW w:w="1086" w:type="dxa"/>
          </w:tcPr>
          <w:p w:rsidR="00FB6BE7" w:rsidRPr="00ED7E20" w:rsidRDefault="00FB6BE7" w:rsidP="00FB6BE7">
            <w:pPr>
              <w:spacing w:after="0" w:line="240" w:lineRule="auto"/>
              <w:rPr>
                <w:rFonts w:ascii="Times New Roman" w:hAnsi="Times New Roman"/>
                <w:color w:val="CC0000"/>
                <w:sz w:val="24"/>
                <w:szCs w:val="24"/>
              </w:rPr>
            </w:pPr>
          </w:p>
        </w:tc>
        <w:tc>
          <w:tcPr>
            <w:tcW w:w="7770" w:type="dxa"/>
          </w:tcPr>
          <w:p w:rsidR="00FB6BE7" w:rsidRPr="00ED7E20" w:rsidRDefault="00FB6BE7" w:rsidP="00FB6BE7">
            <w:pPr>
              <w:spacing w:after="0" w:line="240" w:lineRule="auto"/>
              <w:rPr>
                <w:rFonts w:ascii="Times New Roman" w:hAnsi="Times New Roman"/>
                <w:color w:val="CC0000"/>
                <w:sz w:val="24"/>
                <w:szCs w:val="24"/>
              </w:rPr>
            </w:pPr>
          </w:p>
        </w:tc>
      </w:tr>
      <w:tr w:rsidR="00FB6BE7" w:rsidRPr="00ED7E20" w:rsidTr="00FB6BE7">
        <w:tc>
          <w:tcPr>
            <w:tcW w:w="1086" w:type="dxa"/>
          </w:tcPr>
          <w:p w:rsidR="00FB6BE7" w:rsidRPr="00ED7E20" w:rsidRDefault="00FB6BE7" w:rsidP="00FB6BE7">
            <w:pPr>
              <w:spacing w:after="0" w:line="240" w:lineRule="auto"/>
              <w:rPr>
                <w:rFonts w:ascii="Times New Roman" w:hAnsi="Times New Roman"/>
                <w:color w:val="CC0000"/>
                <w:sz w:val="24"/>
                <w:szCs w:val="24"/>
              </w:rPr>
            </w:pPr>
            <w:r w:rsidRPr="00ED7E20">
              <w:rPr>
                <w:rFonts w:ascii="Times New Roman" w:hAnsi="Times New Roman"/>
                <w:color w:val="CC0000"/>
                <w:sz w:val="24"/>
                <w:szCs w:val="24"/>
              </w:rPr>
              <w:t>XV.</w:t>
            </w:r>
          </w:p>
        </w:tc>
        <w:tc>
          <w:tcPr>
            <w:tcW w:w="7770" w:type="dxa"/>
          </w:tcPr>
          <w:p w:rsidR="00FB6BE7" w:rsidRPr="00ED7E20" w:rsidRDefault="00FB6BE7" w:rsidP="00FB6BE7">
            <w:pPr>
              <w:spacing w:after="0" w:line="240" w:lineRule="auto"/>
              <w:rPr>
                <w:rFonts w:ascii="Times New Roman" w:hAnsi="Times New Roman"/>
                <w:color w:val="CC0000"/>
                <w:sz w:val="24"/>
                <w:szCs w:val="24"/>
              </w:rPr>
            </w:pPr>
            <w:r w:rsidRPr="00ED7E20">
              <w:rPr>
                <w:rFonts w:ascii="Times New Roman" w:hAnsi="Times New Roman"/>
                <w:color w:val="CC0000"/>
                <w:sz w:val="24"/>
                <w:szCs w:val="24"/>
              </w:rPr>
              <w:t>Water Cooling Technologies</w:t>
            </w:r>
          </w:p>
        </w:tc>
      </w:tr>
      <w:tr w:rsidR="00FB6BE7" w:rsidRPr="00ED7E20" w:rsidTr="00FB6BE7">
        <w:tc>
          <w:tcPr>
            <w:tcW w:w="1086" w:type="dxa"/>
          </w:tcPr>
          <w:p w:rsidR="00FB6BE7" w:rsidRPr="00ED7E20" w:rsidRDefault="00FB6BE7" w:rsidP="00FB6BE7">
            <w:pPr>
              <w:spacing w:after="0" w:line="240" w:lineRule="auto"/>
              <w:rPr>
                <w:rFonts w:ascii="Times New Roman" w:hAnsi="Times New Roman"/>
                <w:color w:val="CC0000"/>
                <w:sz w:val="24"/>
                <w:szCs w:val="24"/>
              </w:rPr>
            </w:pPr>
          </w:p>
        </w:tc>
        <w:tc>
          <w:tcPr>
            <w:tcW w:w="7770" w:type="dxa"/>
          </w:tcPr>
          <w:p w:rsidR="00FB6BE7" w:rsidRPr="00ED7E20" w:rsidRDefault="00FB6BE7" w:rsidP="00FB6BE7">
            <w:pPr>
              <w:spacing w:after="0" w:line="240" w:lineRule="auto"/>
              <w:rPr>
                <w:rFonts w:ascii="Times New Roman" w:hAnsi="Times New Roman"/>
                <w:color w:val="CC0000"/>
                <w:sz w:val="24"/>
                <w:szCs w:val="24"/>
              </w:rPr>
            </w:pPr>
          </w:p>
        </w:tc>
      </w:tr>
      <w:tr w:rsidR="00FB6BE7" w:rsidRPr="00ED7E20" w:rsidTr="00FB6BE7">
        <w:tc>
          <w:tcPr>
            <w:tcW w:w="1086" w:type="dxa"/>
          </w:tcPr>
          <w:p w:rsidR="00FB6BE7" w:rsidRPr="00ED7E20" w:rsidRDefault="00FB6BE7" w:rsidP="00FB6BE7">
            <w:pPr>
              <w:spacing w:after="0" w:line="240" w:lineRule="auto"/>
              <w:rPr>
                <w:rFonts w:ascii="Times New Roman" w:hAnsi="Times New Roman"/>
                <w:color w:val="CC0000"/>
                <w:sz w:val="24"/>
                <w:szCs w:val="24"/>
              </w:rPr>
            </w:pPr>
            <w:r>
              <w:rPr>
                <w:rFonts w:ascii="Times New Roman" w:hAnsi="Times New Roman"/>
                <w:color w:val="CC0000"/>
                <w:sz w:val="24"/>
                <w:szCs w:val="24"/>
              </w:rPr>
              <w:t>XVI.</w:t>
            </w:r>
          </w:p>
        </w:tc>
        <w:tc>
          <w:tcPr>
            <w:tcW w:w="7770" w:type="dxa"/>
          </w:tcPr>
          <w:p w:rsidR="00FB6BE7" w:rsidRPr="00ED7E20" w:rsidRDefault="00FB6BE7" w:rsidP="00FB6BE7">
            <w:pPr>
              <w:spacing w:after="0" w:line="240" w:lineRule="auto"/>
              <w:rPr>
                <w:rFonts w:ascii="Times New Roman" w:hAnsi="Times New Roman"/>
                <w:color w:val="CC0000"/>
                <w:sz w:val="24"/>
                <w:szCs w:val="24"/>
              </w:rPr>
            </w:pPr>
            <w:r>
              <w:rPr>
                <w:rFonts w:ascii="Times New Roman" w:hAnsi="Times New Roman"/>
                <w:color w:val="CC0000"/>
                <w:sz w:val="24"/>
                <w:szCs w:val="24"/>
              </w:rPr>
              <w:t>Water Research Center</w:t>
            </w:r>
          </w:p>
        </w:tc>
      </w:tr>
      <w:tr w:rsidR="00FB6BE7" w:rsidRPr="00ED7E20" w:rsidTr="00FB6BE7">
        <w:tc>
          <w:tcPr>
            <w:tcW w:w="1086" w:type="dxa"/>
          </w:tcPr>
          <w:p w:rsidR="00FB6BE7" w:rsidRDefault="00FB6BE7" w:rsidP="00FB6BE7">
            <w:pPr>
              <w:spacing w:after="0" w:line="240" w:lineRule="auto"/>
              <w:rPr>
                <w:rFonts w:ascii="Times New Roman" w:hAnsi="Times New Roman"/>
                <w:color w:val="CC0000"/>
                <w:sz w:val="24"/>
                <w:szCs w:val="24"/>
              </w:rPr>
            </w:pPr>
          </w:p>
        </w:tc>
        <w:tc>
          <w:tcPr>
            <w:tcW w:w="7770" w:type="dxa"/>
          </w:tcPr>
          <w:p w:rsidR="00FB6BE7" w:rsidRDefault="00FB6BE7" w:rsidP="00FB6BE7">
            <w:pPr>
              <w:spacing w:after="0" w:line="240" w:lineRule="auto"/>
              <w:rPr>
                <w:rFonts w:ascii="Times New Roman" w:hAnsi="Times New Roman"/>
                <w:color w:val="CC0000"/>
                <w:sz w:val="24"/>
                <w:szCs w:val="24"/>
              </w:rPr>
            </w:pPr>
          </w:p>
        </w:tc>
      </w:tr>
      <w:tr w:rsidR="00FB6BE7" w:rsidRPr="00ED7E20" w:rsidTr="00FB6BE7">
        <w:tc>
          <w:tcPr>
            <w:tcW w:w="1086" w:type="dxa"/>
          </w:tcPr>
          <w:p w:rsidR="00FB6BE7" w:rsidRDefault="00FB6BE7" w:rsidP="00FB6BE7">
            <w:pPr>
              <w:spacing w:after="0" w:line="240" w:lineRule="auto"/>
              <w:rPr>
                <w:rFonts w:ascii="Times New Roman" w:hAnsi="Times New Roman"/>
                <w:color w:val="CC0000"/>
                <w:sz w:val="24"/>
                <w:szCs w:val="24"/>
              </w:rPr>
            </w:pPr>
            <w:r>
              <w:rPr>
                <w:rFonts w:ascii="Times New Roman" w:hAnsi="Times New Roman"/>
                <w:color w:val="CC0000"/>
                <w:sz w:val="24"/>
                <w:szCs w:val="24"/>
              </w:rPr>
              <w:t>XVII.</w:t>
            </w:r>
          </w:p>
        </w:tc>
        <w:tc>
          <w:tcPr>
            <w:tcW w:w="7770" w:type="dxa"/>
          </w:tcPr>
          <w:p w:rsidR="00FB6BE7" w:rsidRDefault="00FB6BE7" w:rsidP="00FB6BE7">
            <w:pPr>
              <w:spacing w:after="0" w:line="240" w:lineRule="auto"/>
              <w:rPr>
                <w:rFonts w:ascii="Times New Roman" w:hAnsi="Times New Roman"/>
                <w:color w:val="CC0000"/>
                <w:sz w:val="24"/>
                <w:szCs w:val="24"/>
              </w:rPr>
            </w:pPr>
            <w:r w:rsidRPr="00191855">
              <w:rPr>
                <w:rFonts w:ascii="Times New Roman" w:hAnsi="Times New Roman"/>
                <w:color w:val="CC0000"/>
                <w:sz w:val="24"/>
                <w:szCs w:val="24"/>
              </w:rPr>
              <w:t>Ash Handling Methods</w:t>
            </w:r>
          </w:p>
        </w:tc>
      </w:tr>
      <w:tr w:rsidR="00FB6BE7" w:rsidRPr="00ED7E20" w:rsidTr="00FB6BE7">
        <w:tc>
          <w:tcPr>
            <w:tcW w:w="1086" w:type="dxa"/>
          </w:tcPr>
          <w:p w:rsidR="00FB6BE7" w:rsidRDefault="00FB6BE7" w:rsidP="00FB6BE7">
            <w:pPr>
              <w:spacing w:after="0" w:line="240" w:lineRule="auto"/>
              <w:rPr>
                <w:rFonts w:ascii="Times New Roman" w:hAnsi="Times New Roman"/>
                <w:color w:val="CC0000"/>
                <w:sz w:val="24"/>
                <w:szCs w:val="24"/>
              </w:rPr>
            </w:pPr>
          </w:p>
        </w:tc>
        <w:tc>
          <w:tcPr>
            <w:tcW w:w="7770" w:type="dxa"/>
          </w:tcPr>
          <w:p w:rsidR="00FB6BE7" w:rsidRDefault="00FB6BE7" w:rsidP="00FB6BE7">
            <w:pPr>
              <w:spacing w:after="0" w:line="240" w:lineRule="auto"/>
              <w:rPr>
                <w:rFonts w:ascii="Times New Roman" w:hAnsi="Times New Roman"/>
                <w:color w:val="CC0000"/>
                <w:sz w:val="24"/>
                <w:szCs w:val="24"/>
              </w:rPr>
            </w:pPr>
          </w:p>
        </w:tc>
      </w:tr>
      <w:tr w:rsidR="00FB6BE7" w:rsidRPr="00ED7E20" w:rsidTr="00FB6BE7">
        <w:tc>
          <w:tcPr>
            <w:tcW w:w="1086" w:type="dxa"/>
          </w:tcPr>
          <w:p w:rsidR="00FB6BE7" w:rsidRDefault="00FB6BE7" w:rsidP="00FB6BE7">
            <w:pPr>
              <w:spacing w:after="0" w:line="240" w:lineRule="auto"/>
              <w:rPr>
                <w:rFonts w:ascii="Times New Roman" w:hAnsi="Times New Roman"/>
                <w:color w:val="CC0000"/>
                <w:sz w:val="24"/>
                <w:szCs w:val="24"/>
              </w:rPr>
            </w:pPr>
            <w:r>
              <w:rPr>
                <w:rFonts w:ascii="Times New Roman" w:hAnsi="Times New Roman"/>
                <w:color w:val="CC0000"/>
                <w:sz w:val="24"/>
                <w:szCs w:val="24"/>
              </w:rPr>
              <w:t>XVIII.</w:t>
            </w:r>
          </w:p>
        </w:tc>
        <w:tc>
          <w:tcPr>
            <w:tcW w:w="7770" w:type="dxa"/>
          </w:tcPr>
          <w:p w:rsidR="00FB6BE7" w:rsidRDefault="00FB6BE7" w:rsidP="00FB6BE7">
            <w:pPr>
              <w:spacing w:after="0" w:line="240" w:lineRule="auto"/>
              <w:rPr>
                <w:rFonts w:ascii="Times New Roman" w:hAnsi="Times New Roman"/>
                <w:color w:val="CC0000"/>
                <w:sz w:val="24"/>
                <w:szCs w:val="24"/>
              </w:rPr>
            </w:pPr>
            <w:r w:rsidRPr="00191855">
              <w:rPr>
                <w:rFonts w:ascii="Times New Roman" w:hAnsi="Times New Roman"/>
                <w:color w:val="CC0000"/>
                <w:sz w:val="24"/>
                <w:szCs w:val="24"/>
              </w:rPr>
              <w:t>Landfills</w:t>
            </w:r>
          </w:p>
        </w:tc>
      </w:tr>
      <w:tr w:rsidR="00FB6BE7" w:rsidRPr="00ED7E20" w:rsidTr="00FB6BE7">
        <w:tc>
          <w:tcPr>
            <w:tcW w:w="1086" w:type="dxa"/>
          </w:tcPr>
          <w:p w:rsidR="00FB6BE7" w:rsidRDefault="00FB6BE7" w:rsidP="00FB6BE7">
            <w:pPr>
              <w:spacing w:after="0" w:line="240" w:lineRule="auto"/>
              <w:rPr>
                <w:rFonts w:ascii="Times New Roman" w:hAnsi="Times New Roman"/>
                <w:color w:val="CC0000"/>
                <w:sz w:val="24"/>
                <w:szCs w:val="24"/>
              </w:rPr>
            </w:pPr>
          </w:p>
        </w:tc>
        <w:tc>
          <w:tcPr>
            <w:tcW w:w="7770" w:type="dxa"/>
          </w:tcPr>
          <w:p w:rsidR="00FB6BE7" w:rsidRDefault="00FB6BE7" w:rsidP="00FB6BE7">
            <w:pPr>
              <w:spacing w:after="0" w:line="240" w:lineRule="auto"/>
              <w:rPr>
                <w:rFonts w:ascii="Times New Roman" w:hAnsi="Times New Roman"/>
                <w:color w:val="CC0000"/>
                <w:sz w:val="24"/>
                <w:szCs w:val="24"/>
              </w:rPr>
            </w:pPr>
          </w:p>
        </w:tc>
      </w:tr>
      <w:tr w:rsidR="00FB6BE7" w:rsidRPr="00ED7E20" w:rsidTr="00FB6BE7">
        <w:tc>
          <w:tcPr>
            <w:tcW w:w="1086" w:type="dxa"/>
          </w:tcPr>
          <w:p w:rsidR="00FB6BE7" w:rsidRDefault="00FB6BE7" w:rsidP="00FB6BE7">
            <w:pPr>
              <w:spacing w:after="0" w:line="240" w:lineRule="auto"/>
              <w:rPr>
                <w:rFonts w:ascii="Times New Roman" w:hAnsi="Times New Roman"/>
                <w:color w:val="CC0000"/>
                <w:sz w:val="24"/>
                <w:szCs w:val="24"/>
              </w:rPr>
            </w:pPr>
            <w:r>
              <w:rPr>
                <w:rFonts w:ascii="Times New Roman" w:hAnsi="Times New Roman"/>
                <w:color w:val="CC0000"/>
                <w:sz w:val="24"/>
                <w:szCs w:val="24"/>
              </w:rPr>
              <w:t>XIX.</w:t>
            </w:r>
          </w:p>
        </w:tc>
        <w:tc>
          <w:tcPr>
            <w:tcW w:w="7770" w:type="dxa"/>
          </w:tcPr>
          <w:p w:rsidR="00FB6BE7" w:rsidRDefault="00FB6BE7" w:rsidP="00FB6BE7">
            <w:pPr>
              <w:spacing w:after="0" w:line="240" w:lineRule="auto"/>
              <w:rPr>
                <w:rFonts w:ascii="Times New Roman" w:hAnsi="Times New Roman"/>
                <w:color w:val="CC0000"/>
                <w:sz w:val="24"/>
                <w:szCs w:val="24"/>
              </w:rPr>
            </w:pPr>
            <w:r w:rsidRPr="00191855">
              <w:rPr>
                <w:rFonts w:ascii="Times New Roman" w:hAnsi="Times New Roman"/>
                <w:color w:val="CC0000"/>
                <w:sz w:val="24"/>
                <w:szCs w:val="24"/>
              </w:rPr>
              <w:t>Waste Water Treatment</w:t>
            </w:r>
          </w:p>
        </w:tc>
      </w:tr>
    </w:tbl>
    <w:p w:rsidR="00FB6BE7" w:rsidRPr="00ED7E20" w:rsidRDefault="00FB6BE7" w:rsidP="00FB6BE7">
      <w:pPr>
        <w:spacing w:after="0" w:line="240" w:lineRule="auto"/>
        <w:jc w:val="center"/>
        <w:rPr>
          <w:rFonts w:ascii="Times New Roman" w:hAnsi="Times New Roman"/>
          <w:b/>
          <w:caps/>
          <w:color w:val="000080"/>
          <w:sz w:val="24"/>
          <w:szCs w:val="24"/>
          <w:u w:val="single"/>
        </w:rPr>
      </w:pPr>
      <w:r w:rsidRPr="00ED7E20">
        <w:rPr>
          <w:rFonts w:ascii="Times New Roman" w:hAnsi="Times New Roman"/>
          <w:b/>
          <w:caps/>
          <w:color w:val="000080"/>
          <w:sz w:val="24"/>
          <w:szCs w:val="24"/>
          <w:u w:val="single"/>
        </w:rPr>
        <w:t>Emission Control Alternatives</w:t>
      </w:r>
    </w:p>
    <w:p w:rsidR="00FB6BE7" w:rsidRPr="00ED7E20" w:rsidRDefault="00FB6BE7" w:rsidP="00FB6BE7">
      <w:pPr>
        <w:spacing w:after="0" w:line="240" w:lineRule="auto"/>
        <w:rPr>
          <w:rFonts w:ascii="Times New Roman" w:hAnsi="Times New Roman"/>
          <w:color w:val="333399"/>
          <w:sz w:val="24"/>
          <w:szCs w:val="24"/>
        </w:rPr>
      </w:pPr>
    </w:p>
    <w:p w:rsidR="00FB6BE7" w:rsidRPr="00ED7E20" w:rsidRDefault="00FB6BE7" w:rsidP="00FB6BE7">
      <w:pPr>
        <w:spacing w:after="0" w:line="240" w:lineRule="auto"/>
        <w:rPr>
          <w:rFonts w:ascii="Times New Roman" w:hAnsi="Times New Roman"/>
          <w:sz w:val="24"/>
          <w:szCs w:val="24"/>
        </w:rPr>
      </w:pPr>
    </w:p>
    <w:p w:rsidR="00FB6BE7" w:rsidRPr="00ED7E20" w:rsidRDefault="00FB6BE7" w:rsidP="00FB6BE7">
      <w:pPr>
        <w:tabs>
          <w:tab w:val="left" w:pos="540"/>
        </w:tabs>
        <w:spacing w:after="0" w:line="240" w:lineRule="auto"/>
        <w:rPr>
          <w:rFonts w:ascii="Times New Roman" w:hAnsi="Times New Roman"/>
          <w:b/>
          <w:color w:val="CC0000"/>
          <w:sz w:val="24"/>
          <w:szCs w:val="24"/>
        </w:rPr>
      </w:pPr>
      <w:r w:rsidRPr="00ED7E20">
        <w:rPr>
          <w:rFonts w:ascii="Times New Roman" w:hAnsi="Times New Roman"/>
          <w:b/>
          <w:color w:val="CC0000"/>
          <w:sz w:val="24"/>
          <w:szCs w:val="24"/>
        </w:rPr>
        <w:t>I.</w:t>
      </w:r>
      <w:r>
        <w:rPr>
          <w:rFonts w:ascii="Times New Roman" w:hAnsi="Times New Roman"/>
          <w:b/>
          <w:color w:val="CC0000"/>
          <w:sz w:val="24"/>
          <w:szCs w:val="24"/>
        </w:rPr>
        <w:tab/>
      </w:r>
      <w:r w:rsidRPr="00ED7E20">
        <w:rPr>
          <w:rFonts w:ascii="Times New Roman" w:hAnsi="Times New Roman"/>
          <w:b/>
          <w:color w:val="CC0000"/>
          <w:sz w:val="24"/>
          <w:szCs w:val="24"/>
          <w:u w:val="single"/>
        </w:rPr>
        <w:t>Selective Catalytic Reduction (SCR)</w:t>
      </w:r>
    </w:p>
    <w:p w:rsidR="00FB6BE7" w:rsidRPr="00ED7E20" w:rsidRDefault="00FB6BE7" w:rsidP="00FB6BE7">
      <w:pPr>
        <w:spacing w:after="0" w:line="240" w:lineRule="auto"/>
        <w:rPr>
          <w:rFonts w:ascii="Times New Roman" w:hAnsi="Times New Roman"/>
          <w:sz w:val="24"/>
          <w:szCs w:val="24"/>
        </w:rPr>
      </w:pPr>
    </w:p>
    <w:p w:rsidR="00FB6BE7" w:rsidRPr="00ED7E20" w:rsidRDefault="00FB6BE7" w:rsidP="00FB6BE7">
      <w:pPr>
        <w:spacing w:after="0" w:line="240" w:lineRule="auto"/>
        <w:rPr>
          <w:rFonts w:ascii="Times New Roman" w:hAnsi="Times New Roman"/>
          <w:sz w:val="24"/>
          <w:szCs w:val="24"/>
        </w:rPr>
      </w:pPr>
      <w:r w:rsidRPr="00ED7E20">
        <w:rPr>
          <w:rFonts w:ascii="Times New Roman" w:hAnsi="Times New Roman"/>
          <w:sz w:val="24"/>
          <w:szCs w:val="24"/>
        </w:rPr>
        <w:t>SCR technology involves the catalytic reaction of ammonia (NH</w:t>
      </w:r>
      <w:r w:rsidRPr="00ED7E20">
        <w:rPr>
          <w:rFonts w:ascii="Times New Roman" w:hAnsi="Times New Roman"/>
          <w:sz w:val="24"/>
          <w:szCs w:val="24"/>
          <w:vertAlign w:val="subscript"/>
        </w:rPr>
        <w:t>3</w:t>
      </w:r>
      <w:r w:rsidRPr="00ED7E20">
        <w:rPr>
          <w:rFonts w:ascii="Times New Roman" w:hAnsi="Times New Roman"/>
          <w:sz w:val="24"/>
          <w:szCs w:val="24"/>
        </w:rPr>
        <w:t>), which is injected into the flue gas, with NO</w:t>
      </w:r>
      <w:r w:rsidRPr="00ED7E20">
        <w:rPr>
          <w:rFonts w:ascii="Times New Roman" w:hAnsi="Times New Roman"/>
          <w:sz w:val="24"/>
          <w:szCs w:val="24"/>
          <w:vertAlign w:val="subscript"/>
        </w:rPr>
        <w:t>X</w:t>
      </w:r>
      <w:r w:rsidRPr="00ED7E20">
        <w:rPr>
          <w:rFonts w:ascii="Times New Roman" w:hAnsi="Times New Roman"/>
          <w:sz w:val="24"/>
          <w:szCs w:val="24"/>
        </w:rPr>
        <w:t xml:space="preserve"> to produce molecular nitrogen (N</w:t>
      </w:r>
      <w:r w:rsidRPr="00ED7E20">
        <w:rPr>
          <w:rFonts w:ascii="Times New Roman" w:hAnsi="Times New Roman"/>
          <w:sz w:val="24"/>
          <w:szCs w:val="24"/>
          <w:vertAlign w:val="subscript"/>
        </w:rPr>
        <w:t>2</w:t>
      </w:r>
      <w:r w:rsidRPr="00ED7E20">
        <w:rPr>
          <w:rFonts w:ascii="Times New Roman" w:hAnsi="Times New Roman"/>
          <w:sz w:val="24"/>
          <w:szCs w:val="24"/>
        </w:rPr>
        <w:t>) and water vapor.  These reactions take place across multiple layers of catalyst in the SCR reactor and generally result in a NO</w:t>
      </w:r>
      <w:r w:rsidRPr="00ED7E20">
        <w:rPr>
          <w:rFonts w:ascii="Times New Roman" w:hAnsi="Times New Roman"/>
          <w:sz w:val="24"/>
          <w:szCs w:val="24"/>
          <w:vertAlign w:val="subscript"/>
        </w:rPr>
        <w:t>X</w:t>
      </w:r>
      <w:r w:rsidRPr="00ED7E20">
        <w:rPr>
          <w:rFonts w:ascii="Times New Roman" w:hAnsi="Times New Roman"/>
          <w:sz w:val="24"/>
          <w:szCs w:val="24"/>
        </w:rPr>
        <w:t xml:space="preserve"> reduction capability of 85 to 90 percent depending upon the particular application.  Theoretically, the NO</w:t>
      </w:r>
      <w:r w:rsidRPr="00ED7E20">
        <w:rPr>
          <w:rFonts w:ascii="Times New Roman" w:hAnsi="Times New Roman"/>
          <w:sz w:val="24"/>
          <w:szCs w:val="24"/>
          <w:vertAlign w:val="subscript"/>
        </w:rPr>
        <w:t>X</w:t>
      </w:r>
      <w:r w:rsidRPr="00ED7E20">
        <w:rPr>
          <w:rFonts w:ascii="Times New Roman" w:hAnsi="Times New Roman"/>
          <w:sz w:val="24"/>
          <w:szCs w:val="24"/>
        </w:rPr>
        <w:t xml:space="preserve"> and ammonia react in the presence of SCR catalysts</w:t>
      </w:r>
      <w:r>
        <w:rPr>
          <w:rFonts w:ascii="Times New Roman" w:hAnsi="Times New Roman"/>
          <w:sz w:val="24"/>
          <w:szCs w:val="24"/>
        </w:rPr>
        <w:t xml:space="preserve">.  </w:t>
      </w:r>
      <w:r w:rsidRPr="00ED7E20">
        <w:rPr>
          <w:rFonts w:ascii="Times New Roman" w:hAnsi="Times New Roman"/>
          <w:sz w:val="24"/>
          <w:szCs w:val="24"/>
        </w:rPr>
        <w:t xml:space="preserve"> However, side reactions that produce undesirable byproducts can occur between ammonia and sulfur trioxide (SO</w:t>
      </w:r>
      <w:r w:rsidRPr="00ED7E20">
        <w:rPr>
          <w:rFonts w:ascii="Times New Roman" w:hAnsi="Times New Roman"/>
          <w:sz w:val="24"/>
          <w:szCs w:val="24"/>
          <w:vertAlign w:val="subscript"/>
        </w:rPr>
        <w:t>3</w:t>
      </w:r>
      <w:r w:rsidRPr="00ED7E20">
        <w:rPr>
          <w:rFonts w:ascii="Times New Roman" w:hAnsi="Times New Roman"/>
          <w:sz w:val="24"/>
          <w:szCs w:val="24"/>
        </w:rPr>
        <w:t xml:space="preserve">) in the flue gas.  </w:t>
      </w:r>
    </w:p>
    <w:p w:rsidR="00FB6BE7" w:rsidRPr="00ED7E20" w:rsidRDefault="00FB6BE7" w:rsidP="00FB6BE7">
      <w:pPr>
        <w:spacing w:after="0" w:line="240" w:lineRule="auto"/>
        <w:rPr>
          <w:rFonts w:ascii="Times New Roman" w:hAnsi="Times New Roman"/>
          <w:sz w:val="16"/>
          <w:szCs w:val="16"/>
        </w:rPr>
      </w:pPr>
    </w:p>
    <w:p w:rsidR="00FB6BE7" w:rsidRPr="00ED7E20" w:rsidRDefault="00FB6BE7" w:rsidP="00FB6BE7">
      <w:pPr>
        <w:spacing w:after="0" w:line="240" w:lineRule="auto"/>
        <w:rPr>
          <w:rFonts w:ascii="Times New Roman" w:hAnsi="Times New Roman"/>
          <w:sz w:val="24"/>
          <w:szCs w:val="24"/>
        </w:rPr>
      </w:pPr>
      <w:r w:rsidRPr="00ED7E20">
        <w:rPr>
          <w:rFonts w:ascii="Times New Roman" w:hAnsi="Times New Roman"/>
          <w:sz w:val="24"/>
          <w:szCs w:val="24"/>
        </w:rPr>
        <w:t>The SCR operating temperature ranges from 550 to 750°F.  As a result, the SCR system normally is located in a high-dust configuration between the boiler economizer flue gas outlet and the air preheater flue gas inlet where the above temperature range normally occurs.  Prior to entering the reactor, ammonia is injected into the flue gas at a sufficient distance upstream of the reactor to provide for adequate mixing of the ammonia and flue gas.  The quantity of ammonia injected is adjusted to maintain the desired NO</w:t>
      </w:r>
      <w:r w:rsidRPr="00ED7E20">
        <w:rPr>
          <w:rFonts w:ascii="Times New Roman" w:hAnsi="Times New Roman"/>
          <w:sz w:val="24"/>
          <w:szCs w:val="24"/>
          <w:vertAlign w:val="subscript"/>
        </w:rPr>
        <w:t>X</w:t>
      </w:r>
      <w:r w:rsidRPr="00ED7E20">
        <w:rPr>
          <w:rFonts w:ascii="Times New Roman" w:hAnsi="Times New Roman"/>
          <w:sz w:val="24"/>
          <w:szCs w:val="24"/>
        </w:rPr>
        <w:t xml:space="preserve"> reduction level (within design limits).  NO</w:t>
      </w:r>
      <w:r w:rsidRPr="00ED7E20">
        <w:rPr>
          <w:rFonts w:ascii="Times New Roman" w:hAnsi="Times New Roman"/>
          <w:sz w:val="24"/>
          <w:szCs w:val="24"/>
          <w:vertAlign w:val="subscript"/>
        </w:rPr>
        <w:t>X</w:t>
      </w:r>
      <w:r w:rsidRPr="00ED7E20">
        <w:rPr>
          <w:rFonts w:ascii="Times New Roman" w:hAnsi="Times New Roman"/>
          <w:sz w:val="24"/>
          <w:szCs w:val="24"/>
        </w:rPr>
        <w:t xml:space="preserve"> emissions are reduced in direct proportion to the quantity of ammonia injected up to an ammonia-to-NO</w:t>
      </w:r>
      <w:r w:rsidRPr="00ED7E20">
        <w:rPr>
          <w:rFonts w:ascii="Times New Roman" w:hAnsi="Times New Roman"/>
          <w:sz w:val="24"/>
          <w:szCs w:val="24"/>
          <w:vertAlign w:val="subscript"/>
        </w:rPr>
        <w:t>X</w:t>
      </w:r>
      <w:r w:rsidRPr="00ED7E20">
        <w:rPr>
          <w:rFonts w:ascii="Times New Roman" w:hAnsi="Times New Roman"/>
          <w:sz w:val="24"/>
          <w:szCs w:val="24"/>
        </w:rPr>
        <w:t xml:space="preserve"> ratio (NH</w:t>
      </w:r>
      <w:r w:rsidRPr="00ED7E20">
        <w:rPr>
          <w:rFonts w:ascii="Times New Roman" w:hAnsi="Times New Roman"/>
          <w:sz w:val="24"/>
          <w:szCs w:val="24"/>
          <w:vertAlign w:val="subscript"/>
        </w:rPr>
        <w:t>3</w:t>
      </w:r>
      <w:r w:rsidRPr="00ED7E20">
        <w:rPr>
          <w:rFonts w:ascii="Times New Roman" w:hAnsi="Times New Roman"/>
          <w:sz w:val="24"/>
          <w:szCs w:val="24"/>
        </w:rPr>
        <w:t>/NO</w:t>
      </w:r>
      <w:r w:rsidRPr="00ED7E20">
        <w:rPr>
          <w:rFonts w:ascii="Times New Roman" w:hAnsi="Times New Roman"/>
          <w:sz w:val="24"/>
          <w:szCs w:val="24"/>
          <w:vertAlign w:val="subscript"/>
        </w:rPr>
        <w:t>X</w:t>
      </w:r>
      <w:r w:rsidRPr="00ED7E20">
        <w:rPr>
          <w:rFonts w:ascii="Times New Roman" w:hAnsi="Times New Roman"/>
          <w:sz w:val="24"/>
          <w:szCs w:val="24"/>
        </w:rPr>
        <w:t>) of approximately 0.80.  Above this value (and as the activity of the catalyst declines with age), some of the ammonia can escape the SCR reactor as ammonia slip.  This ammonia can react with small quantities of SO</w:t>
      </w:r>
      <w:r w:rsidRPr="00ED7E20">
        <w:rPr>
          <w:rFonts w:ascii="Times New Roman" w:hAnsi="Times New Roman"/>
          <w:sz w:val="24"/>
          <w:szCs w:val="24"/>
          <w:vertAlign w:val="subscript"/>
        </w:rPr>
        <w:t>3</w:t>
      </w:r>
      <w:r w:rsidRPr="00ED7E20">
        <w:rPr>
          <w:rFonts w:ascii="Times New Roman" w:hAnsi="Times New Roman"/>
          <w:sz w:val="24"/>
          <w:szCs w:val="24"/>
        </w:rPr>
        <w:t xml:space="preserve"> present in the flue gas to form ammonium bisulfate, which can foul and/or increase the corrosion potential for downstream equipment.</w:t>
      </w:r>
    </w:p>
    <w:p w:rsidR="00FB6BE7" w:rsidRPr="00ED7E20" w:rsidRDefault="00FB6BE7" w:rsidP="00FB6BE7">
      <w:pPr>
        <w:spacing w:after="0" w:line="240" w:lineRule="auto"/>
        <w:rPr>
          <w:rFonts w:ascii="Times New Roman" w:hAnsi="Times New Roman"/>
          <w:sz w:val="24"/>
          <w:szCs w:val="24"/>
        </w:rPr>
      </w:pPr>
    </w:p>
    <w:p w:rsidR="00FB6BE7" w:rsidRPr="00ED7E20" w:rsidRDefault="00FB6BE7" w:rsidP="00FB6BE7">
      <w:pPr>
        <w:tabs>
          <w:tab w:val="left" w:pos="540"/>
        </w:tabs>
        <w:spacing w:after="0" w:line="240" w:lineRule="auto"/>
        <w:rPr>
          <w:rFonts w:ascii="Times New Roman" w:hAnsi="Times New Roman"/>
          <w:b/>
          <w:color w:val="CC0000"/>
          <w:sz w:val="24"/>
          <w:szCs w:val="24"/>
        </w:rPr>
      </w:pPr>
      <w:r w:rsidRPr="00ED7E20">
        <w:rPr>
          <w:rFonts w:ascii="Times New Roman" w:hAnsi="Times New Roman"/>
          <w:b/>
          <w:color w:val="CC0000"/>
          <w:sz w:val="24"/>
          <w:szCs w:val="24"/>
        </w:rPr>
        <w:t>II.</w:t>
      </w:r>
      <w:r>
        <w:rPr>
          <w:rFonts w:ascii="Times New Roman" w:hAnsi="Times New Roman"/>
          <w:b/>
          <w:color w:val="CC0000"/>
          <w:sz w:val="24"/>
          <w:szCs w:val="24"/>
        </w:rPr>
        <w:tab/>
      </w:r>
      <w:r w:rsidRPr="00ED7E20">
        <w:rPr>
          <w:rFonts w:ascii="Times New Roman" w:hAnsi="Times New Roman"/>
          <w:b/>
          <w:color w:val="CC0000"/>
          <w:sz w:val="24"/>
          <w:szCs w:val="24"/>
          <w:u w:val="single"/>
        </w:rPr>
        <w:t>Selective Noncatalytic Reduction (SNCR)</w:t>
      </w:r>
    </w:p>
    <w:p w:rsidR="00FB6BE7" w:rsidRPr="00ED7E20" w:rsidRDefault="00FB6BE7" w:rsidP="00FB6BE7">
      <w:pPr>
        <w:spacing w:after="0" w:line="240" w:lineRule="auto"/>
        <w:rPr>
          <w:rFonts w:ascii="Times New Roman" w:hAnsi="Times New Roman"/>
          <w:sz w:val="24"/>
          <w:szCs w:val="24"/>
        </w:rPr>
      </w:pPr>
    </w:p>
    <w:p w:rsidR="00FB6BE7" w:rsidRPr="00ED7E20" w:rsidRDefault="00FB6BE7" w:rsidP="00FB6BE7">
      <w:pPr>
        <w:spacing w:after="0" w:line="240" w:lineRule="auto"/>
        <w:rPr>
          <w:rFonts w:ascii="Times New Roman" w:hAnsi="Times New Roman"/>
          <w:sz w:val="24"/>
          <w:szCs w:val="24"/>
        </w:rPr>
      </w:pPr>
      <w:r w:rsidRPr="00ED7E20">
        <w:rPr>
          <w:rFonts w:ascii="Times New Roman" w:hAnsi="Times New Roman"/>
          <w:sz w:val="24"/>
          <w:szCs w:val="24"/>
        </w:rPr>
        <w:t>SNCR employs chemical injection of ammonia or urea directly into the boiler at a flue gas temperature between 1,600 and 2,100°F.  In this temperature range, which is typically near the top of the boiler close to the furnace exit or in the convective pass, the reagent reacts with NO</w:t>
      </w:r>
      <w:r w:rsidRPr="00ED7E20">
        <w:rPr>
          <w:rFonts w:ascii="Times New Roman" w:hAnsi="Times New Roman"/>
          <w:sz w:val="24"/>
          <w:szCs w:val="24"/>
          <w:vertAlign w:val="subscript"/>
        </w:rPr>
        <w:t>X</w:t>
      </w:r>
      <w:r w:rsidRPr="00ED7E20">
        <w:rPr>
          <w:rFonts w:ascii="Times New Roman" w:hAnsi="Times New Roman"/>
          <w:sz w:val="24"/>
          <w:szCs w:val="24"/>
        </w:rPr>
        <w:t xml:space="preserve"> to form nitrogen and water without the use of a catalyst to promote the reaction.</w:t>
      </w:r>
    </w:p>
    <w:p w:rsidR="00FB6BE7" w:rsidRPr="00ED7E20" w:rsidRDefault="00FB6BE7" w:rsidP="00FB6BE7">
      <w:pPr>
        <w:spacing w:after="0" w:line="240" w:lineRule="auto"/>
        <w:rPr>
          <w:rFonts w:ascii="Times New Roman" w:hAnsi="Times New Roman"/>
          <w:sz w:val="24"/>
          <w:szCs w:val="24"/>
        </w:rPr>
      </w:pPr>
    </w:p>
    <w:p w:rsidR="00FB6BE7" w:rsidRDefault="00FB6BE7" w:rsidP="00FB6BE7">
      <w:pPr>
        <w:spacing w:after="0" w:line="240" w:lineRule="auto"/>
        <w:rPr>
          <w:rFonts w:ascii="Times New Roman" w:hAnsi="Times New Roman"/>
          <w:sz w:val="24"/>
          <w:szCs w:val="24"/>
        </w:rPr>
      </w:pPr>
      <w:r w:rsidRPr="00ED7E20">
        <w:rPr>
          <w:rFonts w:ascii="Times New Roman" w:hAnsi="Times New Roman"/>
          <w:sz w:val="24"/>
          <w:szCs w:val="24"/>
        </w:rPr>
        <w:t>As with SCR, the ammonia slip constraint imposes a limit on the maximum amount of NO</w:t>
      </w:r>
      <w:r w:rsidRPr="00ED7E20">
        <w:rPr>
          <w:rFonts w:ascii="Times New Roman" w:hAnsi="Times New Roman"/>
          <w:sz w:val="24"/>
          <w:szCs w:val="24"/>
          <w:vertAlign w:val="subscript"/>
        </w:rPr>
        <w:t>X</w:t>
      </w:r>
      <w:r w:rsidRPr="00ED7E20">
        <w:rPr>
          <w:rFonts w:ascii="Times New Roman" w:hAnsi="Times New Roman"/>
          <w:sz w:val="24"/>
          <w:szCs w:val="24"/>
        </w:rPr>
        <w:t xml:space="preserve"> that can be removed with the SNCR process.  Because the process is so temperature sensitive, the ability to follow boiler load becomes critical when constrained by ammonia slip limits.  Advanced SNCR systems use retractable injection lances that improve load-following control for the process.  These lances use a “jet curtain” to provide better cross-sectional coverage and rotation of the lance allows for better response to process signals such as boiler load or furnace temperature.</w:t>
      </w:r>
    </w:p>
    <w:p w:rsidR="00FB6BE7" w:rsidRPr="00ED7E20" w:rsidRDefault="00FB6BE7" w:rsidP="00FB6BE7">
      <w:pPr>
        <w:spacing w:after="0" w:line="240" w:lineRule="auto"/>
        <w:rPr>
          <w:rFonts w:ascii="Times New Roman" w:hAnsi="Times New Roman"/>
          <w:sz w:val="24"/>
          <w:szCs w:val="24"/>
        </w:rPr>
      </w:pPr>
    </w:p>
    <w:p w:rsidR="00FB6BE7" w:rsidRPr="00ED7E20" w:rsidRDefault="00FB6BE7" w:rsidP="00FB6BE7">
      <w:pPr>
        <w:spacing w:after="0" w:line="240" w:lineRule="auto"/>
        <w:rPr>
          <w:rFonts w:ascii="Times New Roman" w:hAnsi="Times New Roman"/>
          <w:sz w:val="24"/>
          <w:szCs w:val="24"/>
        </w:rPr>
      </w:pPr>
      <w:r w:rsidRPr="00ED7E20">
        <w:rPr>
          <w:rFonts w:ascii="Times New Roman" w:hAnsi="Times New Roman"/>
          <w:sz w:val="24"/>
          <w:szCs w:val="24"/>
        </w:rPr>
        <w:t>Application of SNCR to utility-scale boilers is highly site specific.  Generally, SNCR is capable of 15- to 40-percent NO</w:t>
      </w:r>
      <w:r w:rsidRPr="00ED7E20">
        <w:rPr>
          <w:rFonts w:ascii="Times New Roman" w:hAnsi="Times New Roman"/>
          <w:sz w:val="24"/>
          <w:szCs w:val="24"/>
          <w:vertAlign w:val="subscript"/>
        </w:rPr>
        <w:t>X</w:t>
      </w:r>
      <w:r w:rsidRPr="00ED7E20">
        <w:rPr>
          <w:rFonts w:ascii="Times New Roman" w:hAnsi="Times New Roman"/>
          <w:sz w:val="24"/>
          <w:szCs w:val="24"/>
        </w:rPr>
        <w:t xml:space="preserve"> removal, consistent with a 5-ppm ammonia slip constraint.  Removal levels above 40 to 50 percent are difficult to achieve due to the high-ammonia slip that is produced, the stringent requirements placed on the distributions for injected reagents, and the narrow temperature window required for the reaction.</w:t>
      </w:r>
    </w:p>
    <w:p w:rsidR="00FB6BE7" w:rsidRPr="00ED7E20" w:rsidRDefault="00FB6BE7" w:rsidP="00FB6BE7">
      <w:pPr>
        <w:spacing w:after="0" w:line="240" w:lineRule="auto"/>
        <w:rPr>
          <w:rFonts w:ascii="Times New Roman" w:hAnsi="Times New Roman"/>
          <w:sz w:val="24"/>
          <w:szCs w:val="24"/>
        </w:rPr>
      </w:pPr>
    </w:p>
    <w:p w:rsidR="00FB6BE7" w:rsidRPr="00ED7E20" w:rsidRDefault="00FB6BE7" w:rsidP="00FB6BE7">
      <w:pPr>
        <w:spacing w:after="0" w:line="240" w:lineRule="auto"/>
        <w:rPr>
          <w:rFonts w:ascii="Times New Roman" w:hAnsi="Times New Roman"/>
          <w:sz w:val="24"/>
          <w:szCs w:val="24"/>
        </w:rPr>
      </w:pPr>
      <w:r w:rsidRPr="00ED7E20">
        <w:rPr>
          <w:rFonts w:ascii="Times New Roman" w:hAnsi="Times New Roman"/>
          <w:sz w:val="24"/>
          <w:szCs w:val="24"/>
        </w:rPr>
        <w:t>One particular benefit of SNCR as compared to SCR is that capital cost is limited due to the absence of catalyst and the associated reactor vessel.  However, potentially much higher ammonia slip levels cause increased downstream problems.  In addition, the difficulty in meeting temperature and distribution requirements makes implementation of the technology difficult on many boilers, especially on a large scale boiler (typically greater than 300 MW).  SNCR systems also generally require more reducing agent for a given NO</w:t>
      </w:r>
      <w:r w:rsidRPr="00ED7E20">
        <w:rPr>
          <w:rFonts w:ascii="Times New Roman" w:hAnsi="Times New Roman"/>
          <w:sz w:val="24"/>
          <w:szCs w:val="24"/>
          <w:vertAlign w:val="subscript"/>
        </w:rPr>
        <w:t>X</w:t>
      </w:r>
      <w:r w:rsidRPr="00ED7E20">
        <w:rPr>
          <w:rFonts w:ascii="Times New Roman" w:hAnsi="Times New Roman"/>
          <w:sz w:val="24"/>
          <w:szCs w:val="24"/>
        </w:rPr>
        <w:t xml:space="preserve"> reduction than do SCR systems since part of the reducing agent can be oxidized at the higher injection temperature, representing an initial loss of reagent.  Furthermore, the oxidation product is often NO</w:t>
      </w:r>
      <w:r w:rsidRPr="00ED7E20">
        <w:rPr>
          <w:rFonts w:ascii="Times New Roman" w:hAnsi="Times New Roman"/>
          <w:sz w:val="24"/>
          <w:szCs w:val="24"/>
          <w:vertAlign w:val="subscript"/>
        </w:rPr>
        <w:t>X</w:t>
      </w:r>
      <w:r w:rsidRPr="00ED7E20">
        <w:rPr>
          <w:rFonts w:ascii="Times New Roman" w:hAnsi="Times New Roman"/>
          <w:sz w:val="24"/>
          <w:szCs w:val="24"/>
        </w:rPr>
        <w:t>, requiring additional reagent</w:t>
      </w:r>
      <w:r w:rsidR="002F2289">
        <w:rPr>
          <w:rFonts w:ascii="Times New Roman" w:hAnsi="Times New Roman"/>
          <w:sz w:val="24"/>
          <w:szCs w:val="24"/>
        </w:rPr>
        <w:t xml:space="preserve"> (ammonia)</w:t>
      </w:r>
      <w:r w:rsidRPr="00ED7E20">
        <w:rPr>
          <w:rFonts w:ascii="Times New Roman" w:hAnsi="Times New Roman"/>
          <w:sz w:val="24"/>
          <w:szCs w:val="24"/>
        </w:rPr>
        <w:t xml:space="preserve"> to remove the NO</w:t>
      </w:r>
      <w:r w:rsidRPr="00ED7E20">
        <w:rPr>
          <w:rFonts w:ascii="Times New Roman" w:hAnsi="Times New Roman"/>
          <w:sz w:val="24"/>
          <w:szCs w:val="24"/>
          <w:vertAlign w:val="subscript"/>
        </w:rPr>
        <w:t>X</w:t>
      </w:r>
      <w:r w:rsidRPr="00ED7E20">
        <w:rPr>
          <w:rFonts w:ascii="Times New Roman" w:hAnsi="Times New Roman"/>
          <w:sz w:val="24"/>
          <w:szCs w:val="24"/>
        </w:rPr>
        <w:t xml:space="preserve"> formed via oxidation.</w:t>
      </w:r>
    </w:p>
    <w:p w:rsidR="00FB6BE7" w:rsidRPr="00ED7E20" w:rsidRDefault="00FB6BE7" w:rsidP="00FB6BE7">
      <w:pPr>
        <w:spacing w:after="0" w:line="240" w:lineRule="auto"/>
        <w:rPr>
          <w:rFonts w:ascii="Times New Roman" w:hAnsi="Times New Roman"/>
          <w:sz w:val="24"/>
          <w:szCs w:val="24"/>
        </w:rPr>
      </w:pPr>
    </w:p>
    <w:p w:rsidR="00FB6BE7" w:rsidRPr="00E01048" w:rsidRDefault="00FB6BE7" w:rsidP="00FB6BE7">
      <w:pPr>
        <w:tabs>
          <w:tab w:val="left" w:pos="540"/>
        </w:tabs>
        <w:spacing w:after="0" w:line="240" w:lineRule="auto"/>
        <w:rPr>
          <w:rFonts w:ascii="Times New Roman" w:hAnsi="Times New Roman"/>
          <w:b/>
          <w:color w:val="C00000"/>
          <w:sz w:val="24"/>
          <w:szCs w:val="24"/>
        </w:rPr>
      </w:pPr>
      <w:r w:rsidRPr="00E01048">
        <w:rPr>
          <w:rFonts w:ascii="Times New Roman" w:hAnsi="Times New Roman"/>
          <w:b/>
          <w:color w:val="C00000"/>
          <w:sz w:val="24"/>
          <w:szCs w:val="24"/>
        </w:rPr>
        <w:t>III.</w:t>
      </w:r>
      <w:r>
        <w:rPr>
          <w:rFonts w:ascii="Times New Roman" w:hAnsi="Times New Roman"/>
          <w:b/>
          <w:color w:val="C00000"/>
          <w:sz w:val="24"/>
          <w:szCs w:val="24"/>
        </w:rPr>
        <w:tab/>
      </w:r>
      <w:r>
        <w:rPr>
          <w:rFonts w:ascii="Times New Roman" w:hAnsi="Times New Roman"/>
          <w:b/>
          <w:color w:val="C00000"/>
          <w:sz w:val="24"/>
          <w:szCs w:val="24"/>
          <w:u w:val="single"/>
        </w:rPr>
        <w:t>Fuel Switch to Natural Gas</w:t>
      </w:r>
    </w:p>
    <w:p w:rsidR="00FB6BE7" w:rsidRPr="00191855" w:rsidRDefault="00FB6BE7" w:rsidP="00FB6BE7">
      <w:pPr>
        <w:spacing w:after="0" w:line="240" w:lineRule="auto"/>
        <w:rPr>
          <w:rFonts w:ascii="Times New Roman" w:hAnsi="Times New Roman"/>
          <w:sz w:val="24"/>
          <w:szCs w:val="24"/>
        </w:rPr>
      </w:pPr>
    </w:p>
    <w:p w:rsidR="00FB6BE7" w:rsidRDefault="00FB6BE7" w:rsidP="00FB6BE7">
      <w:pPr>
        <w:spacing w:after="0" w:line="240" w:lineRule="auto"/>
        <w:rPr>
          <w:rFonts w:ascii="Times New Roman" w:hAnsi="Times New Roman"/>
          <w:sz w:val="24"/>
          <w:szCs w:val="24"/>
        </w:rPr>
      </w:pPr>
      <w:r w:rsidRPr="00191855">
        <w:rPr>
          <w:rFonts w:ascii="Times New Roman" w:hAnsi="Times New Roman"/>
          <w:sz w:val="24"/>
          <w:szCs w:val="24"/>
        </w:rPr>
        <w:t>Existing coal plants</w:t>
      </w:r>
      <w:r>
        <w:rPr>
          <w:rFonts w:ascii="Times New Roman" w:hAnsi="Times New Roman"/>
          <w:sz w:val="24"/>
          <w:szCs w:val="24"/>
        </w:rPr>
        <w:t xml:space="preserve"> can be partially or completely converted to burn natural gas instead of coal.  Since natural gas contains very little sulfur, sulfur oxide emissions can be reduced to a level that </w:t>
      </w:r>
      <w:r w:rsidR="002F2289">
        <w:rPr>
          <w:rFonts w:ascii="Times New Roman" w:hAnsi="Times New Roman"/>
          <w:sz w:val="24"/>
          <w:szCs w:val="24"/>
        </w:rPr>
        <w:t>is below</w:t>
      </w:r>
      <w:r>
        <w:rPr>
          <w:rFonts w:ascii="Times New Roman" w:hAnsi="Times New Roman"/>
          <w:sz w:val="24"/>
          <w:szCs w:val="24"/>
        </w:rPr>
        <w:t xml:space="preserve"> that produced by flue gas desulfurization.  Natural gas does not have constituents that remain after combustion to create ash, unlike coal where the natural minerals are transformed in the coal combustion process.  Trace metals, which are present in coal, are largely absent from natural gas and so they are not emitted from natural gas combustion.  </w:t>
      </w:r>
    </w:p>
    <w:p w:rsidR="00FB6BE7" w:rsidRDefault="00FB6BE7" w:rsidP="00FB6BE7">
      <w:pPr>
        <w:spacing w:after="0" w:line="240" w:lineRule="auto"/>
        <w:rPr>
          <w:rFonts w:ascii="Times New Roman" w:hAnsi="Times New Roman"/>
          <w:sz w:val="24"/>
          <w:szCs w:val="24"/>
        </w:rPr>
      </w:pPr>
    </w:p>
    <w:p w:rsidR="00FB6BE7" w:rsidRDefault="00FB6BE7" w:rsidP="00FB6BE7">
      <w:pPr>
        <w:spacing w:after="0" w:line="240" w:lineRule="auto"/>
        <w:rPr>
          <w:rFonts w:ascii="Times New Roman" w:hAnsi="Times New Roman"/>
          <w:sz w:val="24"/>
          <w:szCs w:val="24"/>
        </w:rPr>
      </w:pPr>
      <w:r>
        <w:rPr>
          <w:rFonts w:ascii="Times New Roman" w:hAnsi="Times New Roman"/>
          <w:sz w:val="24"/>
          <w:szCs w:val="24"/>
        </w:rPr>
        <w:t>Nitrogen oxides or NOx results from both fuel chemistry and from the air used in combustion.  Therefore, a natural gas conversion does not automatically eliminate emissions of nitrogen oxides.  The level of NOx in such a conversion is determined by the boiler design plus the presence and design of low NOx firing systems (see the next section).  Well designed and operated low NOx firing systems on coal boilers can produce similar NOx emissions to those seen in natural gas conversions.</w:t>
      </w:r>
    </w:p>
    <w:p w:rsidR="00FB6BE7" w:rsidRDefault="00FB6BE7" w:rsidP="00FB6BE7">
      <w:pPr>
        <w:spacing w:after="0" w:line="240" w:lineRule="auto"/>
        <w:rPr>
          <w:rFonts w:ascii="Times New Roman" w:hAnsi="Times New Roman"/>
          <w:sz w:val="24"/>
          <w:szCs w:val="24"/>
        </w:rPr>
      </w:pPr>
    </w:p>
    <w:p w:rsidR="00FB6BE7" w:rsidRDefault="00FB6BE7" w:rsidP="00FB6BE7">
      <w:pPr>
        <w:spacing w:after="0" w:line="240" w:lineRule="auto"/>
        <w:rPr>
          <w:rFonts w:ascii="Times New Roman" w:hAnsi="Times New Roman"/>
          <w:sz w:val="24"/>
          <w:szCs w:val="24"/>
        </w:rPr>
      </w:pPr>
      <w:r>
        <w:rPr>
          <w:rFonts w:ascii="Times New Roman" w:hAnsi="Times New Roman"/>
          <w:sz w:val="24"/>
          <w:szCs w:val="24"/>
        </w:rPr>
        <w:t xml:space="preserve">Natural gas steam electric boilers are not subject to the MATS rule, which also allows up to an annual 10% heat input from coal.  Thus a coal boiler which is switched to natural gas could still use coal as a backup fuel and not be subject to MATS requirements.  </w:t>
      </w:r>
    </w:p>
    <w:p w:rsidR="00FB6BE7" w:rsidRDefault="00FB6BE7" w:rsidP="00FB6BE7">
      <w:pPr>
        <w:spacing w:after="0" w:line="240" w:lineRule="auto"/>
        <w:rPr>
          <w:rFonts w:ascii="Times New Roman" w:hAnsi="Times New Roman"/>
          <w:sz w:val="24"/>
          <w:szCs w:val="24"/>
        </w:rPr>
      </w:pPr>
    </w:p>
    <w:p w:rsidR="00FB6BE7" w:rsidRPr="00191855" w:rsidRDefault="00FB6BE7" w:rsidP="00FB6BE7">
      <w:pPr>
        <w:spacing w:after="0" w:line="240" w:lineRule="auto"/>
        <w:rPr>
          <w:rFonts w:ascii="Times New Roman" w:hAnsi="Times New Roman"/>
          <w:sz w:val="24"/>
          <w:szCs w:val="24"/>
        </w:rPr>
      </w:pPr>
      <w:r>
        <w:rPr>
          <w:rFonts w:ascii="Times New Roman" w:hAnsi="Times New Roman"/>
          <w:sz w:val="24"/>
          <w:szCs w:val="24"/>
        </w:rPr>
        <w:t>The choice of switching a coal boiler to natural gas is complex, with many factors to be considered.  The location of natural gas pipelines, the availability of natural gas in either summer or winter, the energy diversity of the generating fleet, the other environmental regulations surrounding coal ash and water treatment, and local ambient air attainment status all have to be considered.  Switching a coal unit to natural gas can produce lower emissions and – if natural gas prices remain low – produce affordable electricity for customers.</w:t>
      </w:r>
    </w:p>
    <w:p w:rsidR="00FB6BE7" w:rsidRPr="00191855" w:rsidRDefault="00FB6BE7" w:rsidP="00FB6BE7">
      <w:pPr>
        <w:spacing w:after="0" w:line="240" w:lineRule="auto"/>
        <w:rPr>
          <w:rFonts w:ascii="Times New Roman" w:hAnsi="Times New Roman"/>
          <w:sz w:val="24"/>
          <w:szCs w:val="24"/>
        </w:rPr>
      </w:pPr>
    </w:p>
    <w:p w:rsidR="00FB6BE7" w:rsidRPr="00ED7E20" w:rsidRDefault="00FB6BE7" w:rsidP="00FB6BE7">
      <w:pPr>
        <w:keepNext/>
        <w:keepLines/>
        <w:tabs>
          <w:tab w:val="left" w:pos="540"/>
        </w:tabs>
        <w:spacing w:after="0" w:line="240" w:lineRule="auto"/>
        <w:rPr>
          <w:rFonts w:ascii="Times New Roman" w:hAnsi="Times New Roman"/>
          <w:b/>
          <w:color w:val="CC0000"/>
          <w:sz w:val="24"/>
          <w:szCs w:val="24"/>
        </w:rPr>
      </w:pPr>
      <w:r w:rsidRPr="0063611C">
        <w:rPr>
          <w:rFonts w:ascii="Times New Roman" w:hAnsi="Times New Roman"/>
          <w:b/>
          <w:color w:val="CC0000"/>
          <w:sz w:val="24"/>
          <w:szCs w:val="24"/>
        </w:rPr>
        <w:t>IV.</w:t>
      </w:r>
      <w:r>
        <w:rPr>
          <w:rFonts w:ascii="Times New Roman" w:hAnsi="Times New Roman"/>
          <w:b/>
          <w:color w:val="CC0000"/>
          <w:sz w:val="24"/>
          <w:szCs w:val="24"/>
        </w:rPr>
        <w:tab/>
      </w:r>
      <w:r w:rsidRPr="00ED7E20">
        <w:rPr>
          <w:rFonts w:ascii="Times New Roman" w:hAnsi="Times New Roman"/>
          <w:b/>
          <w:color w:val="CC0000"/>
          <w:sz w:val="24"/>
          <w:szCs w:val="24"/>
          <w:u w:val="single"/>
        </w:rPr>
        <w:t>Low-NO</w:t>
      </w:r>
      <w:r w:rsidRPr="00ED7E20">
        <w:rPr>
          <w:rFonts w:ascii="Times New Roman" w:hAnsi="Times New Roman"/>
          <w:b/>
          <w:color w:val="CC0000"/>
          <w:sz w:val="24"/>
          <w:szCs w:val="24"/>
          <w:u w:val="single"/>
          <w:vertAlign w:val="subscript"/>
        </w:rPr>
        <w:t>X</w:t>
      </w:r>
      <w:r w:rsidRPr="00ED7E20">
        <w:rPr>
          <w:rFonts w:ascii="Times New Roman" w:hAnsi="Times New Roman"/>
          <w:b/>
          <w:color w:val="CC0000"/>
          <w:sz w:val="24"/>
          <w:szCs w:val="24"/>
          <w:u w:val="single"/>
        </w:rPr>
        <w:t xml:space="preserve"> Burners (LNBs)</w:t>
      </w:r>
      <w:r>
        <w:rPr>
          <w:rFonts w:ascii="Times New Roman" w:hAnsi="Times New Roman"/>
          <w:b/>
          <w:color w:val="CC0000"/>
          <w:sz w:val="24"/>
          <w:szCs w:val="24"/>
          <w:u w:val="single"/>
        </w:rPr>
        <w:t xml:space="preserve"> and Overfire Air (OFA)</w:t>
      </w:r>
    </w:p>
    <w:p w:rsidR="00FB6BE7" w:rsidRPr="00ED7E20" w:rsidRDefault="00FB6BE7" w:rsidP="00FB6BE7">
      <w:pPr>
        <w:keepNext/>
        <w:keepLines/>
        <w:spacing w:after="0" w:line="240" w:lineRule="auto"/>
        <w:rPr>
          <w:rFonts w:ascii="Times New Roman" w:hAnsi="Times New Roman"/>
          <w:b/>
          <w:sz w:val="24"/>
          <w:szCs w:val="24"/>
        </w:rPr>
      </w:pPr>
    </w:p>
    <w:p w:rsidR="00FB6BE7" w:rsidRPr="00ED7E20" w:rsidRDefault="00FB6BE7" w:rsidP="00FB6BE7">
      <w:pPr>
        <w:keepNext/>
        <w:keepLines/>
        <w:spacing w:after="0" w:line="240" w:lineRule="auto"/>
        <w:rPr>
          <w:rFonts w:ascii="Times New Roman" w:hAnsi="Times New Roman"/>
          <w:sz w:val="24"/>
          <w:szCs w:val="24"/>
        </w:rPr>
      </w:pPr>
      <w:r w:rsidRPr="00ED7E20">
        <w:rPr>
          <w:rFonts w:ascii="Times New Roman" w:hAnsi="Times New Roman"/>
          <w:sz w:val="24"/>
          <w:szCs w:val="24"/>
        </w:rPr>
        <w:t>Low-NO</w:t>
      </w:r>
      <w:r w:rsidRPr="00ED7E20">
        <w:rPr>
          <w:rFonts w:ascii="Times New Roman" w:hAnsi="Times New Roman"/>
          <w:sz w:val="24"/>
          <w:szCs w:val="24"/>
          <w:vertAlign w:val="subscript"/>
        </w:rPr>
        <w:t>X</w:t>
      </w:r>
      <w:r w:rsidRPr="00ED7E20">
        <w:rPr>
          <w:rFonts w:ascii="Times New Roman" w:hAnsi="Times New Roman"/>
          <w:sz w:val="24"/>
          <w:szCs w:val="24"/>
        </w:rPr>
        <w:t xml:space="preserve"> burner is a generic term for a burner designed to combust the fuel while reducing the amount of NO</w:t>
      </w:r>
      <w:r w:rsidRPr="00ED7E20">
        <w:rPr>
          <w:rFonts w:ascii="Times New Roman" w:hAnsi="Times New Roman"/>
          <w:sz w:val="24"/>
          <w:szCs w:val="24"/>
          <w:vertAlign w:val="subscript"/>
        </w:rPr>
        <w:t>X</w:t>
      </w:r>
      <w:r w:rsidRPr="00ED7E20">
        <w:rPr>
          <w:rFonts w:ascii="Times New Roman" w:hAnsi="Times New Roman"/>
          <w:sz w:val="24"/>
          <w:szCs w:val="24"/>
        </w:rPr>
        <w:t xml:space="preserve"> that is formed.  Since there are several different firing arrangements for oil- and coal-fired boilers, there are several different types of LNBs.</w:t>
      </w:r>
    </w:p>
    <w:p w:rsidR="00FB6BE7" w:rsidRPr="00ED7E20" w:rsidRDefault="00FB6BE7" w:rsidP="00FB6BE7">
      <w:pPr>
        <w:spacing w:after="0" w:line="240" w:lineRule="auto"/>
        <w:rPr>
          <w:rFonts w:ascii="Times New Roman" w:hAnsi="Times New Roman"/>
          <w:sz w:val="24"/>
          <w:szCs w:val="24"/>
        </w:rPr>
      </w:pPr>
    </w:p>
    <w:p w:rsidR="00FB6BE7" w:rsidRPr="00ED7E20" w:rsidRDefault="00FB6BE7" w:rsidP="00FB6BE7">
      <w:pPr>
        <w:spacing w:after="0" w:line="240" w:lineRule="auto"/>
        <w:rPr>
          <w:rFonts w:ascii="Times New Roman" w:hAnsi="Times New Roman"/>
          <w:sz w:val="24"/>
          <w:szCs w:val="24"/>
        </w:rPr>
      </w:pPr>
      <w:r w:rsidRPr="00ED7E20">
        <w:rPr>
          <w:rFonts w:ascii="Times New Roman" w:hAnsi="Times New Roman"/>
          <w:sz w:val="24"/>
          <w:szCs w:val="24"/>
        </w:rPr>
        <w:t>NO</w:t>
      </w:r>
      <w:r w:rsidRPr="00ED7E20">
        <w:rPr>
          <w:rFonts w:ascii="Times New Roman" w:hAnsi="Times New Roman"/>
          <w:sz w:val="24"/>
          <w:szCs w:val="24"/>
          <w:vertAlign w:val="subscript"/>
        </w:rPr>
        <w:t>X</w:t>
      </w:r>
      <w:r w:rsidRPr="00ED7E20">
        <w:rPr>
          <w:rFonts w:ascii="Times New Roman" w:hAnsi="Times New Roman"/>
          <w:sz w:val="24"/>
          <w:szCs w:val="24"/>
        </w:rPr>
        <w:t xml:space="preserve"> is formed during combustion from either the nitrogen in the fuel or the air.  NO</w:t>
      </w:r>
      <w:r w:rsidRPr="00ED7E20">
        <w:rPr>
          <w:rFonts w:ascii="Times New Roman" w:hAnsi="Times New Roman"/>
          <w:sz w:val="24"/>
          <w:szCs w:val="24"/>
          <w:vertAlign w:val="subscript"/>
        </w:rPr>
        <w:t>X</w:t>
      </w:r>
      <w:r w:rsidRPr="00ED7E20">
        <w:rPr>
          <w:rFonts w:ascii="Times New Roman" w:hAnsi="Times New Roman"/>
          <w:sz w:val="24"/>
          <w:szCs w:val="24"/>
        </w:rPr>
        <w:t xml:space="preserve"> formed from nitrogen in air requires high-flame temperatures and because of this, is usually referred t</w:t>
      </w:r>
      <w:r>
        <w:rPr>
          <w:rFonts w:ascii="Times New Roman" w:hAnsi="Times New Roman"/>
          <w:sz w:val="24"/>
          <w:szCs w:val="24"/>
        </w:rPr>
        <w:t>o as thermal NO</w:t>
      </w:r>
      <w:r>
        <w:rPr>
          <w:rFonts w:ascii="Times New Roman" w:hAnsi="Times New Roman"/>
          <w:sz w:val="24"/>
          <w:szCs w:val="24"/>
          <w:vertAlign w:val="subscript"/>
        </w:rPr>
        <w:t>X</w:t>
      </w:r>
      <w:r w:rsidRPr="00ED7E20">
        <w:rPr>
          <w:rFonts w:ascii="Times New Roman" w:hAnsi="Times New Roman"/>
          <w:sz w:val="24"/>
          <w:szCs w:val="24"/>
        </w:rPr>
        <w:t>.  Some fuels, particularly coal and oil, contain small amounts (2 percent or less) of nitrogen as a chemical constituent.  When these fuels are burned, this fuel nitrogen can be oxidized in the flame-producing NO</w:t>
      </w:r>
      <w:r w:rsidRPr="00ED7E20">
        <w:rPr>
          <w:rFonts w:ascii="Times New Roman" w:hAnsi="Times New Roman"/>
          <w:sz w:val="24"/>
          <w:szCs w:val="24"/>
          <w:vertAlign w:val="subscript"/>
        </w:rPr>
        <w:t>X</w:t>
      </w:r>
      <w:r w:rsidRPr="00ED7E20">
        <w:rPr>
          <w:rFonts w:ascii="Times New Roman" w:hAnsi="Times New Roman"/>
          <w:sz w:val="24"/>
          <w:szCs w:val="24"/>
        </w:rPr>
        <w:t>, which is referred to as fuel NO</w:t>
      </w:r>
      <w:r w:rsidRPr="00ED7E20">
        <w:rPr>
          <w:rFonts w:ascii="Times New Roman" w:hAnsi="Times New Roman"/>
          <w:sz w:val="24"/>
          <w:szCs w:val="24"/>
          <w:vertAlign w:val="subscript"/>
        </w:rPr>
        <w:t>X</w:t>
      </w:r>
      <w:r w:rsidRPr="00ED7E20">
        <w:rPr>
          <w:rFonts w:ascii="Times New Roman" w:hAnsi="Times New Roman"/>
          <w:sz w:val="24"/>
          <w:szCs w:val="24"/>
        </w:rPr>
        <w:t>.  Thus coal and oil can form NO</w:t>
      </w:r>
      <w:r w:rsidRPr="00ED7E20">
        <w:rPr>
          <w:rFonts w:ascii="Times New Roman" w:hAnsi="Times New Roman"/>
          <w:sz w:val="24"/>
          <w:szCs w:val="24"/>
          <w:vertAlign w:val="subscript"/>
        </w:rPr>
        <w:t>X</w:t>
      </w:r>
      <w:r w:rsidRPr="00ED7E20">
        <w:rPr>
          <w:rFonts w:ascii="Times New Roman" w:hAnsi="Times New Roman"/>
          <w:sz w:val="24"/>
          <w:szCs w:val="24"/>
        </w:rPr>
        <w:t xml:space="preserve"> from the thermal NO</w:t>
      </w:r>
      <w:r w:rsidRPr="00ED7E20">
        <w:rPr>
          <w:rFonts w:ascii="Times New Roman" w:hAnsi="Times New Roman"/>
          <w:sz w:val="24"/>
          <w:szCs w:val="24"/>
          <w:vertAlign w:val="subscript"/>
        </w:rPr>
        <w:t>X</w:t>
      </w:r>
      <w:r w:rsidRPr="00ED7E20">
        <w:rPr>
          <w:rFonts w:ascii="Times New Roman" w:hAnsi="Times New Roman"/>
          <w:sz w:val="24"/>
          <w:szCs w:val="24"/>
        </w:rPr>
        <w:t xml:space="preserve"> and the fuel NO</w:t>
      </w:r>
      <w:r w:rsidRPr="00ED7E20">
        <w:rPr>
          <w:rFonts w:ascii="Times New Roman" w:hAnsi="Times New Roman"/>
          <w:sz w:val="24"/>
          <w:szCs w:val="24"/>
          <w:vertAlign w:val="subscript"/>
        </w:rPr>
        <w:t>X</w:t>
      </w:r>
      <w:r w:rsidRPr="00ED7E20">
        <w:rPr>
          <w:rFonts w:ascii="Times New Roman" w:hAnsi="Times New Roman"/>
          <w:sz w:val="24"/>
          <w:szCs w:val="24"/>
        </w:rPr>
        <w:t xml:space="preserve"> mechanisms, but the fuel-nitrogen pathway is by far the predominant one.  Since natural gas contains no fuel nitrogen, thermal NO</w:t>
      </w:r>
      <w:r w:rsidRPr="00ED7E20">
        <w:rPr>
          <w:rFonts w:ascii="Times New Roman" w:hAnsi="Times New Roman"/>
          <w:sz w:val="24"/>
          <w:szCs w:val="24"/>
          <w:vertAlign w:val="subscript"/>
        </w:rPr>
        <w:t>X</w:t>
      </w:r>
      <w:r w:rsidRPr="00ED7E20">
        <w:rPr>
          <w:rFonts w:ascii="Times New Roman" w:hAnsi="Times New Roman"/>
          <w:sz w:val="24"/>
          <w:szCs w:val="24"/>
        </w:rPr>
        <w:t xml:space="preserve"> </w:t>
      </w:r>
      <w:r w:rsidRPr="00ED7E20">
        <w:rPr>
          <w:rFonts w:ascii="Times New Roman" w:hAnsi="Times New Roman"/>
          <w:i/>
          <w:sz w:val="24"/>
          <w:szCs w:val="24"/>
        </w:rPr>
        <w:t>only</w:t>
      </w:r>
      <w:r w:rsidRPr="00ED7E20">
        <w:rPr>
          <w:rFonts w:ascii="Times New Roman" w:hAnsi="Times New Roman"/>
          <w:sz w:val="24"/>
          <w:szCs w:val="24"/>
        </w:rPr>
        <w:t xml:space="preserve"> is formed, explaining why natural gas flames have much lower NO</w:t>
      </w:r>
      <w:r w:rsidRPr="00ED7E20">
        <w:rPr>
          <w:rFonts w:ascii="Times New Roman" w:hAnsi="Times New Roman"/>
          <w:sz w:val="24"/>
          <w:szCs w:val="24"/>
          <w:vertAlign w:val="subscript"/>
        </w:rPr>
        <w:t>X</w:t>
      </w:r>
      <w:r w:rsidRPr="00ED7E20">
        <w:rPr>
          <w:rFonts w:ascii="Times New Roman" w:hAnsi="Times New Roman"/>
          <w:sz w:val="24"/>
          <w:szCs w:val="24"/>
        </w:rPr>
        <w:t xml:space="preserve"> levels than coal.</w:t>
      </w:r>
    </w:p>
    <w:p w:rsidR="00FB6BE7" w:rsidRPr="00ED7E20" w:rsidRDefault="00FB6BE7" w:rsidP="00FB6BE7">
      <w:pPr>
        <w:spacing w:after="0" w:line="240" w:lineRule="auto"/>
        <w:rPr>
          <w:rFonts w:ascii="Times New Roman" w:hAnsi="Times New Roman"/>
          <w:sz w:val="24"/>
          <w:szCs w:val="24"/>
        </w:rPr>
      </w:pPr>
    </w:p>
    <w:p w:rsidR="00FB6BE7" w:rsidRPr="00ED7E20" w:rsidRDefault="00FB6BE7" w:rsidP="00FB6BE7">
      <w:pPr>
        <w:spacing w:after="0" w:line="240" w:lineRule="auto"/>
        <w:rPr>
          <w:rFonts w:ascii="Times New Roman" w:hAnsi="Times New Roman"/>
          <w:sz w:val="24"/>
          <w:szCs w:val="24"/>
        </w:rPr>
      </w:pPr>
      <w:r w:rsidRPr="00ED7E20">
        <w:rPr>
          <w:rFonts w:ascii="Times New Roman" w:hAnsi="Times New Roman"/>
          <w:sz w:val="24"/>
          <w:szCs w:val="24"/>
        </w:rPr>
        <w:t>LNBs for coal and heavy oil are designed to reduce NO</w:t>
      </w:r>
      <w:r w:rsidRPr="00ED7E20">
        <w:rPr>
          <w:rFonts w:ascii="Times New Roman" w:hAnsi="Times New Roman"/>
          <w:sz w:val="24"/>
          <w:szCs w:val="24"/>
          <w:vertAlign w:val="subscript"/>
        </w:rPr>
        <w:t>X</w:t>
      </w:r>
      <w:r w:rsidRPr="00ED7E20">
        <w:rPr>
          <w:rFonts w:ascii="Times New Roman" w:hAnsi="Times New Roman"/>
          <w:sz w:val="24"/>
          <w:szCs w:val="24"/>
        </w:rPr>
        <w:t xml:space="preserve"> by allowing the fuel nitrogen to be released from the fuel in a region with low-oxygen concentration.  Most of the fuel nitrogen can then react to molecular nitrogen (N</w:t>
      </w:r>
      <w:r w:rsidRPr="00ED7E20">
        <w:rPr>
          <w:rFonts w:ascii="Times New Roman" w:hAnsi="Times New Roman"/>
          <w:sz w:val="24"/>
          <w:szCs w:val="24"/>
          <w:vertAlign w:val="subscript"/>
        </w:rPr>
        <w:t>2</w:t>
      </w:r>
      <w:r w:rsidRPr="00ED7E20">
        <w:rPr>
          <w:rFonts w:ascii="Times New Roman" w:hAnsi="Times New Roman"/>
          <w:sz w:val="24"/>
          <w:szCs w:val="24"/>
        </w:rPr>
        <w:t>, which is present in the air).  High temperatures are needed to extract most of the nitrogen from the fuel and low-oxygen concentrations are also necessary to prevent the fuel nitrogen from being oxidized.  This approach is known as air staging because a portion of the combustion air must be introduced later in the combustion process to form this low-oxygen reduction zone.  Wall-fired LNBs achieve this end by an aerodynamic trick in each burner’s flame while, in a tangentially fired furnace, a portion of the secondary air is diverted above the flame (overfire air), producing a low-oxygen zone in the entire lower furnace.</w:t>
      </w:r>
    </w:p>
    <w:p w:rsidR="00FB6BE7" w:rsidRPr="00ED7E20" w:rsidRDefault="00FB6BE7" w:rsidP="00FB6BE7">
      <w:pPr>
        <w:spacing w:after="0" w:line="240" w:lineRule="auto"/>
        <w:rPr>
          <w:rFonts w:ascii="Times New Roman" w:hAnsi="Times New Roman"/>
          <w:sz w:val="24"/>
          <w:szCs w:val="24"/>
        </w:rPr>
      </w:pPr>
    </w:p>
    <w:p w:rsidR="00FB6BE7" w:rsidRPr="00ED7E20" w:rsidRDefault="00FB6BE7" w:rsidP="00FB6BE7">
      <w:pPr>
        <w:spacing w:after="0" w:line="240" w:lineRule="auto"/>
        <w:rPr>
          <w:rFonts w:ascii="Times New Roman" w:hAnsi="Times New Roman"/>
          <w:sz w:val="24"/>
          <w:szCs w:val="24"/>
        </w:rPr>
      </w:pPr>
      <w:r w:rsidRPr="00ED7E20">
        <w:rPr>
          <w:rFonts w:ascii="Times New Roman" w:hAnsi="Times New Roman"/>
          <w:sz w:val="24"/>
          <w:szCs w:val="24"/>
        </w:rPr>
        <w:t>LNBs for wall-fired units are typically dual-register burners.  By using two separate registers for the secondary air, some of the secondary air is used to initiate and stabilize the flame (with inner-register air), while most of the secondary air is directed by the outer register to bypass the initial flame and then mix with the flame after the fuel nitrogen is released and converted to N</w:t>
      </w:r>
      <w:r w:rsidRPr="00ED7E20">
        <w:rPr>
          <w:rFonts w:ascii="Times New Roman" w:hAnsi="Times New Roman"/>
          <w:sz w:val="24"/>
          <w:szCs w:val="24"/>
          <w:vertAlign w:val="subscript"/>
        </w:rPr>
        <w:t>2</w:t>
      </w:r>
      <w:r w:rsidRPr="00ED7E20">
        <w:rPr>
          <w:rFonts w:ascii="Times New Roman" w:hAnsi="Times New Roman"/>
          <w:sz w:val="24"/>
          <w:szCs w:val="24"/>
        </w:rPr>
        <w:t>.  Different manufacturers use different hardware implementations for this process, but the general technical concept is much the same.  Most also use some means of ensuring the flame stays attached to the tip of the burner.  A stable, attached flame is a lower NO</w:t>
      </w:r>
      <w:r w:rsidRPr="00ED7E20">
        <w:rPr>
          <w:rFonts w:ascii="Times New Roman" w:hAnsi="Times New Roman"/>
          <w:sz w:val="24"/>
          <w:szCs w:val="24"/>
          <w:vertAlign w:val="subscript"/>
        </w:rPr>
        <w:t>X</w:t>
      </w:r>
      <w:r w:rsidRPr="00ED7E20">
        <w:rPr>
          <w:rFonts w:ascii="Times New Roman" w:hAnsi="Times New Roman"/>
          <w:sz w:val="24"/>
          <w:szCs w:val="24"/>
        </w:rPr>
        <w:t xml:space="preserve"> producer than either an unstable flame or a detached flame.</w:t>
      </w:r>
    </w:p>
    <w:p w:rsidR="00FB6BE7" w:rsidRPr="00ED7E20" w:rsidRDefault="00FB6BE7" w:rsidP="00FB6BE7">
      <w:pPr>
        <w:spacing w:after="0" w:line="240" w:lineRule="auto"/>
        <w:rPr>
          <w:rFonts w:ascii="Times New Roman" w:hAnsi="Times New Roman"/>
          <w:sz w:val="24"/>
          <w:szCs w:val="24"/>
        </w:rPr>
      </w:pPr>
    </w:p>
    <w:p w:rsidR="00FB6BE7" w:rsidRDefault="00FB6BE7" w:rsidP="00FB6BE7">
      <w:pPr>
        <w:tabs>
          <w:tab w:val="left" w:pos="540"/>
        </w:tabs>
        <w:spacing w:after="0" w:line="240" w:lineRule="auto"/>
        <w:rPr>
          <w:rFonts w:ascii="Times New Roman" w:hAnsi="Times New Roman"/>
          <w:sz w:val="24"/>
          <w:szCs w:val="24"/>
        </w:rPr>
      </w:pPr>
      <w:r w:rsidRPr="00ED7E20">
        <w:rPr>
          <w:rFonts w:ascii="Times New Roman" w:hAnsi="Times New Roman"/>
          <w:sz w:val="24"/>
          <w:szCs w:val="24"/>
        </w:rPr>
        <w:t>LNBs for tangentially fired boilers serve to assist in NO</w:t>
      </w:r>
      <w:r w:rsidRPr="00ED7E20">
        <w:rPr>
          <w:rFonts w:ascii="Times New Roman" w:hAnsi="Times New Roman"/>
          <w:sz w:val="24"/>
          <w:szCs w:val="24"/>
          <w:vertAlign w:val="subscript"/>
        </w:rPr>
        <w:t>X</w:t>
      </w:r>
      <w:r w:rsidRPr="00ED7E20">
        <w:rPr>
          <w:rFonts w:ascii="Times New Roman" w:hAnsi="Times New Roman"/>
          <w:sz w:val="24"/>
          <w:szCs w:val="24"/>
        </w:rPr>
        <w:t xml:space="preserve"> reduction by supporting the air staging used for the major NO</w:t>
      </w:r>
      <w:r w:rsidRPr="00ED7E20">
        <w:rPr>
          <w:rFonts w:ascii="Times New Roman" w:hAnsi="Times New Roman"/>
          <w:sz w:val="24"/>
          <w:szCs w:val="24"/>
          <w:vertAlign w:val="subscript"/>
        </w:rPr>
        <w:t>X</w:t>
      </w:r>
      <w:r w:rsidRPr="00ED7E20">
        <w:rPr>
          <w:rFonts w:ascii="Times New Roman" w:hAnsi="Times New Roman"/>
          <w:sz w:val="24"/>
          <w:szCs w:val="24"/>
        </w:rPr>
        <w:t xml:space="preserve"> reduction technique.  </w:t>
      </w:r>
      <w:r>
        <w:rPr>
          <w:rFonts w:ascii="Times New Roman" w:hAnsi="Times New Roman"/>
          <w:sz w:val="24"/>
          <w:szCs w:val="24"/>
        </w:rPr>
        <w:t>There are different manufacturing designs for low NOx burners for these plants, that control the mixing and direction of the combustion air relative to the co</w:t>
      </w:r>
      <w:r w:rsidR="002F2289">
        <w:rPr>
          <w:rFonts w:ascii="Times New Roman" w:hAnsi="Times New Roman"/>
          <w:sz w:val="24"/>
          <w:szCs w:val="24"/>
        </w:rPr>
        <w:t>a</w:t>
      </w:r>
      <w:r>
        <w:rPr>
          <w:rFonts w:ascii="Times New Roman" w:hAnsi="Times New Roman"/>
          <w:sz w:val="24"/>
          <w:szCs w:val="24"/>
        </w:rPr>
        <w:t>l-air mixture injected into the furnace.  Most tangentially-fired boilers rely heavily on overfire air in addition to low NOx burners.</w:t>
      </w:r>
    </w:p>
    <w:p w:rsidR="00FB6BE7" w:rsidRDefault="00FB6BE7" w:rsidP="00FB6BE7">
      <w:pPr>
        <w:tabs>
          <w:tab w:val="left" w:pos="540"/>
        </w:tabs>
        <w:spacing w:after="0" w:line="240" w:lineRule="auto"/>
        <w:rPr>
          <w:rFonts w:ascii="Times New Roman" w:hAnsi="Times New Roman"/>
          <w:sz w:val="24"/>
          <w:szCs w:val="24"/>
        </w:rPr>
      </w:pPr>
    </w:p>
    <w:p w:rsidR="00FB6BE7" w:rsidRPr="00ED7E20" w:rsidRDefault="00FB6BE7" w:rsidP="00FB6BE7">
      <w:pPr>
        <w:spacing w:after="0" w:line="240" w:lineRule="auto"/>
        <w:rPr>
          <w:rFonts w:ascii="Times New Roman" w:hAnsi="Times New Roman"/>
          <w:sz w:val="24"/>
          <w:szCs w:val="24"/>
        </w:rPr>
      </w:pPr>
      <w:r>
        <w:rPr>
          <w:rFonts w:ascii="Times New Roman" w:hAnsi="Times New Roman"/>
          <w:sz w:val="24"/>
          <w:szCs w:val="24"/>
        </w:rPr>
        <w:t>Overfire air (OFA) is a very effective method to reduce NOx emissions.  In fact, t</w:t>
      </w:r>
      <w:r w:rsidRPr="00ED7E20">
        <w:rPr>
          <w:rFonts w:ascii="Times New Roman" w:hAnsi="Times New Roman"/>
          <w:sz w:val="24"/>
          <w:szCs w:val="24"/>
        </w:rPr>
        <w:t>he most general approach to lowering NO</w:t>
      </w:r>
      <w:r w:rsidRPr="00ED7E20">
        <w:rPr>
          <w:rFonts w:ascii="Times New Roman" w:hAnsi="Times New Roman"/>
          <w:sz w:val="24"/>
          <w:szCs w:val="24"/>
          <w:vertAlign w:val="subscript"/>
        </w:rPr>
        <w:t>X</w:t>
      </w:r>
      <w:r w:rsidRPr="00ED7E20">
        <w:rPr>
          <w:rFonts w:ascii="Times New Roman" w:hAnsi="Times New Roman"/>
          <w:sz w:val="24"/>
          <w:szCs w:val="24"/>
        </w:rPr>
        <w:t xml:space="preserve"> produced in oil or coal combustion is to create a main flame zone that is deficient in oxygen and is known as a reducing atmosphere.  If the temperature can be held high in this reducing zone, the majority of the fuel nitrogen can be driven from the fuel.  Since little oxygen would be present, this fuel nitrogen then reacts to form molecular nitrogen (N</w:t>
      </w:r>
      <w:r w:rsidRPr="00ED7E20">
        <w:rPr>
          <w:rFonts w:ascii="Times New Roman" w:hAnsi="Times New Roman"/>
          <w:sz w:val="24"/>
          <w:szCs w:val="24"/>
          <w:vertAlign w:val="subscript"/>
        </w:rPr>
        <w:t>2</w:t>
      </w:r>
      <w:r w:rsidRPr="00ED7E20">
        <w:rPr>
          <w:rFonts w:ascii="Times New Roman" w:hAnsi="Times New Roman"/>
          <w:sz w:val="24"/>
          <w:szCs w:val="24"/>
        </w:rPr>
        <w:t>), which is the main constituent of air.  OFA is the air that is added to finish the combustion process started in the combustion zone.  In a vertical flow typical of boilers, the reducing zone is the main combustion zone.  OFA is added above this flame zone, thus the name “overfire” air.</w:t>
      </w:r>
    </w:p>
    <w:p w:rsidR="00FB6BE7" w:rsidRPr="00ED7E20" w:rsidRDefault="00FB6BE7" w:rsidP="00FB6BE7">
      <w:pPr>
        <w:spacing w:after="0" w:line="240" w:lineRule="auto"/>
        <w:rPr>
          <w:rFonts w:ascii="Times New Roman" w:hAnsi="Times New Roman"/>
          <w:sz w:val="24"/>
          <w:szCs w:val="24"/>
        </w:rPr>
      </w:pPr>
    </w:p>
    <w:p w:rsidR="00FB6BE7" w:rsidRDefault="00FB6BE7" w:rsidP="00FB6BE7">
      <w:pPr>
        <w:spacing w:after="0" w:line="240" w:lineRule="auto"/>
        <w:rPr>
          <w:rFonts w:ascii="Times New Roman" w:hAnsi="Times New Roman"/>
          <w:sz w:val="24"/>
          <w:szCs w:val="24"/>
        </w:rPr>
      </w:pPr>
      <w:r w:rsidRPr="00ED7E20">
        <w:rPr>
          <w:rFonts w:ascii="Times New Roman" w:hAnsi="Times New Roman"/>
          <w:sz w:val="24"/>
          <w:szCs w:val="24"/>
        </w:rPr>
        <w:t>Up to approximately 30 percent of the total air needed for combustion may be supplied as OFA.  As the amount of OFA increases, the NO</w:t>
      </w:r>
      <w:r w:rsidRPr="00ED7E20">
        <w:rPr>
          <w:rFonts w:ascii="Times New Roman" w:hAnsi="Times New Roman"/>
          <w:sz w:val="24"/>
          <w:szCs w:val="24"/>
          <w:vertAlign w:val="subscript"/>
        </w:rPr>
        <w:t>X</w:t>
      </w:r>
      <w:r w:rsidRPr="00ED7E20">
        <w:rPr>
          <w:rFonts w:ascii="Times New Roman" w:hAnsi="Times New Roman"/>
          <w:sz w:val="24"/>
          <w:szCs w:val="24"/>
        </w:rPr>
        <w:t xml:space="preserve"> emissions of the combustion process decrease, up to a point.  Any further increase in the amount of OFA above this point will cause the NO</w:t>
      </w:r>
      <w:r w:rsidRPr="00ED7E20">
        <w:rPr>
          <w:rFonts w:ascii="Times New Roman" w:hAnsi="Times New Roman"/>
          <w:sz w:val="24"/>
          <w:szCs w:val="24"/>
          <w:vertAlign w:val="subscript"/>
        </w:rPr>
        <w:t>X</w:t>
      </w:r>
      <w:r w:rsidRPr="00ED7E20">
        <w:rPr>
          <w:rFonts w:ascii="Times New Roman" w:hAnsi="Times New Roman"/>
          <w:sz w:val="24"/>
          <w:szCs w:val="24"/>
        </w:rPr>
        <w:t xml:space="preserve"> emissions to increase.  The practical limitations on the amount of OFA that can be used are:</w:t>
      </w:r>
    </w:p>
    <w:p w:rsidR="00FB6BE7" w:rsidRDefault="00FB6BE7" w:rsidP="00FB6BE7">
      <w:pPr>
        <w:spacing w:after="0" w:line="240" w:lineRule="auto"/>
        <w:rPr>
          <w:rFonts w:ascii="Times New Roman" w:hAnsi="Times New Roman"/>
          <w:sz w:val="24"/>
          <w:szCs w:val="24"/>
        </w:rPr>
      </w:pPr>
    </w:p>
    <w:p w:rsidR="00FB6BE7" w:rsidRDefault="00FB6BE7" w:rsidP="00FB6BE7">
      <w:pPr>
        <w:numPr>
          <w:ilvl w:val="0"/>
          <w:numId w:val="34"/>
        </w:numPr>
        <w:spacing w:after="0" w:line="240" w:lineRule="auto"/>
        <w:rPr>
          <w:rFonts w:ascii="Times New Roman" w:hAnsi="Times New Roman"/>
          <w:sz w:val="24"/>
          <w:szCs w:val="24"/>
        </w:rPr>
      </w:pPr>
      <w:r>
        <w:rPr>
          <w:rFonts w:ascii="Times New Roman" w:hAnsi="Times New Roman"/>
          <w:sz w:val="24"/>
          <w:szCs w:val="24"/>
        </w:rPr>
        <w:t>Stability of the main flame.</w:t>
      </w:r>
    </w:p>
    <w:p w:rsidR="00FB6BE7" w:rsidRPr="00ED7E20" w:rsidRDefault="00FB6BE7" w:rsidP="00FB6BE7">
      <w:pPr>
        <w:numPr>
          <w:ilvl w:val="0"/>
          <w:numId w:val="34"/>
        </w:numPr>
        <w:spacing w:after="0" w:line="240" w:lineRule="auto"/>
        <w:rPr>
          <w:rFonts w:ascii="Times New Roman" w:hAnsi="Times New Roman"/>
          <w:sz w:val="24"/>
          <w:szCs w:val="24"/>
        </w:rPr>
      </w:pPr>
      <w:r w:rsidRPr="00ED7E20">
        <w:rPr>
          <w:rFonts w:ascii="Times New Roman" w:hAnsi="Times New Roman"/>
          <w:sz w:val="24"/>
          <w:szCs w:val="24"/>
        </w:rPr>
        <w:t>Corrosion of the metal steam tubes.</w:t>
      </w:r>
    </w:p>
    <w:p w:rsidR="00FB6BE7" w:rsidRPr="00ED7E20" w:rsidRDefault="00FB6BE7" w:rsidP="00FB6BE7">
      <w:pPr>
        <w:numPr>
          <w:ilvl w:val="0"/>
          <w:numId w:val="34"/>
        </w:numPr>
        <w:spacing w:after="0" w:line="240" w:lineRule="auto"/>
        <w:rPr>
          <w:rFonts w:ascii="Times New Roman" w:hAnsi="Times New Roman"/>
          <w:sz w:val="24"/>
          <w:szCs w:val="24"/>
        </w:rPr>
      </w:pPr>
      <w:r w:rsidRPr="00ED7E20">
        <w:rPr>
          <w:rFonts w:ascii="Times New Roman" w:hAnsi="Times New Roman"/>
          <w:sz w:val="24"/>
          <w:szCs w:val="24"/>
        </w:rPr>
        <w:t>Production of carbon monoxide.</w:t>
      </w:r>
    </w:p>
    <w:p w:rsidR="00FB6BE7" w:rsidRPr="00ED7E20" w:rsidRDefault="00FB6BE7" w:rsidP="00FB6BE7">
      <w:pPr>
        <w:numPr>
          <w:ilvl w:val="0"/>
          <w:numId w:val="34"/>
        </w:numPr>
        <w:spacing w:after="0" w:line="240" w:lineRule="auto"/>
        <w:rPr>
          <w:rFonts w:ascii="Times New Roman" w:hAnsi="Times New Roman"/>
          <w:sz w:val="24"/>
          <w:szCs w:val="24"/>
        </w:rPr>
      </w:pPr>
      <w:r w:rsidRPr="00ED7E20">
        <w:rPr>
          <w:rFonts w:ascii="Times New Roman" w:hAnsi="Times New Roman"/>
          <w:sz w:val="24"/>
          <w:szCs w:val="24"/>
        </w:rPr>
        <w:t>Increases in the amount of unburned carbon that escapes the furnace and is collected with the fly ash.</w:t>
      </w:r>
    </w:p>
    <w:p w:rsidR="00FB6BE7" w:rsidRPr="00ED7E20" w:rsidRDefault="00FB6BE7" w:rsidP="00FB6BE7">
      <w:pPr>
        <w:spacing w:after="0" w:line="240" w:lineRule="auto"/>
        <w:rPr>
          <w:rFonts w:ascii="Times New Roman" w:hAnsi="Times New Roman"/>
          <w:sz w:val="24"/>
          <w:szCs w:val="24"/>
        </w:rPr>
      </w:pPr>
    </w:p>
    <w:p w:rsidR="00FB6BE7" w:rsidRDefault="00FB6BE7" w:rsidP="00FB6BE7">
      <w:pPr>
        <w:spacing w:after="0" w:line="240" w:lineRule="auto"/>
        <w:rPr>
          <w:rFonts w:ascii="Times New Roman" w:hAnsi="Times New Roman"/>
          <w:sz w:val="24"/>
          <w:szCs w:val="24"/>
        </w:rPr>
      </w:pPr>
      <w:r w:rsidRPr="00ED7E20">
        <w:rPr>
          <w:rFonts w:ascii="Times New Roman" w:hAnsi="Times New Roman"/>
          <w:sz w:val="24"/>
          <w:szCs w:val="24"/>
        </w:rPr>
        <w:t>OFA is a part of most of the tangentially fired NO</w:t>
      </w:r>
      <w:r w:rsidRPr="00ED7E20">
        <w:rPr>
          <w:rFonts w:ascii="Times New Roman" w:hAnsi="Times New Roman"/>
          <w:sz w:val="24"/>
          <w:szCs w:val="24"/>
          <w:vertAlign w:val="subscript"/>
        </w:rPr>
        <w:t>X</w:t>
      </w:r>
      <w:r w:rsidRPr="00ED7E20">
        <w:rPr>
          <w:rFonts w:ascii="Times New Roman" w:hAnsi="Times New Roman"/>
          <w:sz w:val="24"/>
          <w:szCs w:val="24"/>
        </w:rPr>
        <w:t xml:space="preserve"> control systems described</w:t>
      </w:r>
      <w:r w:rsidR="00BC3E61">
        <w:rPr>
          <w:rFonts w:ascii="Times New Roman" w:hAnsi="Times New Roman"/>
          <w:sz w:val="24"/>
          <w:szCs w:val="24"/>
        </w:rPr>
        <w:t>.</w:t>
      </w:r>
    </w:p>
    <w:p w:rsidR="00FB6BE7" w:rsidRPr="00ED7E20" w:rsidRDefault="00FB6BE7" w:rsidP="00FB6BE7">
      <w:pPr>
        <w:tabs>
          <w:tab w:val="left" w:pos="540"/>
        </w:tabs>
        <w:spacing w:after="0" w:line="240" w:lineRule="auto"/>
        <w:rPr>
          <w:rFonts w:ascii="Times New Roman" w:hAnsi="Times New Roman"/>
          <w:sz w:val="24"/>
          <w:szCs w:val="24"/>
        </w:rPr>
      </w:pPr>
    </w:p>
    <w:p w:rsidR="00FB6BE7" w:rsidRPr="00ED7E20" w:rsidRDefault="00FB6BE7" w:rsidP="00FB6BE7">
      <w:pPr>
        <w:tabs>
          <w:tab w:val="left" w:pos="540"/>
        </w:tabs>
        <w:spacing w:after="0" w:line="240" w:lineRule="auto"/>
        <w:rPr>
          <w:rFonts w:ascii="Times New Roman" w:hAnsi="Times New Roman"/>
          <w:b/>
          <w:color w:val="CC0000"/>
          <w:sz w:val="24"/>
          <w:szCs w:val="24"/>
        </w:rPr>
      </w:pPr>
      <w:r w:rsidRPr="00ED7E20">
        <w:rPr>
          <w:rFonts w:ascii="Times New Roman" w:hAnsi="Times New Roman"/>
          <w:b/>
          <w:color w:val="CC0000"/>
          <w:sz w:val="24"/>
          <w:szCs w:val="24"/>
        </w:rPr>
        <w:t>V.</w:t>
      </w:r>
      <w:r>
        <w:rPr>
          <w:rFonts w:ascii="Times New Roman" w:hAnsi="Times New Roman"/>
          <w:b/>
          <w:color w:val="CC0000"/>
          <w:sz w:val="24"/>
          <w:szCs w:val="24"/>
        </w:rPr>
        <w:tab/>
      </w:r>
      <w:r w:rsidRPr="00ED7E20">
        <w:rPr>
          <w:rFonts w:ascii="Times New Roman" w:hAnsi="Times New Roman"/>
          <w:b/>
          <w:color w:val="CC0000"/>
          <w:sz w:val="24"/>
          <w:szCs w:val="24"/>
          <w:u w:val="single"/>
        </w:rPr>
        <w:t>Powder River Basin (PRB) Coal</w:t>
      </w:r>
    </w:p>
    <w:p w:rsidR="00FB6BE7" w:rsidRPr="00ED7E20" w:rsidRDefault="00FB6BE7" w:rsidP="00FB6BE7">
      <w:pPr>
        <w:spacing w:after="0" w:line="240" w:lineRule="auto"/>
        <w:rPr>
          <w:rFonts w:ascii="Times New Roman" w:hAnsi="Times New Roman"/>
          <w:sz w:val="24"/>
          <w:szCs w:val="24"/>
        </w:rPr>
      </w:pPr>
    </w:p>
    <w:p w:rsidR="00FB6BE7" w:rsidRPr="00ED7E20" w:rsidRDefault="00FB6BE7" w:rsidP="00FB6BE7">
      <w:pPr>
        <w:spacing w:after="0" w:line="240" w:lineRule="auto"/>
        <w:rPr>
          <w:rFonts w:ascii="Times New Roman" w:hAnsi="Times New Roman"/>
          <w:sz w:val="24"/>
          <w:szCs w:val="24"/>
        </w:rPr>
      </w:pPr>
      <w:r w:rsidRPr="00ED7E20">
        <w:rPr>
          <w:rFonts w:ascii="Times New Roman" w:hAnsi="Times New Roman"/>
          <w:sz w:val="24"/>
          <w:szCs w:val="24"/>
        </w:rPr>
        <w:t xml:space="preserve">PRB coal is a subbituminous coal mined primarily from seams in the PRB located in </w:t>
      </w:r>
      <w:r w:rsidR="002F2289">
        <w:rPr>
          <w:rFonts w:ascii="Times New Roman" w:hAnsi="Times New Roman"/>
          <w:sz w:val="24"/>
          <w:szCs w:val="24"/>
        </w:rPr>
        <w:t xml:space="preserve">Wyoming and Montana in </w:t>
      </w:r>
      <w:r w:rsidRPr="00ED7E20">
        <w:rPr>
          <w:rFonts w:ascii="Times New Roman" w:hAnsi="Times New Roman"/>
          <w:sz w:val="24"/>
          <w:szCs w:val="24"/>
        </w:rPr>
        <w:t>the western United States.  Reasons for broadening the use of PRB coal include favorable economics and the added benefits of lower fuel-bound nitrogen and sulfur components that enhance the ability of generating units to minimize NO</w:t>
      </w:r>
      <w:r w:rsidRPr="00ED7E20">
        <w:rPr>
          <w:rFonts w:ascii="Times New Roman" w:hAnsi="Times New Roman"/>
          <w:sz w:val="24"/>
          <w:szCs w:val="24"/>
          <w:vertAlign w:val="subscript"/>
        </w:rPr>
        <w:t>X</w:t>
      </w:r>
      <w:r w:rsidRPr="00ED7E20">
        <w:rPr>
          <w:rFonts w:ascii="Times New Roman" w:hAnsi="Times New Roman"/>
          <w:sz w:val="24"/>
          <w:szCs w:val="24"/>
        </w:rPr>
        <w:t>, as well as SO</w:t>
      </w:r>
      <w:r w:rsidRPr="00ED7E20">
        <w:rPr>
          <w:rFonts w:ascii="Times New Roman" w:hAnsi="Times New Roman"/>
          <w:sz w:val="24"/>
          <w:szCs w:val="24"/>
          <w:vertAlign w:val="subscript"/>
        </w:rPr>
        <w:t>2</w:t>
      </w:r>
      <w:r w:rsidRPr="00ED7E20">
        <w:rPr>
          <w:rFonts w:ascii="Times New Roman" w:hAnsi="Times New Roman"/>
          <w:sz w:val="24"/>
          <w:szCs w:val="24"/>
        </w:rPr>
        <w:t xml:space="preserve"> emissions.  Additional NO</w:t>
      </w:r>
      <w:r w:rsidRPr="00ED7E20">
        <w:rPr>
          <w:rFonts w:ascii="Times New Roman" w:hAnsi="Times New Roman"/>
          <w:sz w:val="24"/>
          <w:szCs w:val="24"/>
          <w:vertAlign w:val="subscript"/>
        </w:rPr>
        <w:t>X</w:t>
      </w:r>
      <w:r w:rsidRPr="00ED7E20">
        <w:rPr>
          <w:rFonts w:ascii="Times New Roman" w:hAnsi="Times New Roman"/>
          <w:sz w:val="24"/>
          <w:szCs w:val="24"/>
        </w:rPr>
        <w:t xml:space="preserve"> reductions are realized because of the lower combustion flame temperature brought about by the higher moisture content in PRB coal.  With this increase in moisture content come lower heat contents (heating values), suppression of mill outlet temperatures below design minimums, possible loss of generation due to unit-load deratings, and potential increased forced outage rates during the peak season.  Increased heat rate and higher operating and maintenance costs are also usually associated with a switch to PRB coal from bituminous coal.  Compacting the stockout piles and increased housekeeping around transfer points are considerations to alleviate potential problems with self-heating of the higher-reactivity PRB coal.  Soot blower maintenance and increased boiler inspection may be required to maintain/sustain boiler operation.  ESP capacity may also be affected and additional fields or flue gas conditioning may be required to adequately collect the PRB fly ash.  The impact on SCR catalyst activity of elevated levels of alkali earth metals in PRB fly ash is also a concern</w:t>
      </w:r>
      <w:r w:rsidR="002F2289">
        <w:rPr>
          <w:rFonts w:ascii="Times New Roman" w:hAnsi="Times New Roman"/>
          <w:sz w:val="24"/>
          <w:szCs w:val="24"/>
        </w:rPr>
        <w:t>, but has been seen as a controllable factor</w:t>
      </w:r>
      <w:r w:rsidRPr="00ED7E20">
        <w:rPr>
          <w:rFonts w:ascii="Times New Roman" w:hAnsi="Times New Roman"/>
          <w:sz w:val="24"/>
          <w:szCs w:val="24"/>
        </w:rPr>
        <w:t>.</w:t>
      </w:r>
    </w:p>
    <w:p w:rsidR="00FB6BE7" w:rsidRPr="00ED7E20" w:rsidRDefault="00FB6BE7" w:rsidP="00FB6BE7">
      <w:pPr>
        <w:tabs>
          <w:tab w:val="left" w:pos="540"/>
        </w:tabs>
        <w:spacing w:after="0" w:line="240" w:lineRule="auto"/>
        <w:rPr>
          <w:rFonts w:ascii="Times New Roman" w:hAnsi="Times New Roman"/>
          <w:sz w:val="24"/>
          <w:szCs w:val="24"/>
        </w:rPr>
      </w:pPr>
    </w:p>
    <w:p w:rsidR="00FB6BE7" w:rsidRPr="00ED7E20" w:rsidRDefault="00FB6BE7" w:rsidP="00FB6BE7">
      <w:pPr>
        <w:tabs>
          <w:tab w:val="left" w:pos="540"/>
        </w:tabs>
        <w:spacing w:after="0" w:line="240" w:lineRule="auto"/>
        <w:rPr>
          <w:rFonts w:ascii="Times New Roman" w:hAnsi="Times New Roman"/>
          <w:b/>
          <w:color w:val="CC0000"/>
          <w:sz w:val="24"/>
          <w:szCs w:val="24"/>
        </w:rPr>
      </w:pPr>
      <w:r w:rsidRPr="00ED7E20">
        <w:rPr>
          <w:rFonts w:ascii="Times New Roman" w:hAnsi="Times New Roman"/>
          <w:b/>
          <w:color w:val="CC0000"/>
          <w:sz w:val="24"/>
          <w:szCs w:val="24"/>
        </w:rPr>
        <w:t>VI.</w:t>
      </w:r>
      <w:r>
        <w:rPr>
          <w:rFonts w:ascii="Times New Roman" w:hAnsi="Times New Roman"/>
          <w:b/>
          <w:color w:val="CC0000"/>
          <w:sz w:val="24"/>
          <w:szCs w:val="24"/>
        </w:rPr>
        <w:tab/>
      </w:r>
      <w:r w:rsidRPr="00ED7E20">
        <w:rPr>
          <w:rFonts w:ascii="Times New Roman" w:hAnsi="Times New Roman"/>
          <w:b/>
          <w:color w:val="CC0000"/>
          <w:sz w:val="24"/>
          <w:szCs w:val="24"/>
          <w:u w:val="single"/>
        </w:rPr>
        <w:t>Flue Gas Desulfurization (FGD)</w:t>
      </w:r>
    </w:p>
    <w:p w:rsidR="00FB6BE7" w:rsidRPr="00ED7E20" w:rsidRDefault="00FB6BE7" w:rsidP="00FB6BE7">
      <w:pPr>
        <w:spacing w:after="0" w:line="240" w:lineRule="auto"/>
        <w:rPr>
          <w:rFonts w:ascii="Times New Roman" w:hAnsi="Times New Roman"/>
          <w:sz w:val="24"/>
          <w:szCs w:val="24"/>
        </w:rPr>
      </w:pPr>
    </w:p>
    <w:p w:rsidR="00FB6BE7" w:rsidRPr="00ED7E20" w:rsidRDefault="00FB6BE7" w:rsidP="00FB6BE7">
      <w:pPr>
        <w:spacing w:after="0" w:line="240" w:lineRule="auto"/>
        <w:rPr>
          <w:rFonts w:ascii="Times New Roman" w:hAnsi="Times New Roman"/>
          <w:sz w:val="24"/>
          <w:szCs w:val="24"/>
        </w:rPr>
      </w:pPr>
      <w:r w:rsidRPr="00ED7E20">
        <w:rPr>
          <w:rFonts w:ascii="Times New Roman" w:hAnsi="Times New Roman"/>
          <w:sz w:val="24"/>
          <w:szCs w:val="24"/>
        </w:rPr>
        <w:t>Flue gas from coal- and oil-fired boilers will contain sulfur oxides produced from any sulfur in the fuel.  FGD is any process that removes these sulfur oxides, primarily sulfur dioxide (SO</w:t>
      </w:r>
      <w:r w:rsidRPr="00ED7E20">
        <w:rPr>
          <w:rFonts w:ascii="Times New Roman" w:hAnsi="Times New Roman"/>
          <w:sz w:val="24"/>
          <w:szCs w:val="24"/>
          <w:vertAlign w:val="subscript"/>
        </w:rPr>
        <w:t>2</w:t>
      </w:r>
      <w:r w:rsidRPr="00ED7E20">
        <w:rPr>
          <w:rFonts w:ascii="Times New Roman" w:hAnsi="Times New Roman"/>
          <w:sz w:val="24"/>
          <w:szCs w:val="24"/>
        </w:rPr>
        <w:t>) with a small amount of sulfur trioxide (SO</w:t>
      </w:r>
      <w:r w:rsidRPr="00ED7E20">
        <w:rPr>
          <w:rFonts w:ascii="Times New Roman" w:hAnsi="Times New Roman"/>
          <w:sz w:val="24"/>
          <w:szCs w:val="24"/>
          <w:vertAlign w:val="subscript"/>
        </w:rPr>
        <w:t>3</w:t>
      </w:r>
      <w:r w:rsidRPr="00ED7E20">
        <w:rPr>
          <w:rFonts w:ascii="Times New Roman" w:hAnsi="Times New Roman"/>
          <w:sz w:val="24"/>
          <w:szCs w:val="24"/>
        </w:rPr>
        <w:t>).  These sulfur oxides, or SO</w:t>
      </w:r>
      <w:r w:rsidRPr="00ED7E20">
        <w:rPr>
          <w:rFonts w:ascii="Times New Roman" w:hAnsi="Times New Roman"/>
          <w:sz w:val="24"/>
          <w:szCs w:val="24"/>
          <w:vertAlign w:val="subscript"/>
        </w:rPr>
        <w:t>X</w:t>
      </w:r>
      <w:r w:rsidRPr="00ED7E20">
        <w:rPr>
          <w:rFonts w:ascii="Times New Roman" w:hAnsi="Times New Roman"/>
          <w:sz w:val="24"/>
          <w:szCs w:val="24"/>
        </w:rPr>
        <w:t>, can range from 0.3 percent of the flue gas by volume down to several hundred parts per million.  The two main types of processes are characterized by either wet- or dry-process chemistry.</w:t>
      </w:r>
    </w:p>
    <w:p w:rsidR="00FB6BE7" w:rsidRPr="00ED7E20" w:rsidRDefault="00FB6BE7" w:rsidP="00FB6BE7">
      <w:pPr>
        <w:spacing w:after="0" w:line="240" w:lineRule="auto"/>
        <w:rPr>
          <w:rFonts w:ascii="Times New Roman" w:hAnsi="Times New Roman"/>
          <w:sz w:val="24"/>
          <w:szCs w:val="24"/>
        </w:rPr>
      </w:pPr>
    </w:p>
    <w:p w:rsidR="00FB6BE7" w:rsidRPr="00ED7E20" w:rsidRDefault="00FB6BE7" w:rsidP="00FB6BE7">
      <w:pPr>
        <w:spacing w:after="0" w:line="240" w:lineRule="auto"/>
        <w:rPr>
          <w:rFonts w:ascii="Times New Roman" w:hAnsi="Times New Roman"/>
          <w:sz w:val="24"/>
          <w:szCs w:val="24"/>
        </w:rPr>
      </w:pPr>
      <w:r w:rsidRPr="00ED7E20">
        <w:rPr>
          <w:rFonts w:ascii="Times New Roman" w:hAnsi="Times New Roman"/>
          <w:sz w:val="24"/>
          <w:szCs w:val="24"/>
        </w:rPr>
        <w:t>As implied by the category, wet processes collect the SO</w:t>
      </w:r>
      <w:r w:rsidRPr="00ED7E20">
        <w:rPr>
          <w:rFonts w:ascii="Times New Roman" w:hAnsi="Times New Roman"/>
          <w:sz w:val="24"/>
          <w:szCs w:val="24"/>
          <w:vertAlign w:val="subscript"/>
        </w:rPr>
        <w:t>X</w:t>
      </w:r>
      <w:r w:rsidRPr="00ED7E20">
        <w:rPr>
          <w:rFonts w:ascii="Times New Roman" w:hAnsi="Times New Roman"/>
          <w:sz w:val="24"/>
          <w:szCs w:val="24"/>
        </w:rPr>
        <w:t xml:space="preserve"> by treating the flue gas with a water-based solution or slurry.  One typical design the utility industry uses is a spray tower module where the flue gas flows up the tower and a series of nozzles spray an alkaline solution into the flue gas.  The common chemical used in wet scrubbers is limestone (CaCO</w:t>
      </w:r>
      <w:r w:rsidRPr="00ED7E20">
        <w:rPr>
          <w:rFonts w:ascii="Times New Roman" w:hAnsi="Times New Roman"/>
          <w:sz w:val="24"/>
          <w:szCs w:val="24"/>
          <w:vertAlign w:val="subscript"/>
        </w:rPr>
        <w:t>3</w:t>
      </w:r>
      <w:r w:rsidRPr="00ED7E20">
        <w:rPr>
          <w:rFonts w:ascii="Times New Roman" w:hAnsi="Times New Roman"/>
          <w:sz w:val="24"/>
          <w:szCs w:val="24"/>
        </w:rPr>
        <w:t>) and the solids produced by modern designs are predominantly calcium sulfate (CaSO</w:t>
      </w:r>
      <w:r w:rsidRPr="00ED7E20">
        <w:rPr>
          <w:rFonts w:ascii="Times New Roman" w:hAnsi="Times New Roman"/>
          <w:sz w:val="24"/>
          <w:szCs w:val="24"/>
          <w:vertAlign w:val="subscript"/>
        </w:rPr>
        <w:t>4</w:t>
      </w:r>
      <w:r w:rsidRPr="00ED7E20">
        <w:rPr>
          <w:rFonts w:ascii="Times New Roman" w:hAnsi="Times New Roman"/>
          <w:sz w:val="24"/>
          <w:szCs w:val="24"/>
        </w:rPr>
        <w:t>), or gypsum. This gypsum can either be sold as a pre-cursor to wallboard, used for agricultural purposes or be disposed of in a landfill or pond.  The wet processes are very efficient and remove 80 to 99 percent of the SO</w:t>
      </w:r>
      <w:r w:rsidRPr="00ED7E20">
        <w:rPr>
          <w:rFonts w:ascii="Times New Roman" w:hAnsi="Times New Roman"/>
          <w:sz w:val="24"/>
          <w:szCs w:val="24"/>
          <w:vertAlign w:val="subscript"/>
        </w:rPr>
        <w:t>2</w:t>
      </w:r>
      <w:r w:rsidRPr="00ED7E20">
        <w:rPr>
          <w:rFonts w:ascii="Times New Roman" w:hAnsi="Times New Roman"/>
          <w:sz w:val="24"/>
          <w:szCs w:val="24"/>
        </w:rPr>
        <w:t xml:space="preserve"> in flue gas with 95 percent removal typical.</w:t>
      </w:r>
    </w:p>
    <w:p w:rsidR="00FB6BE7" w:rsidRPr="00ED7E20" w:rsidRDefault="00FB6BE7" w:rsidP="00FB6BE7">
      <w:pPr>
        <w:spacing w:after="0" w:line="240" w:lineRule="auto"/>
        <w:rPr>
          <w:rFonts w:ascii="Times New Roman" w:hAnsi="Times New Roman"/>
          <w:sz w:val="24"/>
          <w:szCs w:val="24"/>
        </w:rPr>
      </w:pPr>
    </w:p>
    <w:p w:rsidR="00FB6BE7" w:rsidRPr="00ED7E20" w:rsidRDefault="00FB6BE7" w:rsidP="00FB6BE7">
      <w:pPr>
        <w:spacing w:after="0" w:line="240" w:lineRule="auto"/>
        <w:rPr>
          <w:rFonts w:ascii="Times New Roman" w:hAnsi="Times New Roman"/>
          <w:sz w:val="24"/>
          <w:szCs w:val="24"/>
        </w:rPr>
      </w:pPr>
      <w:r w:rsidRPr="00ED7E20">
        <w:rPr>
          <w:rFonts w:ascii="Times New Roman" w:hAnsi="Times New Roman"/>
          <w:sz w:val="24"/>
          <w:szCs w:val="24"/>
        </w:rPr>
        <w:t xml:space="preserve">Dry processes inject </w:t>
      </w:r>
      <w:proofErr w:type="gramStart"/>
      <w:r w:rsidRPr="00ED7E20">
        <w:rPr>
          <w:rFonts w:ascii="Times New Roman" w:hAnsi="Times New Roman"/>
          <w:sz w:val="24"/>
          <w:szCs w:val="24"/>
        </w:rPr>
        <w:t>an alkaline</w:t>
      </w:r>
      <w:proofErr w:type="gramEnd"/>
      <w:r w:rsidRPr="00ED7E20">
        <w:rPr>
          <w:rFonts w:ascii="Times New Roman" w:hAnsi="Times New Roman"/>
          <w:sz w:val="24"/>
          <w:szCs w:val="24"/>
        </w:rPr>
        <w:t xml:space="preserve"> slurry into the flue gas stream in a spray dryer followed by a particulate control device.  The spray dryer is a unit where the hot flue gases are contacted with the wet alkaline spray that absorbs the SO</w:t>
      </w:r>
      <w:r w:rsidRPr="00ED7E20">
        <w:rPr>
          <w:rFonts w:ascii="Times New Roman" w:hAnsi="Times New Roman"/>
          <w:sz w:val="24"/>
          <w:szCs w:val="24"/>
          <w:vertAlign w:val="subscript"/>
        </w:rPr>
        <w:t>2</w:t>
      </w:r>
      <w:r w:rsidRPr="00ED7E20">
        <w:rPr>
          <w:rFonts w:ascii="Times New Roman" w:hAnsi="Times New Roman"/>
          <w:sz w:val="24"/>
          <w:szCs w:val="24"/>
        </w:rPr>
        <w:t>.  The hot flue gas evaporates the water and leaves a dry residue that can then be captured with the fly ash, typically in a baghouse.  ESPs are normally not used behind a spray dryer because of the high resistivity of the calcium residues</w:t>
      </w:r>
      <w:r>
        <w:rPr>
          <w:rFonts w:ascii="Times New Roman" w:hAnsi="Times New Roman"/>
          <w:sz w:val="24"/>
          <w:szCs w:val="24"/>
        </w:rPr>
        <w:t xml:space="preserve"> that are added to the fly ash</w:t>
      </w:r>
      <w:r w:rsidRPr="00ED7E20">
        <w:rPr>
          <w:rFonts w:ascii="Times New Roman" w:hAnsi="Times New Roman"/>
          <w:sz w:val="24"/>
          <w:szCs w:val="24"/>
        </w:rPr>
        <w:t xml:space="preserve">.  The residue also contains a mixture of calcium sulfite/sulfate, along with the fly ash from the fuel.  This waste is not suitable for other uses and must be disposed of in a landfill or pond.  </w:t>
      </w:r>
      <w:r>
        <w:rPr>
          <w:rFonts w:ascii="Times New Roman" w:hAnsi="Times New Roman"/>
          <w:sz w:val="24"/>
          <w:szCs w:val="24"/>
        </w:rPr>
        <w:t>Historically, d</w:t>
      </w:r>
      <w:r w:rsidRPr="00ED7E20">
        <w:rPr>
          <w:rFonts w:ascii="Times New Roman" w:hAnsi="Times New Roman"/>
          <w:sz w:val="24"/>
          <w:szCs w:val="24"/>
        </w:rPr>
        <w:t xml:space="preserve">ry scrubbing </w:t>
      </w:r>
      <w:r>
        <w:rPr>
          <w:rFonts w:ascii="Times New Roman" w:hAnsi="Times New Roman"/>
          <w:sz w:val="24"/>
          <w:szCs w:val="24"/>
        </w:rPr>
        <w:t xml:space="preserve">is considered to typically </w:t>
      </w:r>
      <w:r w:rsidRPr="00ED7E20">
        <w:rPr>
          <w:rFonts w:ascii="Times New Roman" w:hAnsi="Times New Roman"/>
          <w:sz w:val="24"/>
          <w:szCs w:val="24"/>
        </w:rPr>
        <w:t>remove 75 to 90 percent of the SO</w:t>
      </w:r>
      <w:r w:rsidRPr="00ED7E20">
        <w:rPr>
          <w:rFonts w:ascii="Times New Roman" w:hAnsi="Times New Roman"/>
          <w:sz w:val="24"/>
          <w:szCs w:val="24"/>
          <w:vertAlign w:val="subscript"/>
        </w:rPr>
        <w:t>2</w:t>
      </w:r>
      <w:r w:rsidRPr="00ED7E20">
        <w:rPr>
          <w:rFonts w:ascii="Times New Roman" w:hAnsi="Times New Roman"/>
          <w:sz w:val="24"/>
          <w:szCs w:val="24"/>
        </w:rPr>
        <w:t xml:space="preserve"> in flue gas.</w:t>
      </w:r>
    </w:p>
    <w:p w:rsidR="00FB6BE7" w:rsidRPr="00ED7E20" w:rsidRDefault="00FB6BE7" w:rsidP="00FB6BE7">
      <w:pPr>
        <w:keepNext/>
        <w:keepLines/>
        <w:tabs>
          <w:tab w:val="left" w:pos="540"/>
        </w:tabs>
        <w:spacing w:after="0" w:line="240" w:lineRule="auto"/>
        <w:rPr>
          <w:rFonts w:ascii="Times New Roman" w:hAnsi="Times New Roman"/>
          <w:sz w:val="24"/>
          <w:szCs w:val="24"/>
        </w:rPr>
      </w:pPr>
    </w:p>
    <w:p w:rsidR="00FB6BE7" w:rsidRPr="00ED7E20" w:rsidRDefault="00FB6BE7" w:rsidP="00FB6BE7">
      <w:pPr>
        <w:tabs>
          <w:tab w:val="left" w:pos="540"/>
        </w:tabs>
        <w:spacing w:after="0" w:line="240" w:lineRule="auto"/>
        <w:rPr>
          <w:rFonts w:ascii="Times New Roman" w:hAnsi="Times New Roman"/>
          <w:b/>
          <w:color w:val="CC0000"/>
          <w:sz w:val="24"/>
          <w:szCs w:val="24"/>
          <w:u w:val="single"/>
        </w:rPr>
      </w:pPr>
      <w:r w:rsidRPr="004E125C">
        <w:rPr>
          <w:rFonts w:ascii="Times New Roman" w:hAnsi="Times New Roman"/>
          <w:b/>
          <w:color w:val="CC0000"/>
          <w:sz w:val="24"/>
          <w:szCs w:val="24"/>
        </w:rPr>
        <w:t>VII.</w:t>
      </w:r>
      <w:r w:rsidRPr="004E125C">
        <w:rPr>
          <w:rFonts w:ascii="Times New Roman" w:hAnsi="Times New Roman"/>
          <w:b/>
          <w:color w:val="CC0000"/>
          <w:sz w:val="24"/>
          <w:szCs w:val="24"/>
        </w:rPr>
        <w:tab/>
      </w:r>
      <w:r>
        <w:rPr>
          <w:rFonts w:ascii="Times New Roman" w:hAnsi="Times New Roman"/>
          <w:b/>
          <w:color w:val="CC0000"/>
          <w:sz w:val="24"/>
          <w:szCs w:val="24"/>
          <w:u w:val="single"/>
        </w:rPr>
        <w:t>Dry Sorbent Injection (DSI)</w:t>
      </w:r>
    </w:p>
    <w:p w:rsidR="00FB6BE7" w:rsidRDefault="00FB6BE7" w:rsidP="00FB6BE7">
      <w:pPr>
        <w:spacing w:after="0" w:line="240" w:lineRule="auto"/>
        <w:rPr>
          <w:rFonts w:ascii="Times New Roman" w:hAnsi="Times New Roman"/>
          <w:sz w:val="24"/>
          <w:szCs w:val="24"/>
        </w:rPr>
      </w:pPr>
    </w:p>
    <w:p w:rsidR="00FB6BE7" w:rsidRDefault="00FB6BE7" w:rsidP="00FB6BE7">
      <w:pPr>
        <w:spacing w:after="0" w:line="240" w:lineRule="auto"/>
        <w:rPr>
          <w:rFonts w:ascii="Times New Roman" w:hAnsi="Times New Roman"/>
          <w:sz w:val="24"/>
          <w:szCs w:val="24"/>
        </w:rPr>
      </w:pPr>
      <w:r>
        <w:rPr>
          <w:rFonts w:ascii="Times New Roman" w:hAnsi="Times New Roman"/>
          <w:sz w:val="24"/>
          <w:szCs w:val="24"/>
        </w:rPr>
        <w:t xml:space="preserve">Dry sorbent injection is a technology that can help reduce acid gas emissions, as required by the MATS rule.  </w:t>
      </w:r>
      <w:r w:rsidRPr="00421A72">
        <w:rPr>
          <w:rFonts w:ascii="Times New Roman" w:hAnsi="Times New Roman"/>
          <w:sz w:val="24"/>
          <w:szCs w:val="24"/>
        </w:rPr>
        <w:t xml:space="preserve">DSI systems remove hydrogen chloride (HCl) and other acid gases through two basic steps. </w:t>
      </w:r>
      <w:r>
        <w:rPr>
          <w:rFonts w:ascii="Times New Roman" w:hAnsi="Times New Roman"/>
          <w:sz w:val="24"/>
          <w:szCs w:val="24"/>
        </w:rPr>
        <w:t xml:space="preserve"> In s</w:t>
      </w:r>
      <w:r w:rsidRPr="00421A72">
        <w:rPr>
          <w:rFonts w:ascii="Times New Roman" w:hAnsi="Times New Roman"/>
          <w:sz w:val="24"/>
          <w:szCs w:val="24"/>
        </w:rPr>
        <w:t>tep one</w:t>
      </w:r>
      <w:r>
        <w:rPr>
          <w:rFonts w:ascii="Times New Roman" w:hAnsi="Times New Roman"/>
          <w:sz w:val="24"/>
          <w:szCs w:val="24"/>
        </w:rPr>
        <w:t>,</w:t>
      </w:r>
      <w:r w:rsidRPr="00421A72">
        <w:rPr>
          <w:rFonts w:ascii="Times New Roman" w:hAnsi="Times New Roman"/>
          <w:sz w:val="24"/>
          <w:szCs w:val="24"/>
        </w:rPr>
        <w:t xml:space="preserve"> </w:t>
      </w:r>
      <w:r>
        <w:rPr>
          <w:rFonts w:ascii="Times New Roman" w:hAnsi="Times New Roman"/>
          <w:sz w:val="24"/>
          <w:szCs w:val="24"/>
        </w:rPr>
        <w:t>a</w:t>
      </w:r>
      <w:r w:rsidRPr="00421A72">
        <w:rPr>
          <w:rFonts w:ascii="Times New Roman" w:hAnsi="Times New Roman"/>
          <w:sz w:val="24"/>
          <w:szCs w:val="24"/>
        </w:rPr>
        <w:t xml:space="preserve"> powdered sorbent is injected into the flue gas—combustion exhaust gas exiting a power plant—where it reacts with the HCl. </w:t>
      </w:r>
      <w:r>
        <w:rPr>
          <w:rFonts w:ascii="Times New Roman" w:hAnsi="Times New Roman"/>
          <w:sz w:val="24"/>
          <w:szCs w:val="24"/>
        </w:rPr>
        <w:t xml:space="preserve"> </w:t>
      </w:r>
      <w:r w:rsidRPr="00421A72">
        <w:rPr>
          <w:rFonts w:ascii="Times New Roman" w:hAnsi="Times New Roman"/>
          <w:sz w:val="24"/>
          <w:szCs w:val="24"/>
        </w:rPr>
        <w:t xml:space="preserve">The sorbents most commonly associated with DSI are trona (sodium sesquicarbonate, a naturally occurring mineral mined in Wyoming), sodium bicarbonate, and hydrated lime. </w:t>
      </w:r>
    </w:p>
    <w:p w:rsidR="00342133" w:rsidRPr="00421A72" w:rsidRDefault="00342133" w:rsidP="00FB6BE7">
      <w:pPr>
        <w:spacing w:after="0" w:line="240" w:lineRule="auto"/>
        <w:rPr>
          <w:rFonts w:ascii="Times New Roman" w:hAnsi="Times New Roman"/>
          <w:sz w:val="24"/>
          <w:szCs w:val="24"/>
        </w:rPr>
      </w:pPr>
    </w:p>
    <w:p w:rsidR="00FB6BE7" w:rsidRDefault="00FB6BE7" w:rsidP="00FB6BE7">
      <w:pPr>
        <w:spacing w:after="0" w:line="240" w:lineRule="auto"/>
        <w:rPr>
          <w:rFonts w:ascii="Times New Roman" w:hAnsi="Times New Roman"/>
          <w:sz w:val="24"/>
          <w:szCs w:val="24"/>
        </w:rPr>
      </w:pPr>
      <w:r>
        <w:rPr>
          <w:rFonts w:ascii="Times New Roman" w:hAnsi="Times New Roman"/>
          <w:sz w:val="24"/>
          <w:szCs w:val="24"/>
        </w:rPr>
        <w:t>For s</w:t>
      </w:r>
      <w:r w:rsidRPr="00421A72">
        <w:rPr>
          <w:rFonts w:ascii="Times New Roman" w:hAnsi="Times New Roman"/>
          <w:sz w:val="24"/>
          <w:szCs w:val="24"/>
        </w:rPr>
        <w:t>tep two</w:t>
      </w:r>
      <w:r>
        <w:rPr>
          <w:rFonts w:ascii="Times New Roman" w:hAnsi="Times New Roman"/>
          <w:sz w:val="24"/>
          <w:szCs w:val="24"/>
        </w:rPr>
        <w:t>, t</w:t>
      </w:r>
      <w:r w:rsidRPr="00421A72">
        <w:rPr>
          <w:rFonts w:ascii="Times New Roman" w:hAnsi="Times New Roman"/>
          <w:sz w:val="24"/>
          <w:szCs w:val="24"/>
        </w:rPr>
        <w:t xml:space="preserve">he compound is removed by a downstream particulate matter control device such as an electrostatic precipitator (ESP) or a baghouse. </w:t>
      </w:r>
      <w:r>
        <w:rPr>
          <w:rFonts w:ascii="Times New Roman" w:hAnsi="Times New Roman"/>
          <w:sz w:val="24"/>
          <w:szCs w:val="24"/>
        </w:rPr>
        <w:t xml:space="preserve"> Baghouses</w:t>
      </w:r>
      <w:r w:rsidRPr="00421A72">
        <w:rPr>
          <w:rFonts w:ascii="Times New Roman" w:hAnsi="Times New Roman"/>
          <w:sz w:val="24"/>
          <w:szCs w:val="24"/>
        </w:rPr>
        <w:t xml:space="preserve"> are generally more effective (when combined with DSI) than ESPs, with respect to overall HCl reduction. For modeling purposes, EPA estimates a DSI system with a </w:t>
      </w:r>
      <w:r>
        <w:rPr>
          <w:rFonts w:ascii="Times New Roman" w:hAnsi="Times New Roman"/>
          <w:sz w:val="24"/>
          <w:szCs w:val="24"/>
        </w:rPr>
        <w:t>baghouse</w:t>
      </w:r>
      <w:r w:rsidRPr="00421A72">
        <w:rPr>
          <w:rFonts w:ascii="Times New Roman" w:hAnsi="Times New Roman"/>
          <w:sz w:val="24"/>
          <w:szCs w:val="24"/>
        </w:rPr>
        <w:t xml:space="preserve"> is expected to achieve 90% removal of HCl, while an ESP only achieves 60% removal, although actual performance will vary by individual plant. </w:t>
      </w:r>
    </w:p>
    <w:p w:rsidR="00FB6BE7" w:rsidRPr="00421A72" w:rsidRDefault="00FB6BE7" w:rsidP="00FB6BE7">
      <w:pPr>
        <w:spacing w:after="0" w:line="240" w:lineRule="auto"/>
        <w:rPr>
          <w:rFonts w:ascii="Times New Roman" w:hAnsi="Times New Roman"/>
          <w:sz w:val="24"/>
          <w:szCs w:val="24"/>
        </w:rPr>
      </w:pPr>
    </w:p>
    <w:p w:rsidR="00FB6BE7" w:rsidRPr="00421A72" w:rsidRDefault="00FB6BE7" w:rsidP="00FB6BE7">
      <w:pPr>
        <w:spacing w:after="0" w:line="240" w:lineRule="auto"/>
        <w:rPr>
          <w:rFonts w:ascii="Times New Roman" w:hAnsi="Times New Roman"/>
          <w:sz w:val="24"/>
          <w:szCs w:val="24"/>
        </w:rPr>
      </w:pPr>
      <w:r w:rsidRPr="00421A72">
        <w:rPr>
          <w:rFonts w:ascii="Times New Roman" w:hAnsi="Times New Roman"/>
          <w:sz w:val="24"/>
          <w:szCs w:val="24"/>
        </w:rPr>
        <w:t xml:space="preserve">DSI systems generally do not require significant capital expenses, but may rely on significant quantities of sorbent to operate effectively, which increases the operating costs. Waste disposal for DSI may also be a significant variable cost, while the waste products from an FGD system can be sold as feedstock for industrial processes. In addition, DSI's potential effectiveness is limited to certain types of plants. Because of the amount of sorbent needed, DSI will likely be implemented most often at plants that are 300 megawatts or less and burn low-sulfur coal. </w:t>
      </w:r>
    </w:p>
    <w:p w:rsidR="00FB6BE7" w:rsidRPr="00421A72" w:rsidRDefault="00FB6BE7" w:rsidP="00FB6BE7">
      <w:pPr>
        <w:spacing w:after="0" w:line="240" w:lineRule="auto"/>
        <w:rPr>
          <w:rFonts w:ascii="Times New Roman" w:hAnsi="Times New Roman"/>
          <w:sz w:val="24"/>
          <w:szCs w:val="24"/>
        </w:rPr>
      </w:pPr>
    </w:p>
    <w:p w:rsidR="00FB6BE7" w:rsidRPr="00421A72" w:rsidRDefault="00FB6BE7" w:rsidP="00FB6BE7">
      <w:pPr>
        <w:spacing w:after="0" w:line="240" w:lineRule="auto"/>
        <w:rPr>
          <w:rFonts w:ascii="Times New Roman" w:hAnsi="Times New Roman"/>
          <w:sz w:val="24"/>
          <w:szCs w:val="24"/>
        </w:rPr>
      </w:pPr>
      <w:r w:rsidRPr="00421A72">
        <w:rPr>
          <w:rFonts w:ascii="Times New Roman" w:hAnsi="Times New Roman"/>
          <w:sz w:val="24"/>
          <w:szCs w:val="24"/>
        </w:rPr>
        <w:t>DSI systems can also significantly reduce sulfur dioxide (SO</w:t>
      </w:r>
      <w:r w:rsidRPr="00421A72">
        <w:rPr>
          <w:rFonts w:ascii="Times New Roman" w:hAnsi="Times New Roman"/>
          <w:sz w:val="24"/>
          <w:szCs w:val="24"/>
          <w:vertAlign w:val="subscript"/>
        </w:rPr>
        <w:t>2</w:t>
      </w:r>
      <w:r w:rsidRPr="00421A72">
        <w:rPr>
          <w:rFonts w:ascii="Times New Roman" w:hAnsi="Times New Roman"/>
          <w:sz w:val="24"/>
          <w:szCs w:val="24"/>
        </w:rPr>
        <w:t>) emissions through the same process as HCl removal. While the MATS rule does not specifically address SO</w:t>
      </w:r>
      <w:r w:rsidRPr="00421A72">
        <w:rPr>
          <w:rFonts w:ascii="Times New Roman" w:hAnsi="Times New Roman"/>
          <w:sz w:val="24"/>
          <w:szCs w:val="24"/>
          <w:vertAlign w:val="subscript"/>
        </w:rPr>
        <w:t>2</w:t>
      </w:r>
      <w:r w:rsidRPr="00421A72">
        <w:rPr>
          <w:rFonts w:ascii="Times New Roman" w:hAnsi="Times New Roman"/>
          <w:sz w:val="24"/>
          <w:szCs w:val="24"/>
        </w:rPr>
        <w:t xml:space="preserve">, it has similar qualities to HCl and other acid gases that enable it to respond similarly in a DSI system. </w:t>
      </w:r>
    </w:p>
    <w:p w:rsidR="00FB6BE7" w:rsidRPr="00ED7E20" w:rsidRDefault="00FB6BE7" w:rsidP="00FB6BE7">
      <w:pPr>
        <w:spacing w:after="0" w:line="240" w:lineRule="auto"/>
        <w:rPr>
          <w:rFonts w:ascii="Times New Roman" w:hAnsi="Times New Roman"/>
          <w:sz w:val="24"/>
          <w:szCs w:val="24"/>
        </w:rPr>
      </w:pPr>
    </w:p>
    <w:p w:rsidR="00FB6BE7" w:rsidRPr="00ED7E20" w:rsidRDefault="00FB6BE7" w:rsidP="00FB6BE7">
      <w:pPr>
        <w:tabs>
          <w:tab w:val="left" w:pos="540"/>
        </w:tabs>
        <w:spacing w:after="0" w:line="240" w:lineRule="auto"/>
        <w:rPr>
          <w:rFonts w:ascii="Times New Roman" w:hAnsi="Times New Roman"/>
          <w:b/>
          <w:color w:val="CC0000"/>
          <w:sz w:val="24"/>
          <w:szCs w:val="24"/>
        </w:rPr>
      </w:pPr>
      <w:r w:rsidRPr="00ED7E20">
        <w:rPr>
          <w:rFonts w:ascii="Times New Roman" w:hAnsi="Times New Roman"/>
          <w:b/>
          <w:color w:val="CC0000"/>
          <w:sz w:val="24"/>
          <w:szCs w:val="24"/>
        </w:rPr>
        <w:t>VIII.</w:t>
      </w:r>
      <w:r>
        <w:rPr>
          <w:rFonts w:ascii="Times New Roman" w:hAnsi="Times New Roman"/>
          <w:b/>
          <w:color w:val="CC0000"/>
          <w:sz w:val="24"/>
          <w:szCs w:val="24"/>
        </w:rPr>
        <w:tab/>
      </w:r>
      <w:r>
        <w:rPr>
          <w:rFonts w:ascii="Times New Roman" w:hAnsi="Times New Roman"/>
          <w:b/>
          <w:color w:val="CC0000"/>
          <w:sz w:val="24"/>
          <w:szCs w:val="24"/>
          <w:u w:val="single"/>
        </w:rPr>
        <w:t>Baghouses</w:t>
      </w:r>
    </w:p>
    <w:p w:rsidR="00FB6BE7" w:rsidRPr="00ED7E20" w:rsidRDefault="00FB6BE7" w:rsidP="00FB6BE7">
      <w:pPr>
        <w:spacing w:after="0" w:line="240" w:lineRule="auto"/>
        <w:rPr>
          <w:rFonts w:ascii="Times New Roman" w:hAnsi="Times New Roman"/>
          <w:sz w:val="24"/>
          <w:szCs w:val="24"/>
        </w:rPr>
      </w:pPr>
    </w:p>
    <w:p w:rsidR="00FB6BE7" w:rsidRDefault="00FB6BE7" w:rsidP="00FB6BE7">
      <w:pPr>
        <w:spacing w:after="0" w:line="240" w:lineRule="auto"/>
        <w:rPr>
          <w:rFonts w:ascii="Times New Roman" w:hAnsi="Times New Roman"/>
          <w:sz w:val="24"/>
          <w:szCs w:val="24"/>
        </w:rPr>
      </w:pPr>
      <w:r>
        <w:rPr>
          <w:rFonts w:ascii="Times New Roman" w:hAnsi="Times New Roman"/>
          <w:sz w:val="24"/>
          <w:szCs w:val="24"/>
        </w:rPr>
        <w:t xml:space="preserve">Baghouses are filter devices that remove solid particles from flue gas streams by passing the gases through a fabric, and thus collecting the particles.  While baghouses can either operate as a standalone control device or in conjunction with other particulate capture devices, all of Georgia Power’s existing and planned baghouses will be located downstream of the plant’s existing electrostatic precipitators.  This configuration – a baghouse located downstream of an existing ESP – was patented by EPRI and is known as a Compact Hybrid Particulate </w:t>
      </w:r>
      <w:r w:rsidR="00342133">
        <w:rPr>
          <w:rFonts w:ascii="Times New Roman" w:hAnsi="Times New Roman"/>
          <w:sz w:val="24"/>
          <w:szCs w:val="24"/>
        </w:rPr>
        <w:t>C</w:t>
      </w:r>
      <w:r>
        <w:rPr>
          <w:rFonts w:ascii="Times New Roman" w:hAnsi="Times New Roman"/>
          <w:sz w:val="24"/>
          <w:szCs w:val="24"/>
        </w:rPr>
        <w:t xml:space="preserve">ollector (COHPAC).  </w:t>
      </w:r>
    </w:p>
    <w:p w:rsidR="00FB6BE7" w:rsidRDefault="00FB6BE7" w:rsidP="00FB6BE7">
      <w:pPr>
        <w:spacing w:after="0" w:line="240" w:lineRule="auto"/>
        <w:rPr>
          <w:rFonts w:ascii="Times New Roman" w:hAnsi="Times New Roman"/>
          <w:sz w:val="24"/>
          <w:szCs w:val="24"/>
        </w:rPr>
      </w:pPr>
    </w:p>
    <w:p w:rsidR="00FB6BE7" w:rsidRPr="00ED7E20" w:rsidRDefault="00FB6BE7" w:rsidP="00FB6BE7">
      <w:pPr>
        <w:spacing w:after="0" w:line="240" w:lineRule="auto"/>
        <w:rPr>
          <w:rFonts w:ascii="Times New Roman" w:hAnsi="Times New Roman"/>
          <w:sz w:val="24"/>
          <w:szCs w:val="24"/>
        </w:rPr>
      </w:pPr>
      <w:r w:rsidRPr="00ED7E20">
        <w:rPr>
          <w:rFonts w:ascii="Times New Roman" w:hAnsi="Times New Roman"/>
          <w:sz w:val="24"/>
          <w:szCs w:val="24"/>
        </w:rPr>
        <w:t xml:space="preserve">The basic </w:t>
      </w:r>
      <w:r>
        <w:rPr>
          <w:rFonts w:ascii="Times New Roman" w:hAnsi="Times New Roman"/>
          <w:sz w:val="24"/>
          <w:szCs w:val="24"/>
        </w:rPr>
        <w:t xml:space="preserve">COHPAC </w:t>
      </w:r>
      <w:r w:rsidRPr="00ED7E20">
        <w:rPr>
          <w:rFonts w:ascii="Times New Roman" w:hAnsi="Times New Roman"/>
          <w:sz w:val="24"/>
          <w:szCs w:val="24"/>
        </w:rPr>
        <w:t xml:space="preserve">concept is to place a pulse-jet fabric filter (PJFF) downstream of an existing ESP to serve as a “polishing” or performance-upgrading unit.  The flue gas enters the PJFF and passes through the fabric where the fly ash particles are filtered from the gas.  The particles are collected on the outside of the fabric and the resulting dust layer is cleaned </w:t>
      </w:r>
      <w:r w:rsidR="00342133">
        <w:rPr>
          <w:rFonts w:ascii="Times New Roman" w:hAnsi="Times New Roman"/>
          <w:sz w:val="24"/>
          <w:szCs w:val="24"/>
        </w:rPr>
        <w:t xml:space="preserve">from the bags </w:t>
      </w:r>
      <w:r w:rsidRPr="00ED7E20">
        <w:rPr>
          <w:rFonts w:ascii="Times New Roman" w:hAnsi="Times New Roman"/>
          <w:sz w:val="24"/>
          <w:szCs w:val="24"/>
        </w:rPr>
        <w:t>by air pulses (</w:t>
      </w:r>
      <w:r w:rsidR="00342133">
        <w:rPr>
          <w:rFonts w:ascii="Times New Roman" w:hAnsi="Times New Roman"/>
          <w:sz w:val="24"/>
          <w:szCs w:val="24"/>
        </w:rPr>
        <w:t>and thus</w:t>
      </w:r>
      <w:r w:rsidRPr="00ED7E20">
        <w:rPr>
          <w:rFonts w:ascii="Times New Roman" w:hAnsi="Times New Roman"/>
          <w:sz w:val="24"/>
          <w:szCs w:val="24"/>
        </w:rPr>
        <w:t>, the nomenclature</w:t>
      </w:r>
      <w:r w:rsidR="00342133">
        <w:rPr>
          <w:rFonts w:ascii="Times New Roman" w:hAnsi="Times New Roman"/>
          <w:sz w:val="24"/>
          <w:szCs w:val="24"/>
        </w:rPr>
        <w:t>:</w:t>
      </w:r>
      <w:r w:rsidRPr="00ED7E20">
        <w:rPr>
          <w:rFonts w:ascii="Times New Roman" w:hAnsi="Times New Roman"/>
          <w:sz w:val="24"/>
          <w:szCs w:val="24"/>
        </w:rPr>
        <w:t xml:space="preserve"> pulse-jet fabric filters).  Since the ESP removes a significant amount of the particles from the gas stream the flue gas reaching the baghouse has a significantly reduced dust load.  The residual electrical charge from particle charging in the ESP and low-dust loading enables the COHPAC PJFF to operate at an air-to-cloth ratio (A/C) in the </w:t>
      </w:r>
      <w:r>
        <w:rPr>
          <w:rFonts w:ascii="Times New Roman" w:hAnsi="Times New Roman"/>
          <w:sz w:val="24"/>
          <w:szCs w:val="24"/>
        </w:rPr>
        <w:t>6</w:t>
      </w:r>
      <w:r w:rsidRPr="00ED7E20">
        <w:rPr>
          <w:rFonts w:ascii="Times New Roman" w:hAnsi="Times New Roman"/>
          <w:sz w:val="24"/>
          <w:szCs w:val="24"/>
        </w:rPr>
        <w:t xml:space="preserve"> to 12 range.  (A/C is a ratio of the amount of gas to the amount of fabric present.)  A typical full-scale PJFF </w:t>
      </w:r>
      <w:r w:rsidR="00342133">
        <w:rPr>
          <w:rFonts w:ascii="Times New Roman" w:hAnsi="Times New Roman"/>
          <w:sz w:val="24"/>
          <w:szCs w:val="24"/>
        </w:rPr>
        <w:t xml:space="preserve">without an upstream ESP </w:t>
      </w:r>
      <w:r w:rsidRPr="00ED7E20">
        <w:rPr>
          <w:rFonts w:ascii="Times New Roman" w:hAnsi="Times New Roman"/>
          <w:sz w:val="24"/>
          <w:szCs w:val="24"/>
        </w:rPr>
        <w:t>must operate at A/C ratios of 4 or below, allowing the physical size of a COHPAC PJFF to be up to one-fourth the size of a normal PJFF, which reduces the cost significantly.</w:t>
      </w:r>
    </w:p>
    <w:p w:rsidR="00FB6BE7" w:rsidRPr="00ED7E20" w:rsidRDefault="00FB6BE7" w:rsidP="00FB6BE7">
      <w:pPr>
        <w:tabs>
          <w:tab w:val="left" w:pos="540"/>
          <w:tab w:val="left" w:pos="4716"/>
          <w:tab w:val="left" w:pos="4896"/>
          <w:tab w:val="left" w:pos="6718"/>
        </w:tabs>
        <w:suppressAutoHyphens/>
        <w:spacing w:after="0" w:line="240" w:lineRule="auto"/>
        <w:rPr>
          <w:rFonts w:ascii="Times New Roman" w:hAnsi="Times New Roman"/>
          <w:sz w:val="24"/>
          <w:szCs w:val="24"/>
        </w:rPr>
      </w:pPr>
    </w:p>
    <w:p w:rsidR="00FB6BE7" w:rsidRPr="00ED7E20" w:rsidRDefault="00FB6BE7" w:rsidP="00FB6BE7">
      <w:pPr>
        <w:spacing w:after="0" w:line="240" w:lineRule="auto"/>
        <w:rPr>
          <w:rFonts w:ascii="Times New Roman" w:hAnsi="Times New Roman"/>
          <w:b/>
          <w:color w:val="CC0000"/>
          <w:sz w:val="24"/>
          <w:szCs w:val="24"/>
        </w:rPr>
      </w:pPr>
      <w:r w:rsidRPr="00ED7E20">
        <w:rPr>
          <w:rFonts w:ascii="Times New Roman" w:hAnsi="Times New Roman"/>
          <w:b/>
          <w:color w:val="CC0000"/>
          <w:sz w:val="24"/>
          <w:szCs w:val="24"/>
        </w:rPr>
        <w:t>IX.</w:t>
      </w:r>
      <w:r w:rsidRPr="00ED7E20">
        <w:rPr>
          <w:rFonts w:ascii="Times New Roman" w:hAnsi="Times New Roman"/>
          <w:b/>
          <w:color w:val="CC0000"/>
          <w:sz w:val="24"/>
          <w:szCs w:val="24"/>
        </w:rPr>
        <w:tab/>
      </w:r>
      <w:r w:rsidRPr="00ED7E20">
        <w:rPr>
          <w:rFonts w:ascii="Times New Roman" w:hAnsi="Times New Roman"/>
          <w:b/>
          <w:color w:val="CC0000"/>
          <w:sz w:val="24"/>
          <w:szCs w:val="24"/>
          <w:u w:val="single"/>
        </w:rPr>
        <w:t>Activated Carbon Injection</w:t>
      </w:r>
      <w:r w:rsidR="00342133">
        <w:rPr>
          <w:rFonts w:ascii="Times New Roman" w:hAnsi="Times New Roman"/>
          <w:b/>
          <w:color w:val="CC0000"/>
          <w:sz w:val="24"/>
          <w:szCs w:val="24"/>
          <w:u w:val="single"/>
        </w:rPr>
        <w:t xml:space="preserve"> and Sulfuric Acid Mist Control</w:t>
      </w:r>
    </w:p>
    <w:p w:rsidR="00FB6BE7" w:rsidRPr="00ED7E20" w:rsidRDefault="00FB6BE7" w:rsidP="00FB6BE7">
      <w:pPr>
        <w:spacing w:after="0" w:line="240" w:lineRule="auto"/>
        <w:rPr>
          <w:rFonts w:ascii="Times New Roman" w:hAnsi="Times New Roman"/>
          <w:sz w:val="24"/>
          <w:szCs w:val="24"/>
        </w:rPr>
      </w:pPr>
    </w:p>
    <w:p w:rsidR="00FB6BE7" w:rsidRPr="00ED7E20" w:rsidRDefault="00FB6BE7" w:rsidP="00FB6BE7">
      <w:pPr>
        <w:spacing w:after="0" w:line="240" w:lineRule="auto"/>
        <w:rPr>
          <w:rFonts w:ascii="Times New Roman" w:hAnsi="Times New Roman"/>
          <w:sz w:val="24"/>
          <w:szCs w:val="24"/>
        </w:rPr>
      </w:pPr>
      <w:r w:rsidRPr="00ED7E20">
        <w:rPr>
          <w:rFonts w:ascii="Times New Roman" w:hAnsi="Times New Roman"/>
          <w:sz w:val="24"/>
          <w:szCs w:val="24"/>
        </w:rPr>
        <w:t xml:space="preserve">Activated carbon injection (ACI) for Hg control involves the addition of powdered activated carbon to flue gas streams where it adsorbs vapor phase mercury.  This powdered material is made by “cooking” low rank coals with steam and temperature to activate the surface, generating a highly reactive product that acts like a chemical sponge.  Once injected into the flue gas, the activated carbon (and adsorbed mercury) must be collected in a particulate collection device.  To date, the most common applications of this technology have either been 1) ahead of an electrostatic precipitator (ESP) or 2) downstream of an existing ESP but upstream of a high ratio (COHPAC) baghouse. </w:t>
      </w:r>
    </w:p>
    <w:p w:rsidR="00FB6BE7" w:rsidRPr="00ED7E20" w:rsidRDefault="00FB6BE7" w:rsidP="00FB6BE7">
      <w:pPr>
        <w:spacing w:after="0" w:line="240" w:lineRule="auto"/>
        <w:rPr>
          <w:rFonts w:ascii="Times New Roman" w:hAnsi="Times New Roman"/>
          <w:sz w:val="24"/>
          <w:szCs w:val="24"/>
        </w:rPr>
      </w:pPr>
    </w:p>
    <w:p w:rsidR="00FB6BE7" w:rsidRPr="00ED7E20" w:rsidRDefault="00FB6BE7" w:rsidP="00FB6BE7">
      <w:pPr>
        <w:spacing w:after="0" w:line="240" w:lineRule="auto"/>
        <w:rPr>
          <w:rFonts w:ascii="Times New Roman" w:hAnsi="Times New Roman"/>
          <w:sz w:val="24"/>
          <w:szCs w:val="24"/>
        </w:rPr>
      </w:pPr>
      <w:r w:rsidRPr="00ED7E20">
        <w:rPr>
          <w:rFonts w:ascii="Times New Roman" w:hAnsi="Times New Roman"/>
          <w:sz w:val="24"/>
          <w:szCs w:val="24"/>
        </w:rPr>
        <w:t xml:space="preserve">The first configuration mentioned above has been tested under various conditions with wide ranging results depending on contact time, fuel type, ESP size, and process conditions.  Typically, due to rapid removal of the carbon in the ESP and limited contact time with the flue gas, these applications </w:t>
      </w:r>
      <w:r>
        <w:rPr>
          <w:rFonts w:ascii="Times New Roman" w:hAnsi="Times New Roman"/>
          <w:sz w:val="24"/>
          <w:szCs w:val="24"/>
        </w:rPr>
        <w:t>typically achieve lower removal of mercury than carbon into baghouses</w:t>
      </w:r>
      <w:r w:rsidRPr="00ED7E20">
        <w:rPr>
          <w:rFonts w:ascii="Times New Roman" w:hAnsi="Times New Roman"/>
          <w:sz w:val="24"/>
          <w:szCs w:val="24"/>
        </w:rPr>
        <w:t xml:space="preserve">.  </w:t>
      </w:r>
      <w:r>
        <w:rPr>
          <w:rFonts w:ascii="Times New Roman" w:hAnsi="Times New Roman"/>
          <w:sz w:val="24"/>
          <w:szCs w:val="24"/>
        </w:rPr>
        <w:t xml:space="preserve">In addition, </w:t>
      </w:r>
      <w:r w:rsidRPr="00ED7E20">
        <w:rPr>
          <w:rFonts w:ascii="Times New Roman" w:hAnsi="Times New Roman"/>
          <w:sz w:val="24"/>
          <w:szCs w:val="24"/>
        </w:rPr>
        <w:t>the co-mingling of activated carbon and fly ash</w:t>
      </w:r>
      <w:r>
        <w:rPr>
          <w:rFonts w:ascii="Times New Roman" w:hAnsi="Times New Roman"/>
          <w:sz w:val="24"/>
          <w:szCs w:val="24"/>
        </w:rPr>
        <w:t xml:space="preserve"> in the ESP</w:t>
      </w:r>
      <w:r w:rsidRPr="00ED7E20">
        <w:rPr>
          <w:rFonts w:ascii="Times New Roman" w:hAnsi="Times New Roman"/>
          <w:sz w:val="24"/>
          <w:szCs w:val="24"/>
        </w:rPr>
        <w:t xml:space="preserve"> typically renders the fly ash unsuitable for secondary use in building materials and forces the operator to dispose of this stream.  </w:t>
      </w:r>
    </w:p>
    <w:p w:rsidR="00FB6BE7" w:rsidRPr="00ED7E20" w:rsidRDefault="00FB6BE7" w:rsidP="00FB6BE7">
      <w:pPr>
        <w:spacing w:after="0" w:line="240" w:lineRule="auto"/>
        <w:rPr>
          <w:rFonts w:ascii="Times New Roman" w:hAnsi="Times New Roman"/>
          <w:sz w:val="24"/>
          <w:szCs w:val="24"/>
        </w:rPr>
      </w:pPr>
    </w:p>
    <w:p w:rsidR="00FB6BE7" w:rsidRDefault="00FB6BE7" w:rsidP="00FB6BE7">
      <w:pPr>
        <w:spacing w:after="0" w:line="240" w:lineRule="auto"/>
        <w:rPr>
          <w:rFonts w:ascii="Times New Roman" w:hAnsi="Times New Roman"/>
          <w:sz w:val="24"/>
          <w:szCs w:val="24"/>
        </w:rPr>
      </w:pPr>
      <w:r w:rsidRPr="00ED7E20">
        <w:rPr>
          <w:rFonts w:ascii="Times New Roman" w:hAnsi="Times New Roman"/>
          <w:sz w:val="24"/>
          <w:szCs w:val="24"/>
        </w:rPr>
        <w:t>The second application, injection into a COHPAC baghouse, is an EPRI patented technology known as TOXECON</w:t>
      </w:r>
      <w:r w:rsidRPr="00ED7E20">
        <w:rPr>
          <w:rFonts w:ascii="Times New Roman" w:hAnsi="Times New Roman"/>
          <w:sz w:val="24"/>
          <w:szCs w:val="24"/>
          <w:vertAlign w:val="superscript"/>
        </w:rPr>
        <w:t>TM</w:t>
      </w:r>
      <w:r w:rsidRPr="00ED7E20">
        <w:rPr>
          <w:rFonts w:ascii="Times New Roman" w:hAnsi="Times New Roman"/>
          <w:sz w:val="24"/>
          <w:szCs w:val="24"/>
        </w:rPr>
        <w:t>.  This process attempts to limit the co-mingling of fly ash and activated carbon by collecting a high fraction of fly ash in the ESP before injecting the activated carbon.  Furthermore, because the activated carbon is collected on bag surfaces (where it can stay up to several minutes), the TOXECON</w:t>
      </w:r>
      <w:r w:rsidRPr="00ED7E20">
        <w:rPr>
          <w:rFonts w:ascii="Times New Roman" w:hAnsi="Times New Roman"/>
          <w:sz w:val="24"/>
          <w:szCs w:val="24"/>
          <w:vertAlign w:val="superscript"/>
        </w:rPr>
        <w:t>TM</w:t>
      </w:r>
      <w:r w:rsidRPr="00ED7E20">
        <w:rPr>
          <w:rFonts w:ascii="Times New Roman" w:hAnsi="Times New Roman"/>
          <w:sz w:val="24"/>
          <w:szCs w:val="24"/>
        </w:rPr>
        <w:t xml:space="preserve"> process can typically achieve much higher removal rates than ESP injection (up to 90 percent), again depending on fuel type and process conditions.  The primary drawback to this process is the added financial requirement in building a COHPAC baghouse, which will significantly affect the overall cost of mercury removal.</w:t>
      </w:r>
    </w:p>
    <w:p w:rsidR="00FB6BE7" w:rsidRDefault="00FB6BE7" w:rsidP="00FB6BE7">
      <w:pPr>
        <w:spacing w:after="0" w:line="240" w:lineRule="auto"/>
        <w:rPr>
          <w:rFonts w:ascii="Times New Roman" w:hAnsi="Times New Roman"/>
          <w:sz w:val="24"/>
          <w:szCs w:val="24"/>
        </w:rPr>
      </w:pPr>
    </w:p>
    <w:p w:rsidR="00FB6BE7" w:rsidRPr="00ED7E20" w:rsidRDefault="00FB6BE7" w:rsidP="00FB6BE7">
      <w:pPr>
        <w:spacing w:after="0" w:line="240" w:lineRule="auto"/>
        <w:rPr>
          <w:rFonts w:ascii="Times New Roman" w:hAnsi="Times New Roman"/>
          <w:sz w:val="24"/>
          <w:szCs w:val="24"/>
        </w:rPr>
      </w:pPr>
      <w:r>
        <w:rPr>
          <w:rFonts w:ascii="Times New Roman" w:hAnsi="Times New Roman"/>
          <w:sz w:val="24"/>
          <w:szCs w:val="24"/>
        </w:rPr>
        <w:t>In either application, the mercury removal effectiveness of activated carbon injection can be enhanced when burning coals with higher sulfur content (e.g. non-PRB coals) by employing sulfuric acid mist control (</w:t>
      </w:r>
      <w:r w:rsidR="00342133">
        <w:rPr>
          <w:rFonts w:ascii="Times New Roman" w:hAnsi="Times New Roman"/>
          <w:sz w:val="24"/>
          <w:szCs w:val="24"/>
        </w:rPr>
        <w:t xml:space="preserve">called SAMC, typically </w:t>
      </w:r>
      <w:r>
        <w:rPr>
          <w:rFonts w:ascii="Times New Roman" w:hAnsi="Times New Roman"/>
          <w:sz w:val="24"/>
          <w:szCs w:val="24"/>
        </w:rPr>
        <w:t>hydrated lime injection) ahead of the carbon injection.</w:t>
      </w:r>
      <w:r w:rsidR="00342133">
        <w:rPr>
          <w:rFonts w:ascii="Times New Roman" w:hAnsi="Times New Roman"/>
          <w:sz w:val="24"/>
          <w:szCs w:val="24"/>
        </w:rPr>
        <w:t xml:space="preserve">  </w:t>
      </w:r>
      <w:r w:rsidR="00342133" w:rsidRPr="00342133">
        <w:rPr>
          <w:rFonts w:ascii="Times New Roman" w:hAnsi="Times New Roman"/>
          <w:sz w:val="24"/>
          <w:szCs w:val="24"/>
        </w:rPr>
        <w:t>Typically, the hydrated lime used for SAMC is less expensive than the activated carbon, so the use of ACI plus SAMC is a more economical process than ACI</w:t>
      </w:r>
      <w:r w:rsidR="00FB7256">
        <w:rPr>
          <w:rFonts w:ascii="Times New Roman" w:hAnsi="Times New Roman"/>
          <w:sz w:val="24"/>
          <w:szCs w:val="24"/>
        </w:rPr>
        <w:t xml:space="preserve"> alone</w:t>
      </w:r>
      <w:r w:rsidR="00342133" w:rsidRPr="00342133">
        <w:rPr>
          <w:rFonts w:ascii="Times New Roman" w:hAnsi="Times New Roman"/>
          <w:sz w:val="24"/>
          <w:szCs w:val="24"/>
        </w:rPr>
        <w:t xml:space="preserve"> for </w:t>
      </w:r>
      <w:proofErr w:type="gramStart"/>
      <w:r w:rsidR="00342133" w:rsidRPr="00342133">
        <w:rPr>
          <w:rFonts w:ascii="Times New Roman" w:hAnsi="Times New Roman"/>
          <w:sz w:val="24"/>
          <w:szCs w:val="24"/>
        </w:rPr>
        <w:t>a given</w:t>
      </w:r>
      <w:proofErr w:type="gramEnd"/>
      <w:r w:rsidR="00342133" w:rsidRPr="00342133">
        <w:rPr>
          <w:rFonts w:ascii="Times New Roman" w:hAnsi="Times New Roman"/>
          <w:sz w:val="24"/>
          <w:szCs w:val="24"/>
        </w:rPr>
        <w:t xml:space="preserve"> mercury capture target.</w:t>
      </w:r>
    </w:p>
    <w:p w:rsidR="00FB6BE7" w:rsidRPr="00ED7E20" w:rsidRDefault="00FB6BE7" w:rsidP="00FB6BE7">
      <w:pPr>
        <w:spacing w:after="0" w:line="240" w:lineRule="auto"/>
        <w:rPr>
          <w:rFonts w:ascii="Times New Roman" w:hAnsi="Times New Roman"/>
          <w:b/>
          <w:sz w:val="24"/>
          <w:szCs w:val="24"/>
        </w:rPr>
      </w:pPr>
    </w:p>
    <w:p w:rsidR="00FB6BE7" w:rsidRPr="00ED7E20" w:rsidRDefault="00FB6BE7" w:rsidP="00FB6BE7">
      <w:pPr>
        <w:spacing w:after="0" w:line="240" w:lineRule="auto"/>
        <w:rPr>
          <w:rFonts w:ascii="Times New Roman" w:hAnsi="Times New Roman"/>
          <w:b/>
          <w:color w:val="CC0000"/>
          <w:sz w:val="24"/>
          <w:szCs w:val="24"/>
        </w:rPr>
      </w:pPr>
      <w:r w:rsidRPr="00ED7E20">
        <w:rPr>
          <w:rFonts w:ascii="Times New Roman" w:hAnsi="Times New Roman"/>
          <w:b/>
          <w:color w:val="CC0000"/>
          <w:sz w:val="24"/>
          <w:szCs w:val="24"/>
        </w:rPr>
        <w:t>X.</w:t>
      </w:r>
      <w:r w:rsidRPr="00ED7E20">
        <w:rPr>
          <w:rFonts w:ascii="Times New Roman" w:hAnsi="Times New Roman"/>
          <w:b/>
          <w:color w:val="CC0000"/>
          <w:sz w:val="24"/>
          <w:szCs w:val="24"/>
        </w:rPr>
        <w:tab/>
      </w:r>
      <w:r w:rsidRPr="00ED7E20">
        <w:rPr>
          <w:rFonts w:ascii="Times New Roman" w:hAnsi="Times New Roman"/>
          <w:b/>
          <w:color w:val="CC0000"/>
          <w:sz w:val="24"/>
          <w:szCs w:val="24"/>
          <w:u w:val="single"/>
        </w:rPr>
        <w:t>Chemical Injection for Mercury Removal</w:t>
      </w:r>
      <w:r>
        <w:rPr>
          <w:rFonts w:ascii="Times New Roman" w:hAnsi="Times New Roman"/>
          <w:b/>
          <w:color w:val="CC0000"/>
          <w:sz w:val="24"/>
          <w:szCs w:val="24"/>
          <w:u w:val="single"/>
        </w:rPr>
        <w:t xml:space="preserve"> (Bromine Injection)</w:t>
      </w:r>
    </w:p>
    <w:p w:rsidR="00FB6BE7" w:rsidRPr="00ED7E20" w:rsidRDefault="00FB6BE7" w:rsidP="00FB6BE7">
      <w:pPr>
        <w:spacing w:after="0" w:line="240" w:lineRule="auto"/>
        <w:rPr>
          <w:rFonts w:ascii="Times New Roman" w:hAnsi="Times New Roman"/>
          <w:sz w:val="24"/>
          <w:szCs w:val="24"/>
        </w:rPr>
      </w:pPr>
    </w:p>
    <w:p w:rsidR="00FB6BE7" w:rsidRPr="00ED7E20" w:rsidRDefault="00FB6BE7" w:rsidP="00FB6BE7">
      <w:pPr>
        <w:spacing w:after="0" w:line="240" w:lineRule="auto"/>
        <w:rPr>
          <w:rFonts w:ascii="Times New Roman" w:hAnsi="Times New Roman"/>
          <w:sz w:val="24"/>
          <w:szCs w:val="24"/>
        </w:rPr>
      </w:pPr>
      <w:r w:rsidRPr="00ED7E20">
        <w:rPr>
          <w:rFonts w:ascii="Times New Roman" w:hAnsi="Times New Roman"/>
          <w:sz w:val="24"/>
          <w:szCs w:val="24"/>
        </w:rPr>
        <w:t>One relatively inexpensive way to capture and remove mercury from a flue gas stream is through the injection of chemical additives.  Combustion of PRB coal produces primarily elemental mercury, which is insoluble in a wet flue gas desulfurization (scrubber) system.  The presence of relatively high levels of elemental mercury in PRB flue gas is due to low levels of chlorine in the PRB coal, relative to other coals.  High chlorine concentrations in many coals contribute to higher levels of oxidi</w:t>
      </w:r>
      <w:r>
        <w:rPr>
          <w:rFonts w:ascii="Times New Roman" w:hAnsi="Times New Roman"/>
          <w:sz w:val="24"/>
          <w:szCs w:val="24"/>
        </w:rPr>
        <w:t xml:space="preserve">zed mercury at the FGD inlet.  </w:t>
      </w:r>
      <w:r w:rsidRPr="00ED7E20">
        <w:rPr>
          <w:rFonts w:ascii="Times New Roman" w:hAnsi="Times New Roman"/>
          <w:sz w:val="24"/>
          <w:szCs w:val="24"/>
        </w:rPr>
        <w:t>Chlorine and bromine</w:t>
      </w:r>
      <w:r>
        <w:rPr>
          <w:rFonts w:ascii="Times New Roman" w:hAnsi="Times New Roman"/>
          <w:sz w:val="24"/>
          <w:szCs w:val="24"/>
        </w:rPr>
        <w:t xml:space="preserve"> (i.g. CaBr</w:t>
      </w:r>
      <w:r w:rsidR="00526809" w:rsidRPr="00526809">
        <w:rPr>
          <w:rFonts w:ascii="Times New Roman" w:hAnsi="Times New Roman"/>
          <w:sz w:val="24"/>
          <w:szCs w:val="24"/>
          <w:vertAlign w:val="subscript"/>
        </w:rPr>
        <w:t>2</w:t>
      </w:r>
      <w:r>
        <w:rPr>
          <w:rFonts w:ascii="Times New Roman" w:hAnsi="Times New Roman"/>
          <w:sz w:val="24"/>
          <w:szCs w:val="24"/>
        </w:rPr>
        <w:t>)</w:t>
      </w:r>
      <w:r w:rsidRPr="00ED7E20">
        <w:rPr>
          <w:rFonts w:ascii="Times New Roman" w:hAnsi="Times New Roman"/>
          <w:sz w:val="24"/>
          <w:szCs w:val="24"/>
        </w:rPr>
        <w:t xml:space="preserve"> can be injected to oxidize mercury in PRB, and other low chlorine coals, so that the mercury can be captured in a flue gas desulfurization scrubber.  There may be other considerations needed for implementing this technology, including water treatment issues.</w:t>
      </w:r>
      <w:r w:rsidRPr="001B18E4">
        <w:rPr>
          <w:rFonts w:ascii="Times New Roman" w:hAnsi="Times New Roman"/>
          <w:sz w:val="24"/>
          <w:szCs w:val="24"/>
        </w:rPr>
        <w:t xml:space="preserve"> </w:t>
      </w:r>
    </w:p>
    <w:p w:rsidR="00FB6BE7" w:rsidRPr="00ED7E20" w:rsidRDefault="00FB6BE7" w:rsidP="00FB6BE7">
      <w:pPr>
        <w:spacing w:after="0" w:line="240" w:lineRule="auto"/>
        <w:rPr>
          <w:rFonts w:ascii="Times New Roman" w:hAnsi="Times New Roman"/>
          <w:sz w:val="24"/>
          <w:szCs w:val="24"/>
        </w:rPr>
      </w:pPr>
    </w:p>
    <w:p w:rsidR="00FB6BE7" w:rsidRPr="00ED7E20" w:rsidRDefault="00FB6BE7" w:rsidP="00FB6BE7">
      <w:pPr>
        <w:spacing w:after="0" w:line="240" w:lineRule="auto"/>
        <w:rPr>
          <w:rFonts w:ascii="Times New Roman" w:hAnsi="Times New Roman"/>
          <w:b/>
          <w:color w:val="CC0000"/>
          <w:sz w:val="24"/>
          <w:szCs w:val="24"/>
        </w:rPr>
      </w:pPr>
      <w:r w:rsidRPr="00ED7E20">
        <w:rPr>
          <w:rFonts w:ascii="Times New Roman" w:hAnsi="Times New Roman"/>
          <w:b/>
          <w:color w:val="CC0000"/>
          <w:sz w:val="24"/>
          <w:szCs w:val="24"/>
        </w:rPr>
        <w:t>XI.</w:t>
      </w:r>
      <w:r w:rsidRPr="00ED7E20">
        <w:rPr>
          <w:rFonts w:ascii="Times New Roman" w:hAnsi="Times New Roman"/>
          <w:b/>
          <w:color w:val="CC0000"/>
          <w:sz w:val="24"/>
          <w:szCs w:val="24"/>
        </w:rPr>
        <w:tab/>
      </w:r>
      <w:r w:rsidRPr="0006413C">
        <w:rPr>
          <w:rFonts w:ascii="Times New Roman" w:hAnsi="Times New Roman"/>
          <w:b/>
          <w:color w:val="CC0000"/>
          <w:sz w:val="24"/>
          <w:szCs w:val="24"/>
          <w:u w:val="single"/>
        </w:rPr>
        <w:t xml:space="preserve">Scrubber Additive </w:t>
      </w:r>
      <w:r w:rsidRPr="00ED7E20">
        <w:rPr>
          <w:rFonts w:ascii="Times New Roman" w:hAnsi="Times New Roman"/>
          <w:b/>
          <w:color w:val="CC0000"/>
          <w:sz w:val="24"/>
          <w:szCs w:val="24"/>
          <w:u w:val="single"/>
        </w:rPr>
        <w:t xml:space="preserve">for </w:t>
      </w:r>
      <w:r>
        <w:rPr>
          <w:rFonts w:ascii="Times New Roman" w:hAnsi="Times New Roman"/>
          <w:b/>
          <w:color w:val="CC0000"/>
          <w:sz w:val="24"/>
          <w:szCs w:val="24"/>
          <w:u w:val="single"/>
        </w:rPr>
        <w:t xml:space="preserve">Prevention of </w:t>
      </w:r>
      <w:r w:rsidRPr="00ED7E20">
        <w:rPr>
          <w:rFonts w:ascii="Times New Roman" w:hAnsi="Times New Roman"/>
          <w:b/>
          <w:color w:val="CC0000"/>
          <w:sz w:val="24"/>
          <w:szCs w:val="24"/>
          <w:u w:val="single"/>
        </w:rPr>
        <w:t xml:space="preserve">Mercury </w:t>
      </w:r>
      <w:r>
        <w:rPr>
          <w:rFonts w:ascii="Times New Roman" w:hAnsi="Times New Roman"/>
          <w:b/>
          <w:color w:val="CC0000"/>
          <w:sz w:val="24"/>
          <w:szCs w:val="24"/>
          <w:u w:val="single"/>
        </w:rPr>
        <w:t>Re-emission</w:t>
      </w:r>
    </w:p>
    <w:p w:rsidR="00FB6BE7" w:rsidRPr="00ED7E20" w:rsidRDefault="00FB6BE7" w:rsidP="00FB6BE7">
      <w:pPr>
        <w:spacing w:after="0" w:line="240" w:lineRule="auto"/>
        <w:rPr>
          <w:rFonts w:ascii="Times New Roman" w:hAnsi="Times New Roman"/>
          <w:sz w:val="24"/>
          <w:szCs w:val="24"/>
        </w:rPr>
      </w:pPr>
    </w:p>
    <w:p w:rsidR="00FB6BE7" w:rsidRPr="00ED7E20" w:rsidRDefault="00FB6BE7" w:rsidP="00FB6BE7">
      <w:pPr>
        <w:tabs>
          <w:tab w:val="left" w:pos="540"/>
        </w:tabs>
        <w:spacing w:after="0" w:line="240" w:lineRule="auto"/>
        <w:rPr>
          <w:rFonts w:ascii="Times New Roman" w:hAnsi="Times New Roman"/>
          <w:sz w:val="24"/>
          <w:szCs w:val="24"/>
        </w:rPr>
      </w:pPr>
      <w:r>
        <w:rPr>
          <w:rFonts w:ascii="Times New Roman" w:hAnsi="Times New Roman"/>
          <w:sz w:val="24"/>
          <w:szCs w:val="24"/>
        </w:rPr>
        <w:t xml:space="preserve">Wet scrubbers are effective at removing oxidized mercury.  However, as the captured mercury may remain in a dissolved form in the scrubber slurry in the vessel, the scrubber may from time to time re-emit the mercury that was captured from the flue gas.  This can cause increased levels of mercury emissions out of the stack.  The addition of additives into the scrubber slurry can help prevent the occurrence of mercury re-emission by encouraging the mercury dissolved in the slurry to precipitate into a solid.  </w:t>
      </w:r>
      <w:r w:rsidR="00342133">
        <w:rPr>
          <w:rFonts w:ascii="Times New Roman" w:hAnsi="Times New Roman"/>
          <w:sz w:val="24"/>
          <w:szCs w:val="24"/>
        </w:rPr>
        <w:t>This is an active research area and the use of any particular scrubber additive requires more study.</w:t>
      </w:r>
    </w:p>
    <w:p w:rsidR="00FB6BE7" w:rsidRDefault="00FB6BE7" w:rsidP="00FB6BE7">
      <w:pPr>
        <w:spacing w:after="0" w:line="240" w:lineRule="auto"/>
        <w:rPr>
          <w:rFonts w:ascii="Times New Roman" w:hAnsi="Times New Roman"/>
          <w:b/>
          <w:color w:val="CC0000"/>
          <w:sz w:val="24"/>
          <w:szCs w:val="24"/>
          <w:lang w:val="nl-NL"/>
        </w:rPr>
      </w:pPr>
    </w:p>
    <w:p w:rsidR="00FB6BE7" w:rsidRPr="00ED7E20" w:rsidRDefault="00FB6BE7" w:rsidP="00FB6BE7">
      <w:pPr>
        <w:spacing w:after="0" w:line="240" w:lineRule="auto"/>
        <w:rPr>
          <w:rFonts w:ascii="Times New Roman" w:hAnsi="Times New Roman"/>
          <w:b/>
          <w:color w:val="CC0000"/>
          <w:sz w:val="24"/>
          <w:szCs w:val="24"/>
        </w:rPr>
      </w:pPr>
      <w:r w:rsidRPr="00ED7E20">
        <w:rPr>
          <w:rFonts w:ascii="Times New Roman" w:hAnsi="Times New Roman"/>
          <w:b/>
          <w:color w:val="CC0000"/>
          <w:sz w:val="24"/>
          <w:szCs w:val="24"/>
          <w:lang w:val="nl-NL"/>
        </w:rPr>
        <w:t>XII.</w:t>
      </w:r>
      <w:r>
        <w:rPr>
          <w:rFonts w:ascii="Times New Roman" w:hAnsi="Times New Roman"/>
          <w:b/>
          <w:color w:val="CC0000"/>
          <w:sz w:val="24"/>
          <w:szCs w:val="24"/>
          <w:lang w:val="nl-NL"/>
        </w:rPr>
        <w:tab/>
      </w:r>
      <w:r w:rsidRPr="00ED7E20">
        <w:rPr>
          <w:rFonts w:ascii="Times New Roman" w:hAnsi="Times New Roman"/>
          <w:b/>
          <w:color w:val="CC0000"/>
          <w:sz w:val="24"/>
          <w:szCs w:val="24"/>
          <w:u w:val="single"/>
        </w:rPr>
        <w:t>Mercury Research Center</w:t>
      </w:r>
    </w:p>
    <w:p w:rsidR="00FB6BE7" w:rsidRPr="00ED7E20" w:rsidRDefault="00FB6BE7" w:rsidP="00FB6BE7">
      <w:pPr>
        <w:spacing w:after="0" w:line="240" w:lineRule="auto"/>
        <w:rPr>
          <w:rFonts w:ascii="Times New Roman" w:hAnsi="Times New Roman"/>
          <w:sz w:val="24"/>
          <w:szCs w:val="24"/>
        </w:rPr>
      </w:pPr>
    </w:p>
    <w:p w:rsidR="00FB6BE7" w:rsidRPr="00ED7E20" w:rsidRDefault="00FB6BE7" w:rsidP="00FB6BE7">
      <w:pPr>
        <w:spacing w:after="0" w:line="240" w:lineRule="auto"/>
        <w:rPr>
          <w:rFonts w:ascii="Times New Roman" w:hAnsi="Times New Roman"/>
          <w:sz w:val="24"/>
          <w:szCs w:val="24"/>
        </w:rPr>
      </w:pPr>
      <w:r w:rsidRPr="00ED7E20">
        <w:rPr>
          <w:rFonts w:ascii="Times New Roman" w:hAnsi="Times New Roman"/>
          <w:sz w:val="24"/>
          <w:szCs w:val="24"/>
        </w:rPr>
        <w:t xml:space="preserve">Construction of Southern Company’s $5 million Mercury Research Center located at Gulf Power’s Plant Crist in Pensacola, Florida, was completed in late 2005.  This </w:t>
      </w:r>
      <w:r>
        <w:rPr>
          <w:rFonts w:ascii="Times New Roman" w:hAnsi="Times New Roman"/>
          <w:sz w:val="24"/>
          <w:szCs w:val="24"/>
        </w:rPr>
        <w:t>wa</w:t>
      </w:r>
      <w:r w:rsidRPr="00ED7E20">
        <w:rPr>
          <w:rFonts w:ascii="Times New Roman" w:hAnsi="Times New Roman"/>
          <w:sz w:val="24"/>
          <w:szCs w:val="24"/>
        </w:rPr>
        <w:t xml:space="preserve">s the first mercury research facility of its kind in the world.  The research facility houses major advanced control technology systems: a selective catalytic reduction system, a rotary air preheater, a cold-side electrostatic precipitator, a baghouse, and a wet limestone scrubber.  </w:t>
      </w:r>
      <w:r>
        <w:rPr>
          <w:rFonts w:ascii="Times New Roman" w:hAnsi="Times New Roman"/>
          <w:sz w:val="24"/>
          <w:szCs w:val="24"/>
        </w:rPr>
        <w:t>M</w:t>
      </w:r>
      <w:r w:rsidRPr="00ED7E20">
        <w:rPr>
          <w:rFonts w:ascii="Times New Roman" w:hAnsi="Times New Roman"/>
          <w:sz w:val="24"/>
          <w:szCs w:val="24"/>
        </w:rPr>
        <w:t xml:space="preserve">ercury capture performance </w:t>
      </w:r>
      <w:r>
        <w:rPr>
          <w:rFonts w:ascii="Times New Roman" w:hAnsi="Times New Roman"/>
          <w:sz w:val="24"/>
          <w:szCs w:val="24"/>
        </w:rPr>
        <w:t>is</w:t>
      </w:r>
      <w:r w:rsidRPr="00ED7E20">
        <w:rPr>
          <w:rFonts w:ascii="Times New Roman" w:hAnsi="Times New Roman"/>
          <w:sz w:val="24"/>
          <w:szCs w:val="24"/>
        </w:rPr>
        <w:t xml:space="preserve"> evaluated with these advanced systems on a portion of the plant’s emissions using different combinations of these devices. </w:t>
      </w:r>
    </w:p>
    <w:p w:rsidR="00FB6BE7" w:rsidRPr="00ED7E20" w:rsidRDefault="00FB6BE7" w:rsidP="00FB6BE7">
      <w:pPr>
        <w:spacing w:after="0" w:line="240" w:lineRule="auto"/>
        <w:rPr>
          <w:rFonts w:ascii="Times New Roman" w:hAnsi="Times New Roman"/>
          <w:sz w:val="24"/>
          <w:szCs w:val="24"/>
        </w:rPr>
      </w:pPr>
    </w:p>
    <w:p w:rsidR="00FB6BE7" w:rsidRPr="00ED7E20" w:rsidRDefault="00342133" w:rsidP="00FB6BE7">
      <w:pPr>
        <w:spacing w:after="0" w:line="240" w:lineRule="auto"/>
        <w:rPr>
          <w:rFonts w:ascii="Times New Roman" w:hAnsi="Times New Roman"/>
          <w:sz w:val="24"/>
          <w:szCs w:val="24"/>
        </w:rPr>
      </w:pPr>
      <w:r>
        <w:rPr>
          <w:rFonts w:ascii="Times New Roman" w:hAnsi="Times New Roman"/>
          <w:sz w:val="24"/>
          <w:szCs w:val="24"/>
        </w:rPr>
        <w:t>During t</w:t>
      </w:r>
      <w:r w:rsidRPr="00ED7E20">
        <w:rPr>
          <w:rFonts w:ascii="Times New Roman" w:hAnsi="Times New Roman"/>
          <w:sz w:val="24"/>
          <w:szCs w:val="24"/>
        </w:rPr>
        <w:t>he first phase of research, which began in early 2006, combinations of the five different advanced control devices</w:t>
      </w:r>
      <w:r>
        <w:rPr>
          <w:rFonts w:ascii="Times New Roman" w:hAnsi="Times New Roman"/>
          <w:sz w:val="24"/>
          <w:szCs w:val="24"/>
        </w:rPr>
        <w:t xml:space="preserve"> were evaluated</w:t>
      </w:r>
      <w:r w:rsidRPr="00ED7E20">
        <w:rPr>
          <w:rFonts w:ascii="Times New Roman" w:hAnsi="Times New Roman"/>
          <w:sz w:val="24"/>
          <w:szCs w:val="24"/>
        </w:rPr>
        <w:t xml:space="preserve">.  The research facility </w:t>
      </w:r>
      <w:proofErr w:type="gramStart"/>
      <w:r>
        <w:rPr>
          <w:rFonts w:ascii="Times New Roman" w:hAnsi="Times New Roman"/>
          <w:sz w:val="24"/>
          <w:szCs w:val="24"/>
        </w:rPr>
        <w:t>verified</w:t>
      </w:r>
      <w:r w:rsidRPr="00ED7E20">
        <w:rPr>
          <w:rFonts w:ascii="Times New Roman" w:hAnsi="Times New Roman"/>
          <w:sz w:val="24"/>
          <w:szCs w:val="24"/>
        </w:rPr>
        <w:t xml:space="preserve"> </w:t>
      </w:r>
      <w:r w:rsidR="00FB6BE7" w:rsidRPr="00ED7E20">
        <w:rPr>
          <w:rFonts w:ascii="Times New Roman" w:hAnsi="Times New Roman"/>
          <w:sz w:val="24"/>
          <w:szCs w:val="24"/>
        </w:rPr>
        <w:t xml:space="preserve"> which</w:t>
      </w:r>
      <w:proofErr w:type="gramEnd"/>
      <w:r w:rsidR="00FB6BE7" w:rsidRPr="00ED7E20">
        <w:rPr>
          <w:rFonts w:ascii="Times New Roman" w:hAnsi="Times New Roman"/>
          <w:sz w:val="24"/>
          <w:szCs w:val="24"/>
        </w:rPr>
        <w:t xml:space="preserve"> known technologies and methods work best and could facilitate the development of new methods and technologies.  As research continues, still other methods may be discovered and added for further investigation.  DOE- and EPRI-sponsored test programs are under development.  Programs will be sponsored by other utilities, chemical suppliers, system manufacturers, and others, and Southern Company will benefit from the work and the knowledge gained.   </w:t>
      </w:r>
    </w:p>
    <w:p w:rsidR="00FB6BE7" w:rsidRPr="00ED7E20" w:rsidRDefault="00FB6BE7" w:rsidP="00FB6BE7">
      <w:pPr>
        <w:spacing w:after="0" w:line="240" w:lineRule="auto"/>
        <w:rPr>
          <w:rFonts w:ascii="Times New Roman" w:hAnsi="Times New Roman"/>
          <w:snapToGrid w:val="0"/>
          <w:sz w:val="24"/>
          <w:szCs w:val="24"/>
        </w:rPr>
      </w:pPr>
    </w:p>
    <w:p w:rsidR="00FB6BE7" w:rsidRPr="00ED7E20" w:rsidRDefault="00FB6BE7" w:rsidP="00FB6BE7">
      <w:pPr>
        <w:tabs>
          <w:tab w:val="left" w:pos="720"/>
        </w:tabs>
        <w:spacing w:after="0" w:line="240" w:lineRule="auto"/>
        <w:rPr>
          <w:rFonts w:ascii="Times New Roman" w:hAnsi="Times New Roman"/>
          <w:b/>
          <w:color w:val="CC0000"/>
          <w:sz w:val="24"/>
          <w:szCs w:val="24"/>
          <w:u w:val="single"/>
        </w:rPr>
      </w:pPr>
      <w:r w:rsidRPr="00ED7E20">
        <w:rPr>
          <w:rFonts w:ascii="Times New Roman" w:hAnsi="Times New Roman"/>
          <w:b/>
          <w:bCs/>
          <w:color w:val="CC0000"/>
          <w:sz w:val="24"/>
          <w:szCs w:val="24"/>
        </w:rPr>
        <w:t>XIII.</w:t>
      </w:r>
      <w:r w:rsidRPr="00ED7E20">
        <w:rPr>
          <w:rFonts w:ascii="Times New Roman" w:hAnsi="Times New Roman"/>
          <w:b/>
          <w:bCs/>
          <w:color w:val="CC0000"/>
          <w:sz w:val="24"/>
          <w:szCs w:val="24"/>
        </w:rPr>
        <w:tab/>
      </w:r>
      <w:r w:rsidRPr="00ED7E20">
        <w:rPr>
          <w:rFonts w:ascii="Times New Roman" w:hAnsi="Times New Roman"/>
          <w:b/>
          <w:color w:val="CC0000"/>
          <w:sz w:val="24"/>
          <w:szCs w:val="24"/>
          <w:u w:val="single"/>
        </w:rPr>
        <w:t>Containment and Control Technologies for Ash Storage Areas</w:t>
      </w:r>
    </w:p>
    <w:p w:rsidR="00FB6BE7" w:rsidRDefault="00FB6BE7" w:rsidP="00FB6BE7">
      <w:pPr>
        <w:spacing w:after="0" w:line="240" w:lineRule="auto"/>
        <w:rPr>
          <w:rFonts w:ascii="Times New Roman" w:hAnsi="Times New Roman"/>
          <w:sz w:val="24"/>
          <w:szCs w:val="24"/>
        </w:rPr>
      </w:pPr>
    </w:p>
    <w:p w:rsidR="00FB6BE7" w:rsidRPr="00ED7E20" w:rsidRDefault="00FB6BE7" w:rsidP="00FB6BE7">
      <w:pPr>
        <w:spacing w:after="0" w:line="240" w:lineRule="auto"/>
        <w:rPr>
          <w:rFonts w:ascii="Times New Roman" w:hAnsi="Times New Roman"/>
          <w:sz w:val="24"/>
          <w:szCs w:val="24"/>
        </w:rPr>
      </w:pPr>
      <w:r w:rsidRPr="00ED7E20">
        <w:rPr>
          <w:rFonts w:ascii="Times New Roman" w:hAnsi="Times New Roman"/>
          <w:sz w:val="24"/>
          <w:szCs w:val="24"/>
        </w:rPr>
        <w:t xml:space="preserve">Several technologies are available to control or prevent a release of contaminants from ash storage areas to groundwater.  The most common technologies include liners, caps, slurry walls, sheet pile walls, grouting, and </w:t>
      </w:r>
      <w:r w:rsidRPr="00ED7E20">
        <w:rPr>
          <w:rFonts w:ascii="Times New Roman" w:hAnsi="Times New Roman"/>
          <w:i/>
          <w:iCs/>
          <w:sz w:val="24"/>
          <w:szCs w:val="24"/>
        </w:rPr>
        <w:t>in situ</w:t>
      </w:r>
      <w:r w:rsidRPr="00ED7E20">
        <w:rPr>
          <w:rFonts w:ascii="Times New Roman" w:hAnsi="Times New Roman"/>
          <w:sz w:val="24"/>
          <w:szCs w:val="24"/>
        </w:rPr>
        <w:t xml:space="preserve"> solidification and stabilization.  A brief description of each technology is provided below.</w:t>
      </w:r>
    </w:p>
    <w:p w:rsidR="00FB6BE7" w:rsidRPr="00ED7E20" w:rsidRDefault="00FB6BE7" w:rsidP="00FB6BE7">
      <w:pPr>
        <w:spacing w:after="0" w:line="240" w:lineRule="auto"/>
        <w:rPr>
          <w:rFonts w:ascii="Times New Roman" w:hAnsi="Times New Roman"/>
          <w:sz w:val="24"/>
          <w:szCs w:val="24"/>
        </w:rPr>
      </w:pPr>
    </w:p>
    <w:p w:rsidR="00FB6BE7" w:rsidRPr="00ED7E20" w:rsidRDefault="00FB6BE7" w:rsidP="00FB6BE7">
      <w:pPr>
        <w:spacing w:after="0" w:line="240" w:lineRule="auto"/>
        <w:rPr>
          <w:rFonts w:ascii="Times New Roman" w:hAnsi="Times New Roman"/>
          <w:b/>
          <w:sz w:val="24"/>
          <w:szCs w:val="24"/>
          <w:u w:val="single"/>
        </w:rPr>
      </w:pPr>
      <w:r w:rsidRPr="00ED7E20">
        <w:rPr>
          <w:rFonts w:ascii="Times New Roman" w:hAnsi="Times New Roman"/>
          <w:b/>
          <w:sz w:val="24"/>
          <w:szCs w:val="24"/>
          <w:u w:val="single"/>
        </w:rPr>
        <w:t>Liners</w:t>
      </w:r>
    </w:p>
    <w:p w:rsidR="00FB6BE7" w:rsidRDefault="00FB6BE7" w:rsidP="00FB6BE7">
      <w:pPr>
        <w:spacing w:after="0" w:line="240" w:lineRule="auto"/>
        <w:rPr>
          <w:rFonts w:ascii="Times New Roman" w:hAnsi="Times New Roman"/>
          <w:b/>
          <w:sz w:val="24"/>
          <w:szCs w:val="24"/>
          <w:u w:val="single"/>
        </w:rPr>
      </w:pPr>
      <w:r w:rsidRPr="00ED7E20">
        <w:rPr>
          <w:rFonts w:ascii="Times New Roman" w:hAnsi="Times New Roman"/>
          <w:sz w:val="24"/>
          <w:szCs w:val="24"/>
        </w:rPr>
        <w:t>A liner is a layer of impermeable or low-permeability material placed at the bottom of ash storage facilities, which prevents ash leachate from entering soil and groundwater.  Liners can be constructed of compacted natural material (such as clay), synthetic materials (such as high-density polyethylene, HDPE), or composite materials (combination of synthetic and natural materials).  Regulations generally require liners under new ash storage areas.</w:t>
      </w:r>
    </w:p>
    <w:p w:rsidR="00FB6BE7" w:rsidRDefault="00FB6BE7" w:rsidP="00FB6BE7">
      <w:pPr>
        <w:spacing w:after="0" w:line="240" w:lineRule="auto"/>
        <w:rPr>
          <w:rFonts w:ascii="Times New Roman" w:hAnsi="Times New Roman"/>
          <w:b/>
          <w:sz w:val="24"/>
          <w:szCs w:val="24"/>
          <w:u w:val="single"/>
        </w:rPr>
      </w:pPr>
    </w:p>
    <w:p w:rsidR="00FB6BE7" w:rsidRPr="00ED7E20" w:rsidRDefault="00FB6BE7" w:rsidP="00FB6BE7">
      <w:pPr>
        <w:spacing w:after="0" w:line="240" w:lineRule="auto"/>
        <w:rPr>
          <w:rFonts w:ascii="Times New Roman" w:hAnsi="Times New Roman"/>
          <w:b/>
          <w:sz w:val="24"/>
          <w:szCs w:val="24"/>
          <w:u w:val="single"/>
        </w:rPr>
      </w:pPr>
      <w:r w:rsidRPr="00ED7E20">
        <w:rPr>
          <w:rFonts w:ascii="Times New Roman" w:hAnsi="Times New Roman"/>
          <w:b/>
          <w:sz w:val="24"/>
          <w:szCs w:val="24"/>
          <w:u w:val="single"/>
        </w:rPr>
        <w:t>Caps</w:t>
      </w:r>
    </w:p>
    <w:p w:rsidR="00FB6BE7" w:rsidRPr="00ED7E20" w:rsidRDefault="00FB6BE7" w:rsidP="00FB6BE7">
      <w:pPr>
        <w:spacing w:after="0" w:line="240" w:lineRule="auto"/>
        <w:rPr>
          <w:rFonts w:ascii="Times New Roman" w:hAnsi="Times New Roman"/>
          <w:sz w:val="24"/>
          <w:szCs w:val="24"/>
        </w:rPr>
      </w:pPr>
      <w:r w:rsidRPr="00ED7E20">
        <w:rPr>
          <w:rFonts w:ascii="Times New Roman" w:hAnsi="Times New Roman"/>
          <w:sz w:val="24"/>
          <w:szCs w:val="24"/>
        </w:rPr>
        <w:t>A cap is a layer of impermeable or low-permeability material placed on top of ash storage areas, to prevent</w:t>
      </w:r>
      <w:r w:rsidRPr="00ED7E20">
        <w:rPr>
          <w:rFonts w:ascii="Times New Roman" w:hAnsi="Times New Roman"/>
          <w:b/>
          <w:sz w:val="24"/>
          <w:szCs w:val="24"/>
        </w:rPr>
        <w:t xml:space="preserve"> </w:t>
      </w:r>
      <w:r w:rsidRPr="00ED7E20">
        <w:rPr>
          <w:rFonts w:ascii="Times New Roman" w:hAnsi="Times New Roman"/>
          <w:sz w:val="24"/>
          <w:szCs w:val="24"/>
        </w:rPr>
        <w:t>surface water infiltration and resulting leachate.  By preventing water movement through the ash, transport of contamination from ash to groundwater is prevented or reduced.  As with liners, caps can be constructed of natural materials (for example, compacted clay), synthetic materials (HDPE), or a composite.  Capping may be used in conjunction with liners or barrier walls to encapsulate a material in place.</w:t>
      </w:r>
    </w:p>
    <w:p w:rsidR="00FB6BE7" w:rsidRDefault="00FB6BE7" w:rsidP="00FB6BE7">
      <w:pPr>
        <w:keepNext/>
        <w:keepLines/>
        <w:spacing w:after="0" w:line="240" w:lineRule="auto"/>
        <w:rPr>
          <w:rFonts w:ascii="Times New Roman" w:hAnsi="Times New Roman"/>
          <w:b/>
          <w:sz w:val="24"/>
          <w:szCs w:val="24"/>
          <w:u w:val="single"/>
        </w:rPr>
      </w:pPr>
    </w:p>
    <w:p w:rsidR="00FB6BE7" w:rsidRPr="00ED7E20" w:rsidRDefault="00FB6BE7" w:rsidP="00FB6BE7">
      <w:pPr>
        <w:keepNext/>
        <w:keepLines/>
        <w:spacing w:after="0" w:line="240" w:lineRule="auto"/>
        <w:rPr>
          <w:rFonts w:ascii="Times New Roman" w:hAnsi="Times New Roman"/>
          <w:b/>
          <w:sz w:val="24"/>
          <w:szCs w:val="24"/>
          <w:u w:val="single"/>
        </w:rPr>
      </w:pPr>
      <w:r w:rsidRPr="00ED7E20">
        <w:rPr>
          <w:rFonts w:ascii="Times New Roman" w:hAnsi="Times New Roman"/>
          <w:b/>
          <w:sz w:val="24"/>
          <w:szCs w:val="24"/>
          <w:u w:val="single"/>
        </w:rPr>
        <w:t>Slurry Walls</w:t>
      </w:r>
    </w:p>
    <w:p w:rsidR="00FB6BE7" w:rsidRPr="00ED7E20" w:rsidRDefault="00FB6BE7" w:rsidP="00FB6BE7">
      <w:pPr>
        <w:keepNext/>
        <w:keepLines/>
        <w:spacing w:after="0" w:line="240" w:lineRule="auto"/>
        <w:rPr>
          <w:rFonts w:ascii="Times New Roman" w:hAnsi="Times New Roman"/>
          <w:sz w:val="24"/>
          <w:szCs w:val="24"/>
        </w:rPr>
      </w:pPr>
      <w:r w:rsidRPr="00ED7E20">
        <w:rPr>
          <w:rFonts w:ascii="Times New Roman" w:hAnsi="Times New Roman"/>
          <w:sz w:val="24"/>
          <w:szCs w:val="24"/>
        </w:rPr>
        <w:t xml:space="preserve">Slurry walls are subsurface walls constructed in trenches excavated down to the top of a relatively low-permeability layer, such as clay or bedrock.  The trench is filled with </w:t>
      </w:r>
      <w:proofErr w:type="gramStart"/>
      <w:r w:rsidRPr="00ED7E20">
        <w:rPr>
          <w:rFonts w:ascii="Times New Roman" w:hAnsi="Times New Roman"/>
          <w:sz w:val="24"/>
          <w:szCs w:val="24"/>
        </w:rPr>
        <w:t>a slurry</w:t>
      </w:r>
      <w:proofErr w:type="gramEnd"/>
      <w:r w:rsidRPr="00ED7E20">
        <w:rPr>
          <w:rFonts w:ascii="Times New Roman" w:hAnsi="Times New Roman"/>
          <w:sz w:val="24"/>
          <w:szCs w:val="24"/>
        </w:rPr>
        <w:t xml:space="preserve"> of materials that forms an impermeable barrier to prevent contaminant migration within the area.  Slurry materials can include various mixtures of soil, bentonite clay, and/or cement.</w:t>
      </w:r>
    </w:p>
    <w:p w:rsidR="00FB6BE7" w:rsidRPr="00ED7E20" w:rsidRDefault="00FB6BE7" w:rsidP="00FB6BE7">
      <w:pPr>
        <w:spacing w:after="0" w:line="240" w:lineRule="auto"/>
        <w:rPr>
          <w:rFonts w:ascii="Times New Roman" w:hAnsi="Times New Roman"/>
          <w:sz w:val="24"/>
          <w:szCs w:val="24"/>
        </w:rPr>
      </w:pPr>
    </w:p>
    <w:p w:rsidR="00FB6BE7" w:rsidRPr="00ED7E20" w:rsidRDefault="00FB6BE7" w:rsidP="00FB6BE7">
      <w:pPr>
        <w:spacing w:after="0" w:line="240" w:lineRule="auto"/>
        <w:rPr>
          <w:rFonts w:ascii="Times New Roman" w:hAnsi="Times New Roman"/>
          <w:b/>
          <w:sz w:val="24"/>
          <w:szCs w:val="24"/>
          <w:u w:val="single"/>
        </w:rPr>
      </w:pPr>
      <w:r w:rsidRPr="00ED7E20">
        <w:rPr>
          <w:rFonts w:ascii="Times New Roman" w:hAnsi="Times New Roman"/>
          <w:b/>
          <w:sz w:val="24"/>
          <w:szCs w:val="24"/>
          <w:u w:val="single"/>
        </w:rPr>
        <w:t>Sheet Pile Walls</w:t>
      </w:r>
    </w:p>
    <w:p w:rsidR="00FB6BE7" w:rsidRPr="00ED7E20" w:rsidRDefault="00FB6BE7" w:rsidP="00FB6BE7">
      <w:pPr>
        <w:spacing w:after="0" w:line="240" w:lineRule="auto"/>
        <w:rPr>
          <w:rFonts w:ascii="Times New Roman" w:hAnsi="Times New Roman"/>
          <w:sz w:val="24"/>
          <w:szCs w:val="24"/>
        </w:rPr>
      </w:pPr>
      <w:r w:rsidRPr="00ED7E20">
        <w:rPr>
          <w:rFonts w:ascii="Times New Roman" w:hAnsi="Times New Roman"/>
          <w:sz w:val="24"/>
          <w:szCs w:val="24"/>
        </w:rPr>
        <w:t>Sheet piling includes interlocking wood, concrete, or steel sectors driven into the ground or forced into predug trenches, usually to the top of a relatively impermeable layer (for example, clay or bedrock).  As with slurry walls, sheet pile walls form an impermeable barrier to prevent migration of contaminated water.  Steel sheet pilings are the most reliable</w:t>
      </w:r>
      <w:r>
        <w:rPr>
          <w:rFonts w:ascii="Times New Roman" w:hAnsi="Times New Roman"/>
          <w:sz w:val="24"/>
          <w:szCs w:val="24"/>
        </w:rPr>
        <w:t xml:space="preserve"> and most commonly used</w:t>
      </w:r>
      <w:r w:rsidRPr="00ED7E20">
        <w:rPr>
          <w:rFonts w:ascii="Times New Roman" w:hAnsi="Times New Roman"/>
          <w:sz w:val="24"/>
          <w:szCs w:val="24"/>
        </w:rPr>
        <w:t>.  Sheet piling is often used as a temporary measure of containment while dewatering or excavation, or while other containment is constructed.</w:t>
      </w:r>
    </w:p>
    <w:p w:rsidR="00FB6BE7" w:rsidRDefault="00FB6BE7" w:rsidP="00FB6BE7">
      <w:pPr>
        <w:keepNext/>
        <w:spacing w:after="0" w:line="240" w:lineRule="auto"/>
        <w:rPr>
          <w:rFonts w:ascii="Times New Roman" w:hAnsi="Times New Roman"/>
          <w:b/>
          <w:sz w:val="24"/>
          <w:szCs w:val="24"/>
          <w:u w:val="single"/>
        </w:rPr>
      </w:pPr>
    </w:p>
    <w:p w:rsidR="00FB6BE7" w:rsidRPr="00ED7E20" w:rsidRDefault="00FB6BE7" w:rsidP="00FB6BE7">
      <w:pPr>
        <w:keepNext/>
        <w:spacing w:after="0" w:line="240" w:lineRule="auto"/>
        <w:rPr>
          <w:rFonts w:ascii="Times New Roman" w:hAnsi="Times New Roman"/>
          <w:b/>
          <w:sz w:val="24"/>
          <w:szCs w:val="24"/>
          <w:u w:val="single"/>
        </w:rPr>
      </w:pPr>
      <w:r w:rsidRPr="00ED7E20">
        <w:rPr>
          <w:rFonts w:ascii="Times New Roman" w:hAnsi="Times New Roman"/>
          <w:b/>
          <w:sz w:val="24"/>
          <w:szCs w:val="24"/>
          <w:u w:val="single"/>
        </w:rPr>
        <w:t>Grout Curtains</w:t>
      </w:r>
    </w:p>
    <w:p w:rsidR="00FB6BE7" w:rsidRPr="00ED7E20" w:rsidRDefault="00FB6BE7" w:rsidP="00FB6BE7">
      <w:pPr>
        <w:keepNext/>
        <w:spacing w:after="0" w:line="240" w:lineRule="auto"/>
        <w:rPr>
          <w:rFonts w:ascii="Times New Roman" w:hAnsi="Times New Roman"/>
          <w:sz w:val="24"/>
          <w:szCs w:val="24"/>
        </w:rPr>
      </w:pPr>
      <w:r w:rsidRPr="00ED7E20">
        <w:rPr>
          <w:rFonts w:ascii="Times New Roman" w:hAnsi="Times New Roman"/>
          <w:sz w:val="24"/>
          <w:szCs w:val="24"/>
        </w:rPr>
        <w:t>A grout curtain is a method of sealing gaps in subsurface geology by injection of grout to fill voids in fractured rock, or to consolidate soil by filling the pore space.  The grout material may be a Portland cement mix or any fluid material that hardens, such as a resin or sodium silicate.  The grout material is injected as a pressurized fluid through holes drilled into the ground, generally in rows.  Under ideal conditions, the injected fluids harden to create a relatively impermeable barrier, similar to a wall, in the subsurface.</w:t>
      </w:r>
    </w:p>
    <w:p w:rsidR="00FB6BE7" w:rsidRPr="00ED7E20" w:rsidRDefault="00FB6BE7" w:rsidP="00FB6BE7">
      <w:pPr>
        <w:spacing w:after="0" w:line="240" w:lineRule="auto"/>
        <w:rPr>
          <w:rFonts w:ascii="Times New Roman" w:hAnsi="Times New Roman"/>
          <w:sz w:val="24"/>
          <w:szCs w:val="24"/>
        </w:rPr>
      </w:pPr>
    </w:p>
    <w:p w:rsidR="00FB6BE7" w:rsidRPr="00ED7E20" w:rsidRDefault="00FB6BE7" w:rsidP="00FB6BE7">
      <w:pPr>
        <w:spacing w:after="0" w:line="240" w:lineRule="auto"/>
        <w:rPr>
          <w:rFonts w:ascii="Times New Roman" w:hAnsi="Times New Roman"/>
          <w:b/>
          <w:sz w:val="24"/>
          <w:szCs w:val="24"/>
          <w:u w:val="single"/>
        </w:rPr>
      </w:pPr>
      <w:r w:rsidRPr="00ED7E20">
        <w:rPr>
          <w:rFonts w:ascii="Times New Roman" w:hAnsi="Times New Roman"/>
          <w:b/>
          <w:sz w:val="24"/>
          <w:szCs w:val="24"/>
          <w:u w:val="single"/>
        </w:rPr>
        <w:t>In situ Solidification/Stabilization</w:t>
      </w:r>
    </w:p>
    <w:p w:rsidR="00FB6BE7" w:rsidRPr="00ED7E20" w:rsidRDefault="00FB6BE7" w:rsidP="00FB6BE7">
      <w:pPr>
        <w:spacing w:after="0" w:line="240" w:lineRule="auto"/>
        <w:rPr>
          <w:rFonts w:ascii="Times New Roman" w:hAnsi="Times New Roman"/>
          <w:snapToGrid w:val="0"/>
          <w:sz w:val="24"/>
          <w:szCs w:val="24"/>
        </w:rPr>
      </w:pPr>
      <w:r w:rsidRPr="00ED7E20">
        <w:rPr>
          <w:rFonts w:ascii="Times New Roman" w:hAnsi="Times New Roman"/>
          <w:snapToGrid w:val="0"/>
          <w:sz w:val="24"/>
          <w:szCs w:val="24"/>
        </w:rPr>
        <w:t xml:space="preserve">Solidification/stabilization describes the technique of solidifying a contaminated soil or waste material (e.g., a sludge), to immobilize the contaminant both chemically and physically, and to reduce the leaching potential to groundwater.  Solidification refers to the addition of a binder to produce a solid.  Stabilization refers to the addition of a chemical agent to convert the soil or waste material to a more chemically stable form.  Some additives, such as Portland cement, produce both physical and chemical changes.  Large augers or equipment with rotary blades are used to mix the additives with contaminated soil or waste material.  </w:t>
      </w:r>
    </w:p>
    <w:p w:rsidR="00FB6BE7" w:rsidRPr="00ED7E20" w:rsidRDefault="00FB6BE7" w:rsidP="00FB6BE7">
      <w:pPr>
        <w:tabs>
          <w:tab w:val="left" w:pos="540"/>
        </w:tabs>
        <w:autoSpaceDE w:val="0"/>
        <w:autoSpaceDN w:val="0"/>
        <w:adjustRightInd w:val="0"/>
        <w:spacing w:after="0" w:line="240" w:lineRule="auto"/>
        <w:rPr>
          <w:rFonts w:ascii="Times New Roman" w:hAnsi="Times New Roman"/>
          <w:sz w:val="24"/>
          <w:szCs w:val="24"/>
        </w:rPr>
      </w:pPr>
    </w:p>
    <w:p w:rsidR="00FB6BE7" w:rsidRPr="00ED7E20" w:rsidRDefault="00FB6BE7" w:rsidP="00FB6BE7">
      <w:pPr>
        <w:keepNext/>
        <w:spacing w:after="0" w:line="240" w:lineRule="auto"/>
        <w:rPr>
          <w:rFonts w:ascii="Times New Roman" w:hAnsi="Times New Roman"/>
          <w:b/>
          <w:color w:val="CC0000"/>
          <w:sz w:val="24"/>
          <w:szCs w:val="24"/>
        </w:rPr>
      </w:pPr>
      <w:r w:rsidRPr="00ED7E20">
        <w:rPr>
          <w:rFonts w:ascii="Times New Roman" w:hAnsi="Times New Roman"/>
          <w:b/>
          <w:color w:val="CC0000"/>
          <w:sz w:val="24"/>
          <w:szCs w:val="24"/>
        </w:rPr>
        <w:t>XIV.</w:t>
      </w:r>
      <w:r w:rsidRPr="00ED7E20">
        <w:rPr>
          <w:rFonts w:ascii="Times New Roman" w:hAnsi="Times New Roman"/>
          <w:b/>
          <w:color w:val="CC0000"/>
          <w:sz w:val="24"/>
          <w:szCs w:val="24"/>
        </w:rPr>
        <w:tab/>
      </w:r>
      <w:r w:rsidRPr="00ED7E20">
        <w:rPr>
          <w:rFonts w:ascii="Times New Roman" w:hAnsi="Times New Roman"/>
          <w:b/>
          <w:color w:val="CC0000"/>
          <w:sz w:val="24"/>
          <w:szCs w:val="24"/>
          <w:u w:val="single"/>
        </w:rPr>
        <w:t>Cooling Water Intake Screen Technology</w:t>
      </w:r>
    </w:p>
    <w:p w:rsidR="00FB6BE7" w:rsidRPr="00ED7E20" w:rsidRDefault="00FB6BE7" w:rsidP="00FB6BE7">
      <w:pPr>
        <w:keepNext/>
        <w:spacing w:after="0" w:line="240" w:lineRule="auto"/>
        <w:rPr>
          <w:rFonts w:ascii="Times New Roman" w:hAnsi="Times New Roman"/>
          <w:sz w:val="24"/>
          <w:szCs w:val="24"/>
        </w:rPr>
      </w:pPr>
    </w:p>
    <w:p w:rsidR="00FB6BE7" w:rsidRDefault="00FB6BE7" w:rsidP="00FB6BE7">
      <w:pPr>
        <w:tabs>
          <w:tab w:val="left" w:pos="540"/>
        </w:tabs>
        <w:spacing w:after="0" w:line="240" w:lineRule="auto"/>
        <w:rPr>
          <w:rFonts w:ascii="Times New Roman" w:hAnsi="Times New Roman"/>
          <w:b/>
          <w:color w:val="CC0000"/>
          <w:sz w:val="24"/>
          <w:szCs w:val="24"/>
        </w:rPr>
      </w:pPr>
      <w:r w:rsidRPr="00ED7E20">
        <w:rPr>
          <w:rFonts w:ascii="Times New Roman" w:hAnsi="Times New Roman"/>
          <w:sz w:val="24"/>
          <w:szCs w:val="24"/>
        </w:rPr>
        <w:t xml:space="preserve">Inclined traveling </w:t>
      </w:r>
      <w:r>
        <w:rPr>
          <w:rFonts w:ascii="Times New Roman" w:hAnsi="Times New Roman"/>
          <w:sz w:val="24"/>
          <w:szCs w:val="24"/>
        </w:rPr>
        <w:t xml:space="preserve">water </w:t>
      </w:r>
      <w:r w:rsidRPr="00ED7E20">
        <w:rPr>
          <w:rFonts w:ascii="Times New Roman" w:hAnsi="Times New Roman"/>
          <w:sz w:val="24"/>
          <w:szCs w:val="24"/>
        </w:rPr>
        <w:t>screens</w:t>
      </w:r>
      <w:r>
        <w:rPr>
          <w:rFonts w:ascii="Times New Roman" w:hAnsi="Times New Roman"/>
          <w:sz w:val="24"/>
          <w:szCs w:val="24"/>
        </w:rPr>
        <w:t xml:space="preserve"> (TWS) and cylindrical wedge wire screens (CWWS)</w:t>
      </w:r>
      <w:r w:rsidRPr="00ED7E20">
        <w:rPr>
          <w:rFonts w:ascii="Times New Roman" w:hAnsi="Times New Roman"/>
          <w:sz w:val="24"/>
          <w:szCs w:val="24"/>
        </w:rPr>
        <w:t xml:space="preserve"> will generally be the preferred water screen technolog</w:t>
      </w:r>
      <w:r>
        <w:rPr>
          <w:rFonts w:ascii="Times New Roman" w:hAnsi="Times New Roman"/>
          <w:sz w:val="24"/>
          <w:szCs w:val="24"/>
        </w:rPr>
        <w:t>ies</w:t>
      </w:r>
      <w:r w:rsidRPr="00ED7E20">
        <w:rPr>
          <w:rFonts w:ascii="Times New Roman" w:hAnsi="Times New Roman"/>
          <w:sz w:val="24"/>
          <w:szCs w:val="24"/>
        </w:rPr>
        <w:t xml:space="preserve">.  </w:t>
      </w:r>
      <w:r>
        <w:rPr>
          <w:rFonts w:ascii="Times New Roman" w:hAnsi="Times New Roman"/>
          <w:sz w:val="24"/>
          <w:szCs w:val="24"/>
        </w:rPr>
        <w:t xml:space="preserve">Both </w:t>
      </w:r>
      <w:r w:rsidRPr="00ED7E20">
        <w:rPr>
          <w:rFonts w:ascii="Times New Roman" w:hAnsi="Times New Roman"/>
          <w:sz w:val="24"/>
          <w:szCs w:val="24"/>
        </w:rPr>
        <w:t xml:space="preserve">screens will allow debris handling and the design is also adaptable to minimize impingement and entrainment.  Screen wash systems </w:t>
      </w:r>
      <w:r>
        <w:rPr>
          <w:rFonts w:ascii="Times New Roman" w:hAnsi="Times New Roman"/>
          <w:sz w:val="24"/>
          <w:szCs w:val="24"/>
        </w:rPr>
        <w:t xml:space="preserve">for the TWS and airburst systems for the CWWS </w:t>
      </w:r>
      <w:r w:rsidRPr="00ED7E20">
        <w:rPr>
          <w:rFonts w:ascii="Times New Roman" w:hAnsi="Times New Roman"/>
          <w:sz w:val="24"/>
          <w:szCs w:val="24"/>
        </w:rPr>
        <w:t xml:space="preserve">can maintain screen cleanliness to an acceptable level.  If needed, continuous fish and debris handling systems can also be designed to work with </w:t>
      </w:r>
      <w:r>
        <w:rPr>
          <w:rFonts w:ascii="Times New Roman" w:hAnsi="Times New Roman"/>
          <w:sz w:val="24"/>
          <w:szCs w:val="24"/>
        </w:rPr>
        <w:t>the TWS</w:t>
      </w:r>
      <w:r w:rsidRPr="00ED7E20">
        <w:rPr>
          <w:rFonts w:ascii="Times New Roman" w:hAnsi="Times New Roman"/>
          <w:sz w:val="24"/>
          <w:szCs w:val="24"/>
        </w:rPr>
        <w:t>.  As needed, fish-return technologies are also available.</w:t>
      </w:r>
    </w:p>
    <w:p w:rsidR="00FB6BE7" w:rsidRPr="00C232E2" w:rsidRDefault="00FB6BE7" w:rsidP="00FB6BE7">
      <w:pPr>
        <w:tabs>
          <w:tab w:val="left" w:pos="540"/>
        </w:tabs>
        <w:spacing w:after="0" w:line="240" w:lineRule="auto"/>
        <w:rPr>
          <w:rFonts w:ascii="Times New Roman" w:hAnsi="Times New Roman"/>
          <w:sz w:val="24"/>
          <w:szCs w:val="24"/>
        </w:rPr>
      </w:pPr>
    </w:p>
    <w:p w:rsidR="00FB7256" w:rsidRDefault="00FB7256" w:rsidP="00FB6BE7">
      <w:pPr>
        <w:spacing w:after="0" w:line="240" w:lineRule="auto"/>
        <w:rPr>
          <w:rFonts w:ascii="Times New Roman" w:hAnsi="Times New Roman"/>
          <w:b/>
          <w:color w:val="CC0000"/>
          <w:sz w:val="24"/>
          <w:szCs w:val="24"/>
        </w:rPr>
      </w:pPr>
    </w:p>
    <w:p w:rsidR="00FB7256" w:rsidRDefault="00FB7256" w:rsidP="00FB6BE7">
      <w:pPr>
        <w:spacing w:after="0" w:line="240" w:lineRule="auto"/>
        <w:rPr>
          <w:rFonts w:ascii="Times New Roman" w:hAnsi="Times New Roman"/>
          <w:b/>
          <w:color w:val="CC0000"/>
          <w:sz w:val="24"/>
          <w:szCs w:val="24"/>
        </w:rPr>
      </w:pPr>
    </w:p>
    <w:p w:rsidR="00FB6BE7" w:rsidRPr="00ED7E20" w:rsidRDefault="00FB6BE7" w:rsidP="00FB6BE7">
      <w:pPr>
        <w:spacing w:after="0" w:line="240" w:lineRule="auto"/>
        <w:rPr>
          <w:rFonts w:ascii="Times New Roman" w:hAnsi="Times New Roman"/>
          <w:b/>
          <w:color w:val="CC0000"/>
          <w:sz w:val="24"/>
          <w:szCs w:val="24"/>
        </w:rPr>
      </w:pPr>
      <w:r w:rsidRPr="00ED7E20">
        <w:rPr>
          <w:rFonts w:ascii="Times New Roman" w:hAnsi="Times New Roman"/>
          <w:b/>
          <w:color w:val="CC0000"/>
          <w:sz w:val="24"/>
          <w:szCs w:val="24"/>
        </w:rPr>
        <w:t>XV.</w:t>
      </w:r>
      <w:r w:rsidRPr="00ED7E20">
        <w:rPr>
          <w:rFonts w:ascii="Times New Roman" w:hAnsi="Times New Roman"/>
          <w:b/>
          <w:color w:val="CC0000"/>
          <w:sz w:val="24"/>
          <w:szCs w:val="24"/>
        </w:rPr>
        <w:tab/>
      </w:r>
      <w:r w:rsidRPr="00ED7E20">
        <w:rPr>
          <w:rFonts w:ascii="Times New Roman" w:hAnsi="Times New Roman"/>
          <w:b/>
          <w:color w:val="CC0000"/>
          <w:sz w:val="24"/>
          <w:szCs w:val="24"/>
          <w:u w:val="single"/>
        </w:rPr>
        <w:t>Water Cooling Technologies</w:t>
      </w:r>
    </w:p>
    <w:p w:rsidR="00FB6BE7" w:rsidRPr="00ED7E20" w:rsidRDefault="00FB6BE7" w:rsidP="00FB6BE7">
      <w:pPr>
        <w:spacing w:after="0" w:line="240" w:lineRule="auto"/>
        <w:rPr>
          <w:rFonts w:ascii="Times New Roman" w:hAnsi="Times New Roman"/>
          <w:sz w:val="24"/>
          <w:szCs w:val="24"/>
        </w:rPr>
      </w:pPr>
    </w:p>
    <w:p w:rsidR="00FB6BE7" w:rsidRPr="00ED7E20" w:rsidRDefault="00FB6BE7" w:rsidP="00FB6BE7">
      <w:pPr>
        <w:spacing w:after="0" w:line="240" w:lineRule="auto"/>
        <w:rPr>
          <w:rFonts w:ascii="Times New Roman" w:hAnsi="Times New Roman"/>
          <w:sz w:val="24"/>
          <w:szCs w:val="24"/>
        </w:rPr>
      </w:pPr>
      <w:r w:rsidRPr="00ED7E20">
        <w:rPr>
          <w:rFonts w:ascii="Times New Roman" w:hAnsi="Times New Roman"/>
          <w:sz w:val="24"/>
          <w:szCs w:val="24"/>
        </w:rPr>
        <w:t>The preferred mode of handling thermal issues at power plants can vary depending on the anticipated compliance period.  For long-term solutions, conversion to closed-loop cooling water use with cooling towers might be preferable to installing one or more helper cooling towers.  Conversion to a closed-loop cooling water system may also help reduce water flow through the intake, allowing appropriate intake technology to be installed.  However, consumptive use of water will be increased from use of cooling towers.  The issue of hot water blowdown from the cooling tower loop can be addressed by using blowdown from the cold side of the loop.</w:t>
      </w:r>
    </w:p>
    <w:p w:rsidR="00FB6BE7" w:rsidRPr="00ED7E20" w:rsidRDefault="00FB6BE7" w:rsidP="00FB6BE7">
      <w:pPr>
        <w:spacing w:after="0" w:line="240" w:lineRule="auto"/>
        <w:rPr>
          <w:rFonts w:ascii="Times New Roman" w:hAnsi="Times New Roman"/>
          <w:sz w:val="24"/>
          <w:szCs w:val="24"/>
        </w:rPr>
      </w:pPr>
    </w:p>
    <w:p w:rsidR="00FB6BE7" w:rsidRPr="00ED7E20" w:rsidRDefault="00FB6BE7" w:rsidP="00FB6BE7">
      <w:pPr>
        <w:spacing w:after="0" w:line="240" w:lineRule="auto"/>
        <w:rPr>
          <w:rFonts w:ascii="Times New Roman" w:hAnsi="Times New Roman"/>
          <w:sz w:val="24"/>
          <w:szCs w:val="24"/>
        </w:rPr>
      </w:pPr>
      <w:r w:rsidRPr="00ED7E20">
        <w:rPr>
          <w:rFonts w:ascii="Times New Roman" w:hAnsi="Times New Roman"/>
          <w:sz w:val="24"/>
          <w:szCs w:val="24"/>
        </w:rPr>
        <w:t>Conversion to a closed-loop system needs to be considered carefully, since it will mean that all the materials in the loop (e.g., condenser tubes) will be exposed to water that may be significantly more aggressive than with a once-through water system.</w:t>
      </w:r>
    </w:p>
    <w:p w:rsidR="00FB6BE7" w:rsidRPr="00ED7E20" w:rsidRDefault="00FB6BE7" w:rsidP="00FB6BE7">
      <w:pPr>
        <w:spacing w:after="0" w:line="240" w:lineRule="auto"/>
        <w:rPr>
          <w:rFonts w:ascii="Times New Roman" w:hAnsi="Times New Roman"/>
          <w:sz w:val="24"/>
          <w:szCs w:val="24"/>
        </w:rPr>
      </w:pPr>
    </w:p>
    <w:p w:rsidR="00FB6BE7" w:rsidRPr="00ED7E20" w:rsidRDefault="00690722" w:rsidP="00690722">
      <w:pPr>
        <w:keepNext/>
        <w:spacing w:after="0" w:line="240" w:lineRule="auto"/>
        <w:rPr>
          <w:rFonts w:ascii="Times New Roman" w:hAnsi="Times New Roman"/>
          <w:sz w:val="24"/>
          <w:szCs w:val="24"/>
        </w:rPr>
      </w:pPr>
      <w:r w:rsidRPr="00ED7E20">
        <w:rPr>
          <w:rFonts w:ascii="Times New Roman" w:hAnsi="Times New Roman"/>
          <w:b/>
          <w:color w:val="CC0000"/>
          <w:sz w:val="24"/>
          <w:szCs w:val="24"/>
        </w:rPr>
        <w:t>X</w:t>
      </w:r>
      <w:r>
        <w:rPr>
          <w:rFonts w:ascii="Times New Roman" w:hAnsi="Times New Roman"/>
          <w:b/>
          <w:color w:val="CC0000"/>
          <w:sz w:val="24"/>
          <w:szCs w:val="24"/>
        </w:rPr>
        <w:t>V</w:t>
      </w:r>
      <w:r w:rsidRPr="00ED7E20">
        <w:rPr>
          <w:rFonts w:ascii="Times New Roman" w:hAnsi="Times New Roman"/>
          <w:b/>
          <w:color w:val="CC0000"/>
          <w:sz w:val="24"/>
          <w:szCs w:val="24"/>
        </w:rPr>
        <w:t>I.</w:t>
      </w:r>
      <w:r w:rsidRPr="00ED7E20">
        <w:rPr>
          <w:rFonts w:ascii="Times New Roman" w:hAnsi="Times New Roman"/>
          <w:b/>
          <w:color w:val="CC0000"/>
          <w:sz w:val="24"/>
          <w:szCs w:val="24"/>
        </w:rPr>
        <w:tab/>
      </w:r>
      <w:r>
        <w:rPr>
          <w:rFonts w:ascii="Times New Roman" w:hAnsi="Times New Roman"/>
          <w:b/>
          <w:color w:val="CC0000"/>
          <w:sz w:val="24"/>
          <w:szCs w:val="24"/>
          <w:u w:val="single"/>
        </w:rPr>
        <w:t>Water Research Center</w:t>
      </w:r>
    </w:p>
    <w:p w:rsidR="00FB6BE7" w:rsidRDefault="00FB6BE7" w:rsidP="00FB6BE7">
      <w:pPr>
        <w:spacing w:after="0" w:line="240" w:lineRule="auto"/>
        <w:rPr>
          <w:rFonts w:ascii="Times New Roman" w:hAnsi="Times New Roman"/>
          <w:sz w:val="24"/>
          <w:szCs w:val="24"/>
        </w:rPr>
      </w:pPr>
    </w:p>
    <w:p w:rsidR="00FB6BE7" w:rsidRPr="00421A72" w:rsidRDefault="00FB6BE7" w:rsidP="00FB6BE7">
      <w:pPr>
        <w:spacing w:after="0" w:line="240" w:lineRule="auto"/>
        <w:rPr>
          <w:rFonts w:ascii="Times New Roman" w:hAnsi="Times New Roman"/>
          <w:sz w:val="24"/>
          <w:szCs w:val="24"/>
        </w:rPr>
      </w:pPr>
      <w:r w:rsidRPr="00421A72">
        <w:rPr>
          <w:rFonts w:ascii="Times New Roman" w:hAnsi="Times New Roman"/>
          <w:sz w:val="24"/>
          <w:szCs w:val="24"/>
        </w:rPr>
        <w:t>Designed as a collaborative effort in conjunction with Southern Company (SoCo) and the Electric Power Research Institute (EPRI), the Water Research Center will be located at the existing Plant Bowen electric generating facility owned by Georgia Power Company, a SoCo subsidiary, and will provide independent performance evaluations of technologies to address water use, withdrawal, consumption, remediation, and recycling throughout the power generation process.</w:t>
      </w:r>
    </w:p>
    <w:p w:rsidR="00FB6BE7" w:rsidRPr="00421A72" w:rsidRDefault="00FB6BE7" w:rsidP="00FB6BE7">
      <w:pPr>
        <w:spacing w:after="0" w:line="240" w:lineRule="auto"/>
        <w:rPr>
          <w:rFonts w:ascii="Times New Roman" w:hAnsi="Times New Roman"/>
          <w:sz w:val="24"/>
          <w:szCs w:val="24"/>
        </w:rPr>
      </w:pPr>
    </w:p>
    <w:p w:rsidR="00FB6BE7" w:rsidRPr="00421A72" w:rsidRDefault="00FB6BE7" w:rsidP="00FB6BE7">
      <w:pPr>
        <w:spacing w:after="0" w:line="240" w:lineRule="auto"/>
        <w:rPr>
          <w:rFonts w:ascii="Times New Roman" w:hAnsi="Times New Roman"/>
          <w:sz w:val="24"/>
          <w:szCs w:val="24"/>
        </w:rPr>
      </w:pPr>
      <w:r>
        <w:rPr>
          <w:rFonts w:ascii="Times New Roman" w:hAnsi="Times New Roman"/>
          <w:sz w:val="24"/>
          <w:szCs w:val="24"/>
        </w:rPr>
        <w:t xml:space="preserve">The Center’s </w:t>
      </w:r>
      <w:r w:rsidRPr="00421A72">
        <w:rPr>
          <w:rFonts w:ascii="Times New Roman" w:hAnsi="Times New Roman"/>
          <w:sz w:val="24"/>
          <w:szCs w:val="24"/>
        </w:rPr>
        <w:t>engineers and technicians will direct all research and testing at the facility. In addition to providing electric generating companies with independent testing and evaluation of current and novel technologies, the Center will also generate new information regarding current and future regulatory compliance issues related to water withdrawal, use, and discharge restrictions and will facilitate sustainable water use practices within utility operations. Testing at the Center will focus on the following key areas:</w:t>
      </w:r>
    </w:p>
    <w:p w:rsidR="00FB6BE7" w:rsidRPr="00421A72" w:rsidRDefault="00FB6BE7" w:rsidP="00FB6BE7">
      <w:pPr>
        <w:spacing w:after="0" w:line="240" w:lineRule="auto"/>
        <w:rPr>
          <w:rFonts w:ascii="Times New Roman" w:hAnsi="Times New Roman"/>
          <w:sz w:val="24"/>
          <w:szCs w:val="24"/>
        </w:rPr>
      </w:pPr>
    </w:p>
    <w:p w:rsidR="00FB6BE7" w:rsidRPr="00B61B25" w:rsidRDefault="00FB6BE7" w:rsidP="00FB6BE7">
      <w:pPr>
        <w:pStyle w:val="ListParagraph"/>
        <w:numPr>
          <w:ilvl w:val="0"/>
          <w:numId w:val="39"/>
        </w:numPr>
        <w:contextualSpacing/>
      </w:pPr>
      <w:r w:rsidRPr="00B61B25">
        <w:t xml:space="preserve">Cooling tower and advanced cooling systems </w:t>
      </w:r>
    </w:p>
    <w:p w:rsidR="00FB6BE7" w:rsidRPr="00B61B25" w:rsidRDefault="00FB6BE7" w:rsidP="00FB6BE7">
      <w:pPr>
        <w:pStyle w:val="ListParagraph"/>
        <w:numPr>
          <w:ilvl w:val="0"/>
          <w:numId w:val="39"/>
        </w:numPr>
        <w:contextualSpacing/>
      </w:pPr>
      <w:r w:rsidRPr="00B61B25">
        <w:t xml:space="preserve">Zero liquid discharge systems </w:t>
      </w:r>
    </w:p>
    <w:p w:rsidR="00FB6BE7" w:rsidRPr="00B61B25" w:rsidRDefault="00FB6BE7" w:rsidP="00FB6BE7">
      <w:pPr>
        <w:pStyle w:val="ListParagraph"/>
        <w:numPr>
          <w:ilvl w:val="0"/>
          <w:numId w:val="39"/>
        </w:numPr>
        <w:contextualSpacing/>
      </w:pPr>
      <w:r w:rsidRPr="00B61B25">
        <w:t xml:space="preserve">Moisture recovery </w:t>
      </w:r>
    </w:p>
    <w:p w:rsidR="00FB6BE7" w:rsidRPr="00B61B25" w:rsidRDefault="00FB6BE7" w:rsidP="00FB6BE7">
      <w:pPr>
        <w:pStyle w:val="ListParagraph"/>
        <w:numPr>
          <w:ilvl w:val="0"/>
          <w:numId w:val="39"/>
        </w:numPr>
        <w:contextualSpacing/>
      </w:pPr>
      <w:r w:rsidRPr="00B61B25">
        <w:t xml:space="preserve">Wastewater treatment </w:t>
      </w:r>
    </w:p>
    <w:p w:rsidR="00FB6BE7" w:rsidRPr="00B61B25" w:rsidRDefault="00FB6BE7" w:rsidP="00FB6BE7">
      <w:pPr>
        <w:pStyle w:val="ListParagraph"/>
        <w:numPr>
          <w:ilvl w:val="0"/>
          <w:numId w:val="39"/>
        </w:numPr>
        <w:contextualSpacing/>
      </w:pPr>
      <w:r w:rsidRPr="00B61B25">
        <w:t xml:space="preserve">Solid waste landfill management </w:t>
      </w:r>
    </w:p>
    <w:p w:rsidR="00FB6BE7" w:rsidRPr="00B61B25" w:rsidRDefault="00FB6BE7" w:rsidP="00FB6BE7">
      <w:pPr>
        <w:pStyle w:val="ListParagraph"/>
        <w:numPr>
          <w:ilvl w:val="0"/>
          <w:numId w:val="39"/>
        </w:numPr>
        <w:contextualSpacing/>
      </w:pPr>
      <w:r w:rsidRPr="00B61B25">
        <w:t>CO</w:t>
      </w:r>
      <w:r w:rsidRPr="00B61B25">
        <w:rPr>
          <w:vertAlign w:val="subscript"/>
        </w:rPr>
        <w:t>2</w:t>
      </w:r>
      <w:r w:rsidRPr="00B61B25">
        <w:t xml:space="preserve"> technology issues </w:t>
      </w:r>
    </w:p>
    <w:p w:rsidR="00FB6BE7" w:rsidRPr="00B61B25" w:rsidRDefault="00FB6BE7" w:rsidP="00FB6BE7">
      <w:pPr>
        <w:pStyle w:val="ListParagraph"/>
        <w:numPr>
          <w:ilvl w:val="0"/>
          <w:numId w:val="39"/>
        </w:numPr>
        <w:contextualSpacing/>
      </w:pPr>
      <w:r w:rsidRPr="00B61B25">
        <w:t>Water management modeling</w:t>
      </w:r>
    </w:p>
    <w:p w:rsidR="00FB6BE7" w:rsidRDefault="00FB6BE7" w:rsidP="00FB6BE7">
      <w:pPr>
        <w:spacing w:after="0" w:line="240" w:lineRule="auto"/>
        <w:rPr>
          <w:rFonts w:ascii="Times New Roman" w:hAnsi="Times New Roman"/>
          <w:sz w:val="24"/>
          <w:szCs w:val="24"/>
        </w:rPr>
      </w:pPr>
    </w:p>
    <w:p w:rsidR="00FB6BE7" w:rsidRDefault="00FB6BE7" w:rsidP="00FB6BE7">
      <w:pPr>
        <w:spacing w:after="0" w:line="240" w:lineRule="auto"/>
        <w:rPr>
          <w:rFonts w:ascii="Times New Roman" w:hAnsi="Times New Roman"/>
          <w:sz w:val="24"/>
          <w:szCs w:val="24"/>
        </w:rPr>
      </w:pPr>
      <w:r>
        <w:rPr>
          <w:rFonts w:ascii="Times New Roman" w:hAnsi="Times New Roman"/>
          <w:sz w:val="24"/>
          <w:szCs w:val="24"/>
        </w:rPr>
        <w:t xml:space="preserve">The Center will be operated by Southern Research Institute, headquartered in Birmingham, Alabama.  </w:t>
      </w:r>
    </w:p>
    <w:p w:rsidR="00FB6BE7" w:rsidRPr="00ED7E20" w:rsidRDefault="00FB6BE7" w:rsidP="00FB6BE7">
      <w:pPr>
        <w:spacing w:after="0" w:line="240" w:lineRule="auto"/>
        <w:rPr>
          <w:rFonts w:ascii="Times New Roman" w:hAnsi="Times New Roman"/>
          <w:sz w:val="24"/>
          <w:szCs w:val="24"/>
        </w:rPr>
      </w:pPr>
    </w:p>
    <w:p w:rsidR="00FB7256" w:rsidRDefault="00FB7256" w:rsidP="00FB6BE7">
      <w:pPr>
        <w:tabs>
          <w:tab w:val="left" w:pos="360"/>
        </w:tabs>
        <w:spacing w:after="0" w:line="240" w:lineRule="auto"/>
        <w:rPr>
          <w:rFonts w:ascii="Times New Roman" w:hAnsi="Times New Roman"/>
          <w:b/>
          <w:color w:val="CC0000"/>
          <w:sz w:val="24"/>
          <w:szCs w:val="24"/>
        </w:rPr>
      </w:pPr>
    </w:p>
    <w:p w:rsidR="00FB7256" w:rsidRDefault="00FB7256" w:rsidP="00FB6BE7">
      <w:pPr>
        <w:tabs>
          <w:tab w:val="left" w:pos="360"/>
        </w:tabs>
        <w:spacing w:after="0" w:line="240" w:lineRule="auto"/>
        <w:rPr>
          <w:rFonts w:ascii="Times New Roman" w:hAnsi="Times New Roman"/>
          <w:b/>
          <w:color w:val="CC0000"/>
          <w:sz w:val="24"/>
          <w:szCs w:val="24"/>
        </w:rPr>
      </w:pPr>
    </w:p>
    <w:p w:rsidR="00FB6BE7" w:rsidRDefault="00FB6BE7" w:rsidP="00FB6BE7">
      <w:pPr>
        <w:tabs>
          <w:tab w:val="left" w:pos="360"/>
        </w:tabs>
        <w:spacing w:after="0" w:line="240" w:lineRule="auto"/>
        <w:rPr>
          <w:rFonts w:ascii="Times New Roman" w:hAnsi="Times New Roman"/>
          <w:b/>
          <w:color w:val="CC0000"/>
          <w:sz w:val="24"/>
          <w:szCs w:val="24"/>
        </w:rPr>
      </w:pPr>
      <w:r w:rsidRPr="00ED7E20">
        <w:rPr>
          <w:rFonts w:ascii="Times New Roman" w:hAnsi="Times New Roman"/>
          <w:b/>
          <w:color w:val="CC0000"/>
          <w:sz w:val="24"/>
          <w:szCs w:val="24"/>
        </w:rPr>
        <w:t>XVII.</w:t>
      </w:r>
      <w:r w:rsidRPr="00ED7E20">
        <w:rPr>
          <w:rFonts w:ascii="Times New Roman" w:hAnsi="Times New Roman"/>
          <w:b/>
          <w:color w:val="CC0000"/>
          <w:sz w:val="24"/>
          <w:szCs w:val="24"/>
        </w:rPr>
        <w:tab/>
      </w:r>
      <w:r w:rsidRPr="005B7FEC">
        <w:rPr>
          <w:rFonts w:ascii="Times New Roman" w:hAnsi="Times New Roman"/>
          <w:b/>
          <w:color w:val="CC0000"/>
          <w:sz w:val="24"/>
          <w:szCs w:val="24"/>
          <w:u w:val="single"/>
        </w:rPr>
        <w:t>Ash Handling Methods</w:t>
      </w:r>
    </w:p>
    <w:p w:rsidR="00FB6BE7" w:rsidRDefault="00FB6BE7" w:rsidP="00FB6BE7">
      <w:pPr>
        <w:tabs>
          <w:tab w:val="left" w:pos="360"/>
        </w:tabs>
        <w:spacing w:after="0" w:line="240" w:lineRule="auto"/>
        <w:rPr>
          <w:rFonts w:ascii="Times New Roman" w:hAnsi="Times New Roman"/>
          <w:b/>
          <w:color w:val="CC0000"/>
          <w:sz w:val="24"/>
          <w:szCs w:val="24"/>
        </w:rPr>
      </w:pPr>
    </w:p>
    <w:p w:rsidR="00FB6BE7" w:rsidRPr="00AF003F" w:rsidRDefault="00FB6BE7" w:rsidP="00FB6BE7">
      <w:pPr>
        <w:spacing w:after="0" w:line="240" w:lineRule="auto"/>
        <w:rPr>
          <w:rFonts w:ascii="Times New Roman" w:hAnsi="Times New Roman"/>
          <w:sz w:val="24"/>
          <w:szCs w:val="24"/>
        </w:rPr>
      </w:pPr>
      <w:r>
        <w:rPr>
          <w:rFonts w:ascii="Times New Roman" w:hAnsi="Times New Roman"/>
          <w:sz w:val="24"/>
          <w:szCs w:val="24"/>
        </w:rPr>
        <w:t xml:space="preserve">The future Effluent Limitations Guidelines and Coal Combustion Residuals rules </w:t>
      </w:r>
      <w:r w:rsidRPr="00AF003F">
        <w:rPr>
          <w:rFonts w:ascii="Times New Roman" w:hAnsi="Times New Roman"/>
          <w:sz w:val="24"/>
          <w:szCs w:val="24"/>
        </w:rPr>
        <w:t xml:space="preserve">have the potential to affect fly ash handling and disposal methods at most Georgia Power units.  While many units have dry ash handling capability, most use wet sluicing to ponds or settling basins as either the primary method of disposal or as back-up to the dry handling equipment.  </w:t>
      </w:r>
      <w:r w:rsidR="005B7FEC">
        <w:rPr>
          <w:rFonts w:ascii="Times New Roman" w:hAnsi="Times New Roman"/>
          <w:sz w:val="24"/>
          <w:szCs w:val="24"/>
        </w:rPr>
        <w:t xml:space="preserve">At sites with </w:t>
      </w:r>
      <w:r w:rsidRPr="00AF003F">
        <w:rPr>
          <w:rFonts w:ascii="Times New Roman" w:hAnsi="Times New Roman"/>
          <w:sz w:val="24"/>
          <w:szCs w:val="24"/>
        </w:rPr>
        <w:t xml:space="preserve">only wet handling is currently employed, complete conversions to dry handling equipment </w:t>
      </w:r>
      <w:r>
        <w:rPr>
          <w:rFonts w:ascii="Times New Roman" w:hAnsi="Times New Roman"/>
          <w:sz w:val="24"/>
          <w:szCs w:val="24"/>
        </w:rPr>
        <w:t>c</w:t>
      </w:r>
      <w:r w:rsidRPr="00AF003F">
        <w:rPr>
          <w:rFonts w:ascii="Times New Roman" w:hAnsi="Times New Roman"/>
          <w:sz w:val="24"/>
          <w:szCs w:val="24"/>
        </w:rPr>
        <w:t>ould be necessary.  Where wet handling is the back-up</w:t>
      </w:r>
      <w:r w:rsidR="005B7FEC">
        <w:rPr>
          <w:rFonts w:ascii="Times New Roman" w:hAnsi="Times New Roman"/>
          <w:sz w:val="24"/>
          <w:szCs w:val="24"/>
        </w:rPr>
        <w:t xml:space="preserve"> system</w:t>
      </w:r>
      <w:r w:rsidRPr="00AF003F">
        <w:rPr>
          <w:rFonts w:ascii="Times New Roman" w:hAnsi="Times New Roman"/>
          <w:sz w:val="24"/>
          <w:szCs w:val="24"/>
        </w:rPr>
        <w:t xml:space="preserve">, the dry handling equipment </w:t>
      </w:r>
      <w:r>
        <w:rPr>
          <w:rFonts w:ascii="Times New Roman" w:hAnsi="Times New Roman"/>
          <w:sz w:val="24"/>
          <w:szCs w:val="24"/>
        </w:rPr>
        <w:t>c</w:t>
      </w:r>
      <w:r w:rsidRPr="00AF003F">
        <w:rPr>
          <w:rFonts w:ascii="Times New Roman" w:hAnsi="Times New Roman"/>
          <w:sz w:val="24"/>
          <w:szCs w:val="24"/>
        </w:rPr>
        <w:t xml:space="preserve">ould require installation of redundant components to preserve reliability of operations.  Finally, systems for transporting ash to an onsite/offsite landfill or for beneficial reuse would need to </w:t>
      </w:r>
      <w:proofErr w:type="gramStart"/>
      <w:r w:rsidRPr="00AF003F">
        <w:rPr>
          <w:rFonts w:ascii="Times New Roman" w:hAnsi="Times New Roman"/>
          <w:sz w:val="24"/>
          <w:szCs w:val="24"/>
        </w:rPr>
        <w:t>constructed</w:t>
      </w:r>
      <w:proofErr w:type="gramEnd"/>
      <w:r w:rsidRPr="00AF003F">
        <w:rPr>
          <w:rFonts w:ascii="Times New Roman" w:hAnsi="Times New Roman"/>
          <w:sz w:val="24"/>
          <w:szCs w:val="24"/>
        </w:rPr>
        <w:t>.  Options for transport may include truck, rail, or pneumatic.</w:t>
      </w:r>
    </w:p>
    <w:p w:rsidR="00FB6BE7" w:rsidRPr="00AF003F" w:rsidRDefault="00FB6BE7" w:rsidP="00FB6BE7">
      <w:pPr>
        <w:spacing w:after="0" w:line="240" w:lineRule="auto"/>
        <w:rPr>
          <w:rFonts w:ascii="Times New Roman" w:hAnsi="Times New Roman"/>
          <w:sz w:val="24"/>
          <w:szCs w:val="24"/>
        </w:rPr>
      </w:pPr>
    </w:p>
    <w:p w:rsidR="00FB6BE7" w:rsidRPr="00AF003F" w:rsidRDefault="00FB6BE7" w:rsidP="00FB6BE7">
      <w:pPr>
        <w:spacing w:after="0" w:line="240" w:lineRule="auto"/>
        <w:rPr>
          <w:rFonts w:ascii="Times New Roman" w:hAnsi="Times New Roman"/>
          <w:sz w:val="24"/>
          <w:szCs w:val="24"/>
        </w:rPr>
      </w:pPr>
      <w:r w:rsidRPr="00AF003F">
        <w:rPr>
          <w:rFonts w:ascii="Times New Roman" w:hAnsi="Times New Roman"/>
          <w:sz w:val="24"/>
          <w:szCs w:val="24"/>
        </w:rPr>
        <w:t xml:space="preserve">All of Georgia Power’s coal fired units currently employ wet sluicing for the transport of bottom ash from the boilers to ash ponds or settling basins.  </w:t>
      </w:r>
      <w:r>
        <w:rPr>
          <w:rFonts w:ascii="Times New Roman" w:hAnsi="Times New Roman"/>
          <w:sz w:val="24"/>
          <w:szCs w:val="24"/>
        </w:rPr>
        <w:t xml:space="preserve">If future EPA rules limit or </w:t>
      </w:r>
      <w:r w:rsidRPr="00AF003F">
        <w:rPr>
          <w:rFonts w:ascii="Times New Roman" w:hAnsi="Times New Roman"/>
          <w:sz w:val="24"/>
          <w:szCs w:val="24"/>
        </w:rPr>
        <w:t xml:space="preserve">prohibit the discharge of bottom ash transport water, dry bottom ash handling conversions </w:t>
      </w:r>
      <w:r>
        <w:rPr>
          <w:rFonts w:ascii="Times New Roman" w:hAnsi="Times New Roman"/>
          <w:sz w:val="24"/>
          <w:szCs w:val="24"/>
        </w:rPr>
        <w:t xml:space="preserve">would be required </w:t>
      </w:r>
      <w:r w:rsidRPr="00AF003F">
        <w:rPr>
          <w:rFonts w:ascii="Times New Roman" w:hAnsi="Times New Roman"/>
          <w:sz w:val="24"/>
          <w:szCs w:val="24"/>
        </w:rPr>
        <w:t>at all units.  Site-specific conditions at each unit will be considered in the selection of one of several methods available for removing bottom ash from the boilers, conditioning it with moisture as needed, and loading it and transporting by truck/rail to an on-site /or off-site landfill or for beneficial reuse.  All of the available methods for removal of bottom ash from the boiler would require extensive modification to the bottom of the boiler and the powerhouse, as well as the addition of conditioning and truck loading equipment.</w:t>
      </w:r>
    </w:p>
    <w:p w:rsidR="00FB6BE7" w:rsidRPr="00AF003F" w:rsidRDefault="00FB6BE7" w:rsidP="00FB6BE7">
      <w:pPr>
        <w:spacing w:after="0" w:line="240" w:lineRule="auto"/>
        <w:rPr>
          <w:rFonts w:ascii="Times New Roman" w:hAnsi="Times New Roman"/>
          <w:sz w:val="24"/>
          <w:szCs w:val="24"/>
        </w:rPr>
      </w:pPr>
    </w:p>
    <w:p w:rsidR="00FB6BE7" w:rsidRPr="00AF003F" w:rsidRDefault="00FB6BE7" w:rsidP="00FB6BE7">
      <w:pPr>
        <w:spacing w:after="0" w:line="240" w:lineRule="auto"/>
        <w:rPr>
          <w:rFonts w:ascii="Times New Roman" w:hAnsi="Times New Roman"/>
          <w:sz w:val="24"/>
          <w:szCs w:val="24"/>
        </w:rPr>
      </w:pPr>
      <w:r w:rsidRPr="00AF003F">
        <w:rPr>
          <w:rFonts w:ascii="Times New Roman" w:hAnsi="Times New Roman"/>
          <w:sz w:val="24"/>
          <w:szCs w:val="24"/>
        </w:rPr>
        <w:t>Both of the rules discussed above may mandate closure of wet ash ponds for both fly ash and bottom ash.</w:t>
      </w:r>
    </w:p>
    <w:p w:rsidR="00FB6BE7" w:rsidRPr="00ED7E20" w:rsidRDefault="00FB6BE7" w:rsidP="00FB6BE7">
      <w:pPr>
        <w:tabs>
          <w:tab w:val="left" w:pos="540"/>
        </w:tabs>
        <w:spacing w:after="0" w:line="240" w:lineRule="auto"/>
        <w:rPr>
          <w:rFonts w:ascii="Times New Roman" w:hAnsi="Times New Roman"/>
          <w:sz w:val="24"/>
          <w:szCs w:val="24"/>
        </w:rPr>
      </w:pPr>
    </w:p>
    <w:p w:rsidR="00FB6BE7" w:rsidRPr="00ED7E20" w:rsidRDefault="00FB6BE7" w:rsidP="00FB6BE7">
      <w:pPr>
        <w:spacing w:after="0" w:line="240" w:lineRule="auto"/>
        <w:rPr>
          <w:rFonts w:ascii="Times New Roman" w:hAnsi="Times New Roman"/>
          <w:b/>
          <w:color w:val="CC0000"/>
          <w:sz w:val="24"/>
          <w:szCs w:val="24"/>
        </w:rPr>
      </w:pPr>
      <w:r w:rsidRPr="00ED7E20">
        <w:rPr>
          <w:rFonts w:ascii="Times New Roman" w:hAnsi="Times New Roman"/>
          <w:b/>
          <w:color w:val="CC0000"/>
          <w:sz w:val="24"/>
          <w:szCs w:val="24"/>
        </w:rPr>
        <w:t>XVIII.</w:t>
      </w:r>
      <w:r>
        <w:rPr>
          <w:rFonts w:ascii="Times New Roman" w:hAnsi="Times New Roman"/>
          <w:b/>
          <w:color w:val="CC0000"/>
          <w:sz w:val="24"/>
          <w:szCs w:val="24"/>
        </w:rPr>
        <w:tab/>
      </w:r>
      <w:r>
        <w:rPr>
          <w:rFonts w:ascii="Times New Roman" w:hAnsi="Times New Roman"/>
          <w:b/>
          <w:color w:val="CC0000"/>
          <w:sz w:val="24"/>
          <w:szCs w:val="24"/>
          <w:u w:val="single"/>
        </w:rPr>
        <w:t>Landfills</w:t>
      </w:r>
    </w:p>
    <w:p w:rsidR="00FB6BE7" w:rsidRDefault="00FB6BE7" w:rsidP="00FB6BE7">
      <w:pPr>
        <w:keepNext/>
        <w:spacing w:after="0" w:line="240" w:lineRule="auto"/>
        <w:rPr>
          <w:rFonts w:ascii="Times New Roman" w:hAnsi="Times New Roman"/>
          <w:b/>
          <w:color w:val="CC0000"/>
          <w:sz w:val="24"/>
          <w:szCs w:val="24"/>
        </w:rPr>
      </w:pPr>
    </w:p>
    <w:p w:rsidR="00FB6BE7" w:rsidRPr="00AF003F" w:rsidRDefault="00FB6BE7" w:rsidP="00FB6BE7">
      <w:pPr>
        <w:keepNext/>
        <w:spacing w:after="0" w:line="240" w:lineRule="auto"/>
        <w:rPr>
          <w:rFonts w:ascii="Times New Roman" w:hAnsi="Times New Roman"/>
          <w:sz w:val="24"/>
          <w:szCs w:val="24"/>
        </w:rPr>
      </w:pPr>
      <w:r w:rsidRPr="00AF003F">
        <w:rPr>
          <w:rFonts w:ascii="Times New Roman" w:hAnsi="Times New Roman"/>
          <w:sz w:val="24"/>
          <w:szCs w:val="24"/>
        </w:rPr>
        <w:t xml:space="preserve">As additional ash storage is needed beyond the useful life of ash ponds or as the CCR Rule may require ash ponds to be closed before their useful life is spent, landfill disposal is the likely alternative for long term ash disposal.  This technology has been implemented for ash and gypsum at several Georgia Power facilities.  This requires regulatory permitting, hydrogeologic/geologic studies, and large amounts of available property.   </w:t>
      </w:r>
    </w:p>
    <w:p w:rsidR="00FB6BE7" w:rsidRDefault="00FB6BE7" w:rsidP="00FB6BE7">
      <w:pPr>
        <w:spacing w:after="0" w:line="240" w:lineRule="auto"/>
        <w:rPr>
          <w:rFonts w:ascii="Times New Roman" w:hAnsi="Times New Roman"/>
          <w:sz w:val="24"/>
          <w:szCs w:val="24"/>
        </w:rPr>
      </w:pPr>
    </w:p>
    <w:p w:rsidR="00FB6BE7" w:rsidRDefault="00FB6BE7" w:rsidP="00FB6BE7">
      <w:pPr>
        <w:spacing w:after="0" w:line="240" w:lineRule="auto"/>
        <w:rPr>
          <w:rFonts w:ascii="Times New Roman" w:hAnsi="Times New Roman"/>
          <w:b/>
          <w:color w:val="CC0000"/>
          <w:sz w:val="24"/>
          <w:szCs w:val="24"/>
          <w:u w:val="single"/>
        </w:rPr>
      </w:pPr>
      <w:r w:rsidRPr="00ED7E20">
        <w:rPr>
          <w:rFonts w:ascii="Times New Roman" w:hAnsi="Times New Roman"/>
          <w:b/>
          <w:color w:val="CC0000"/>
          <w:sz w:val="24"/>
          <w:szCs w:val="24"/>
        </w:rPr>
        <w:t>XIX.</w:t>
      </w:r>
      <w:r>
        <w:rPr>
          <w:rFonts w:ascii="Times New Roman" w:hAnsi="Times New Roman"/>
          <w:b/>
          <w:color w:val="CC0000"/>
          <w:sz w:val="24"/>
          <w:szCs w:val="24"/>
        </w:rPr>
        <w:tab/>
      </w:r>
      <w:r w:rsidRPr="00ED7E20">
        <w:rPr>
          <w:rFonts w:ascii="Times New Roman" w:hAnsi="Times New Roman"/>
          <w:b/>
          <w:color w:val="CC0000"/>
          <w:sz w:val="24"/>
          <w:szCs w:val="24"/>
          <w:u w:val="single"/>
        </w:rPr>
        <w:t>Wa</w:t>
      </w:r>
      <w:r>
        <w:rPr>
          <w:rFonts w:ascii="Times New Roman" w:hAnsi="Times New Roman"/>
          <w:b/>
          <w:color w:val="CC0000"/>
          <w:sz w:val="24"/>
          <w:szCs w:val="24"/>
          <w:u w:val="single"/>
        </w:rPr>
        <w:t>ste Water Treatment</w:t>
      </w:r>
    </w:p>
    <w:p w:rsidR="00FB6BE7" w:rsidRDefault="00FB6BE7" w:rsidP="00FB6BE7">
      <w:pPr>
        <w:spacing w:after="0" w:line="240" w:lineRule="auto"/>
        <w:rPr>
          <w:rFonts w:ascii="Times New Roman" w:hAnsi="Times New Roman"/>
          <w:b/>
          <w:color w:val="CC0000"/>
          <w:sz w:val="24"/>
          <w:szCs w:val="24"/>
          <w:u w:val="single"/>
        </w:rPr>
      </w:pPr>
    </w:p>
    <w:p w:rsidR="00FB6BE7" w:rsidRPr="00AF003F" w:rsidRDefault="00FB6BE7" w:rsidP="00FB6BE7">
      <w:pPr>
        <w:spacing w:after="0" w:line="240" w:lineRule="auto"/>
        <w:rPr>
          <w:rFonts w:ascii="Times New Roman" w:hAnsi="Times New Roman"/>
          <w:sz w:val="24"/>
          <w:szCs w:val="24"/>
        </w:rPr>
      </w:pPr>
      <w:r w:rsidRPr="00AF003F">
        <w:rPr>
          <w:rFonts w:ascii="Times New Roman" w:hAnsi="Times New Roman"/>
          <w:sz w:val="24"/>
          <w:szCs w:val="24"/>
        </w:rPr>
        <w:t xml:space="preserve">As discussed in section 4.2, EPA’s future Effluent Limitations Guidelines are expected to require additional treatment of the wastewater discharged from scrubber systems to remove from the water certain metals that the scrubber removed from the flue gas.  Most of the metals of concern may be treated to the anticipated limits by relatively conventional physical and chemical treatment, such as flocculation, coagulation, precipitation and filtration.  However, the extremely low level limits for mercury will likely require expensive new cutting edge technologies for treatment.  Further, the only known practicable treatment for one selenium </w:t>
      </w:r>
      <w:r w:rsidR="005B7FEC">
        <w:rPr>
          <w:rFonts w:ascii="Times New Roman" w:hAnsi="Times New Roman"/>
          <w:sz w:val="24"/>
          <w:szCs w:val="24"/>
        </w:rPr>
        <w:t>form</w:t>
      </w:r>
      <w:r w:rsidRPr="00AF003F">
        <w:rPr>
          <w:rFonts w:ascii="Times New Roman" w:hAnsi="Times New Roman"/>
          <w:sz w:val="24"/>
          <w:szCs w:val="24"/>
        </w:rPr>
        <w:t xml:space="preserve"> is microbiological treatment.  Southern Company continues to research alternative treatment technologies that are more effective, economical and reliable.  Several processes are being evaluated that would result in zero liquid discharge, and would avoid future wastewater permitting challenges altogether.  </w:t>
      </w:r>
    </w:p>
    <w:p w:rsidR="00FB6BE7" w:rsidRPr="00AF003F" w:rsidRDefault="00FB6BE7" w:rsidP="00FB6BE7">
      <w:pPr>
        <w:spacing w:after="0" w:line="240" w:lineRule="auto"/>
        <w:rPr>
          <w:rFonts w:ascii="Times New Roman" w:hAnsi="Times New Roman"/>
          <w:sz w:val="24"/>
          <w:szCs w:val="24"/>
        </w:rPr>
      </w:pPr>
    </w:p>
    <w:p w:rsidR="00FB6BE7" w:rsidRPr="00AF003F" w:rsidRDefault="00FB6BE7" w:rsidP="00FB6BE7">
      <w:pPr>
        <w:spacing w:after="0" w:line="240" w:lineRule="auto"/>
        <w:rPr>
          <w:rFonts w:ascii="Times New Roman" w:hAnsi="Times New Roman"/>
          <w:sz w:val="24"/>
          <w:szCs w:val="24"/>
        </w:rPr>
      </w:pPr>
      <w:r w:rsidRPr="00AF003F">
        <w:rPr>
          <w:rFonts w:ascii="Times New Roman" w:hAnsi="Times New Roman"/>
          <w:sz w:val="24"/>
          <w:szCs w:val="24"/>
        </w:rPr>
        <w:t xml:space="preserve">Low Volume Wastewater (LVW) is another category of waste stream that will require new facilities in the future if the Effluent Limitations Guidelines and/or the Coal Combustion Byproducts rules require closure of ash ponds.  LVW is currently collected from many sources throughout the plant and pumped to the ash pond for co-treatment with ash transport water.  The new site-specific treatment facilities could include new lined settling basins, clarification and filtration, pH adjustment, and associated pumps, piping and equipment.  </w:t>
      </w:r>
    </w:p>
    <w:p w:rsidR="00FB6BE7" w:rsidRDefault="00FB6BE7" w:rsidP="00FB6BE7"/>
    <w:p w:rsidR="00752263" w:rsidRPr="00ED7E20" w:rsidRDefault="00752263" w:rsidP="001954D3">
      <w:pPr>
        <w:spacing w:after="0" w:line="240" w:lineRule="auto"/>
        <w:jc w:val="center"/>
        <w:outlineLvl w:val="0"/>
        <w:rPr>
          <w:rFonts w:ascii="Times New Roman" w:hAnsi="Times New Roman"/>
          <w:b/>
          <w:color w:val="000080"/>
          <w:sz w:val="24"/>
          <w:szCs w:val="24"/>
        </w:rPr>
      </w:pPr>
      <w:r>
        <w:rPr>
          <w:rFonts w:ascii="Times New Roman" w:hAnsi="Times New Roman"/>
          <w:b/>
          <w:color w:val="000080"/>
          <w:sz w:val="24"/>
          <w:szCs w:val="24"/>
        </w:rPr>
        <w:br w:type="page"/>
      </w:r>
      <w:bookmarkStart w:id="40" w:name="_Toc347314863"/>
      <w:r w:rsidR="00B67C6E">
        <w:rPr>
          <w:rFonts w:ascii="Times New Roman" w:hAnsi="Times New Roman"/>
          <w:b/>
          <w:color w:val="000080"/>
          <w:sz w:val="24"/>
          <w:szCs w:val="24"/>
        </w:rPr>
        <w:t>ECS-</w:t>
      </w:r>
      <w:r w:rsidRPr="00ED7E20">
        <w:rPr>
          <w:rFonts w:ascii="Times New Roman" w:hAnsi="Times New Roman"/>
          <w:b/>
          <w:color w:val="000080"/>
          <w:sz w:val="24"/>
          <w:szCs w:val="24"/>
        </w:rPr>
        <w:t xml:space="preserve">APPENDIX </w:t>
      </w:r>
      <w:r w:rsidR="00B67C6E">
        <w:rPr>
          <w:rFonts w:ascii="Times New Roman" w:hAnsi="Times New Roman"/>
          <w:b/>
          <w:color w:val="000080"/>
          <w:sz w:val="24"/>
          <w:szCs w:val="24"/>
        </w:rPr>
        <w:t>C</w:t>
      </w:r>
      <w:bookmarkEnd w:id="40"/>
    </w:p>
    <w:p w:rsidR="00752263" w:rsidRPr="00ED7E20" w:rsidRDefault="00752263" w:rsidP="00752263">
      <w:pPr>
        <w:spacing w:after="0" w:line="240" w:lineRule="auto"/>
        <w:jc w:val="center"/>
        <w:rPr>
          <w:rFonts w:ascii="Times New Roman" w:hAnsi="Times New Roman"/>
          <w:b/>
          <w:color w:val="000080"/>
          <w:sz w:val="24"/>
          <w:szCs w:val="24"/>
        </w:rPr>
      </w:pPr>
    </w:p>
    <w:p w:rsidR="00752263" w:rsidRPr="00ED7E20" w:rsidRDefault="00752263" w:rsidP="00752263">
      <w:pPr>
        <w:spacing w:after="0" w:line="240" w:lineRule="auto"/>
        <w:jc w:val="center"/>
        <w:rPr>
          <w:rFonts w:ascii="Times New Roman" w:hAnsi="Times New Roman"/>
          <w:b/>
          <w:color w:val="000080"/>
          <w:sz w:val="24"/>
          <w:szCs w:val="24"/>
          <w:u w:val="single"/>
        </w:rPr>
      </w:pPr>
      <w:r w:rsidRPr="00ED7E20">
        <w:rPr>
          <w:rFonts w:ascii="Times New Roman" w:hAnsi="Times New Roman"/>
          <w:b/>
          <w:color w:val="000080"/>
          <w:sz w:val="24"/>
          <w:szCs w:val="24"/>
          <w:u w:val="single"/>
        </w:rPr>
        <w:t xml:space="preserve">HIGH-LEVEL AND LOW-LEVEL RADIOACTIVE WASTE STORAGE </w:t>
      </w:r>
    </w:p>
    <w:p w:rsidR="00752263" w:rsidRPr="00ED7E20" w:rsidRDefault="00752263" w:rsidP="00752263">
      <w:pPr>
        <w:spacing w:after="0" w:line="240" w:lineRule="auto"/>
        <w:jc w:val="center"/>
        <w:rPr>
          <w:rFonts w:ascii="Times New Roman" w:hAnsi="Times New Roman"/>
          <w:b/>
          <w:color w:val="000080"/>
          <w:sz w:val="24"/>
          <w:szCs w:val="24"/>
          <w:u w:val="single"/>
        </w:rPr>
      </w:pPr>
      <w:r w:rsidRPr="00ED7E20">
        <w:rPr>
          <w:rFonts w:ascii="Times New Roman" w:hAnsi="Times New Roman"/>
          <w:b/>
          <w:color w:val="000080"/>
          <w:sz w:val="24"/>
          <w:szCs w:val="24"/>
          <w:u w:val="single"/>
        </w:rPr>
        <w:t xml:space="preserve">PLANTS HATCH AND VOGTLE </w:t>
      </w:r>
    </w:p>
    <w:p w:rsidR="00752263" w:rsidRPr="00ED7E20" w:rsidRDefault="00752263" w:rsidP="00752263">
      <w:pPr>
        <w:spacing w:after="0" w:line="240" w:lineRule="auto"/>
        <w:jc w:val="center"/>
        <w:rPr>
          <w:rFonts w:ascii="Times New Roman" w:hAnsi="Times New Roman"/>
          <w:sz w:val="24"/>
          <w:szCs w:val="24"/>
        </w:rPr>
      </w:pPr>
    </w:p>
    <w:p w:rsidR="00752263" w:rsidRPr="00ED7E20" w:rsidRDefault="00752263" w:rsidP="00752263">
      <w:pPr>
        <w:spacing w:after="0" w:line="240" w:lineRule="auto"/>
        <w:rPr>
          <w:rFonts w:ascii="Times New Roman" w:hAnsi="Times New Roman"/>
          <w:sz w:val="32"/>
          <w:szCs w:val="32"/>
        </w:rPr>
      </w:pPr>
      <w:r w:rsidRPr="00ED7E20">
        <w:rPr>
          <w:rFonts w:ascii="Times New Roman" w:hAnsi="Times New Roman"/>
          <w:sz w:val="24"/>
          <w:szCs w:val="24"/>
        </w:rPr>
        <w:t>Georgia Power’s sister company, Southern Nuclear Operating Company (Southern Nuclear) safely operates and maintains Plants Hatch and Vogtle in accordance with industry standards and regulatory requirements.  Southern Nuclear is dedicated to maintaining the highest standards for safely handling radioactive waste to protect the public, the environment, and its workers.</w:t>
      </w:r>
    </w:p>
    <w:p w:rsidR="00752263" w:rsidRPr="00ED7E20" w:rsidRDefault="00752263" w:rsidP="00752263">
      <w:pPr>
        <w:spacing w:after="0" w:line="240" w:lineRule="auto"/>
        <w:rPr>
          <w:rFonts w:ascii="Times New Roman" w:hAnsi="Times New Roman"/>
          <w:sz w:val="32"/>
          <w:szCs w:val="32"/>
        </w:rPr>
      </w:pPr>
    </w:p>
    <w:p w:rsidR="00752263" w:rsidRPr="00ED7E20" w:rsidRDefault="00752263" w:rsidP="00752263">
      <w:pPr>
        <w:spacing w:after="0" w:line="240" w:lineRule="auto"/>
        <w:rPr>
          <w:rFonts w:ascii="Times New Roman" w:hAnsi="Times New Roman"/>
          <w:b/>
          <w:sz w:val="24"/>
          <w:szCs w:val="24"/>
          <w:u w:val="single"/>
        </w:rPr>
      </w:pPr>
      <w:r w:rsidRPr="00ED7E20">
        <w:rPr>
          <w:rFonts w:ascii="Times New Roman" w:hAnsi="Times New Roman"/>
          <w:b/>
          <w:sz w:val="24"/>
          <w:szCs w:val="24"/>
          <w:u w:val="single"/>
        </w:rPr>
        <w:t xml:space="preserve">High-Level Radioactive Waste (HLRW - spent fuel) </w:t>
      </w:r>
    </w:p>
    <w:p w:rsidR="00752263" w:rsidRPr="00ED7E20" w:rsidRDefault="00752263" w:rsidP="00752263">
      <w:pPr>
        <w:spacing w:after="0" w:line="240" w:lineRule="auto"/>
        <w:rPr>
          <w:rFonts w:ascii="Times New Roman" w:hAnsi="Times New Roman"/>
          <w:sz w:val="24"/>
          <w:szCs w:val="24"/>
          <w:u w:val="single"/>
        </w:rPr>
      </w:pPr>
      <w:r w:rsidRPr="00ED7E20">
        <w:rPr>
          <w:rFonts w:ascii="Times New Roman" w:hAnsi="Times New Roman"/>
          <w:sz w:val="24"/>
          <w:szCs w:val="24"/>
          <w:u w:val="single"/>
        </w:rPr>
        <w:t>Dry Cask Storage:</w:t>
      </w:r>
    </w:p>
    <w:p w:rsidR="00752263" w:rsidRPr="00ED7E20" w:rsidRDefault="00752263" w:rsidP="00752263">
      <w:pPr>
        <w:spacing w:after="0" w:line="240" w:lineRule="auto"/>
        <w:rPr>
          <w:rFonts w:ascii="Times New Roman" w:hAnsi="Times New Roman"/>
          <w:sz w:val="24"/>
          <w:szCs w:val="24"/>
        </w:rPr>
      </w:pPr>
      <w:r w:rsidRPr="00ED7E20">
        <w:rPr>
          <w:rFonts w:ascii="Times New Roman" w:hAnsi="Times New Roman"/>
          <w:color w:val="000000"/>
          <w:sz w:val="24"/>
          <w:szCs w:val="24"/>
        </w:rPr>
        <w:t xml:space="preserve">Plant Hatch </w:t>
      </w:r>
      <w:r w:rsidRPr="00ED7E20">
        <w:rPr>
          <w:rFonts w:ascii="Times New Roman" w:hAnsi="Times New Roman"/>
          <w:sz w:val="24"/>
          <w:szCs w:val="24"/>
        </w:rPr>
        <w:t>– currently stores spent fuel in underwater spent fuel pools and some above ground in dry casks on concrete pads until such time that the federal government licenses and builds a permanent disposal facility which can accept this waste.</w:t>
      </w:r>
    </w:p>
    <w:p w:rsidR="00752263" w:rsidRPr="00ED7E20" w:rsidRDefault="00752263" w:rsidP="00752263">
      <w:pPr>
        <w:spacing w:after="0" w:line="240" w:lineRule="auto"/>
        <w:rPr>
          <w:rFonts w:ascii="Times New Roman" w:hAnsi="Times New Roman"/>
          <w:sz w:val="24"/>
          <w:szCs w:val="24"/>
        </w:rPr>
      </w:pPr>
    </w:p>
    <w:p w:rsidR="00752263" w:rsidRPr="00ED7E20" w:rsidRDefault="00752263" w:rsidP="00752263">
      <w:pPr>
        <w:spacing w:after="0" w:line="240" w:lineRule="auto"/>
        <w:rPr>
          <w:rFonts w:ascii="Times New Roman" w:hAnsi="Times New Roman"/>
          <w:sz w:val="24"/>
          <w:szCs w:val="24"/>
        </w:rPr>
      </w:pPr>
      <w:r w:rsidRPr="00ED7E20">
        <w:rPr>
          <w:rFonts w:ascii="Times New Roman" w:hAnsi="Times New Roman"/>
          <w:sz w:val="24"/>
          <w:szCs w:val="24"/>
        </w:rPr>
        <w:t xml:space="preserve">Plant Vogtle – currently stores spent fuel in underwater spent fuel pools and will not need dry cask storage for many years. </w:t>
      </w:r>
    </w:p>
    <w:p w:rsidR="00752263" w:rsidRPr="00ED7E20" w:rsidRDefault="00752263" w:rsidP="00752263">
      <w:pPr>
        <w:spacing w:after="0" w:line="240" w:lineRule="auto"/>
        <w:rPr>
          <w:rFonts w:ascii="Times New Roman" w:hAnsi="Times New Roman"/>
          <w:sz w:val="24"/>
          <w:szCs w:val="24"/>
        </w:rPr>
      </w:pPr>
    </w:p>
    <w:p w:rsidR="00752263" w:rsidRPr="00ED7E20" w:rsidRDefault="00752263" w:rsidP="00752263">
      <w:pPr>
        <w:spacing w:after="0" w:line="240" w:lineRule="auto"/>
        <w:rPr>
          <w:rFonts w:ascii="Times New Roman" w:hAnsi="Times New Roman"/>
          <w:sz w:val="24"/>
          <w:szCs w:val="24"/>
        </w:rPr>
      </w:pPr>
      <w:r w:rsidRPr="00ED7E20">
        <w:rPr>
          <w:rFonts w:ascii="Times New Roman" w:hAnsi="Times New Roman"/>
          <w:sz w:val="24"/>
          <w:szCs w:val="24"/>
        </w:rPr>
        <w:t>Southern Nuclear, as well as the nuclear industry, has a strong commitment to the Yucca Mountain repository as a scientifically safe and appropriate long-term solution for used nuclear fuel.  The issues surrounding Yucca Mountain are political, not scientific.  At the same time, the nuclear industry has adopted a used fuel management strategy that supports the research, development, and demonstration of projects to close the nuclear fuel cycle (i.e., reprocessing).  It is important to note that even with reprocessing, the Yucca Mountain repository is necessary to dispose of the byproducts of nuclear fuel.</w:t>
      </w:r>
    </w:p>
    <w:p w:rsidR="00752263" w:rsidRPr="00ED7E20" w:rsidRDefault="00752263" w:rsidP="00752263">
      <w:pPr>
        <w:spacing w:after="0" w:line="240" w:lineRule="auto"/>
        <w:rPr>
          <w:rFonts w:ascii="Times New Roman" w:hAnsi="Times New Roman"/>
          <w:sz w:val="24"/>
          <w:szCs w:val="24"/>
        </w:rPr>
      </w:pPr>
    </w:p>
    <w:p w:rsidR="00752263" w:rsidRPr="00ED7E20" w:rsidRDefault="00752263" w:rsidP="00752263">
      <w:pPr>
        <w:spacing w:after="0" w:line="240" w:lineRule="auto"/>
        <w:rPr>
          <w:rFonts w:ascii="Times New Roman" w:hAnsi="Times New Roman"/>
          <w:b/>
          <w:sz w:val="24"/>
          <w:szCs w:val="24"/>
          <w:u w:val="single"/>
        </w:rPr>
      </w:pPr>
      <w:proofErr w:type="gramStart"/>
      <w:r w:rsidRPr="00ED7E20">
        <w:rPr>
          <w:rFonts w:ascii="Times New Roman" w:hAnsi="Times New Roman"/>
          <w:b/>
          <w:sz w:val="24"/>
          <w:szCs w:val="24"/>
          <w:u w:val="single"/>
        </w:rPr>
        <w:t>Low-Level Radioactive Waste (LLRW - trash, tools, scrap, filtering media, irradiated hardware, etc.)</w:t>
      </w:r>
      <w:proofErr w:type="gramEnd"/>
    </w:p>
    <w:p w:rsidR="00752263" w:rsidRPr="00ED7E20" w:rsidRDefault="00752263" w:rsidP="00752263">
      <w:pPr>
        <w:spacing w:after="0" w:line="240" w:lineRule="auto"/>
        <w:rPr>
          <w:rFonts w:ascii="Times New Roman" w:hAnsi="Times New Roman"/>
          <w:sz w:val="24"/>
          <w:szCs w:val="24"/>
        </w:rPr>
      </w:pPr>
      <w:r w:rsidRPr="00ED7E20">
        <w:rPr>
          <w:rFonts w:ascii="Times New Roman" w:hAnsi="Times New Roman"/>
          <w:sz w:val="24"/>
          <w:szCs w:val="24"/>
        </w:rPr>
        <w:t>Similar to the nuclear power industry, over 95 percent of the LLRW generated by Plant Hatch and Plant Vogtle continues to be buried at the Energy Solutions burial site in Clive, UT.</w:t>
      </w:r>
    </w:p>
    <w:p w:rsidR="00752263" w:rsidRPr="00ED7E20" w:rsidRDefault="00752263" w:rsidP="00752263">
      <w:pPr>
        <w:spacing w:after="0" w:line="240" w:lineRule="auto"/>
        <w:rPr>
          <w:rFonts w:ascii="Times New Roman" w:hAnsi="Times New Roman"/>
          <w:sz w:val="24"/>
          <w:szCs w:val="24"/>
        </w:rPr>
      </w:pPr>
    </w:p>
    <w:p w:rsidR="00752263" w:rsidRPr="00ED7E20" w:rsidRDefault="00752263" w:rsidP="00752263">
      <w:pPr>
        <w:spacing w:after="0" w:line="240" w:lineRule="auto"/>
        <w:rPr>
          <w:rFonts w:ascii="Times New Roman" w:hAnsi="Times New Roman"/>
          <w:sz w:val="24"/>
          <w:szCs w:val="24"/>
        </w:rPr>
      </w:pPr>
      <w:r w:rsidRPr="00ED7E20">
        <w:rPr>
          <w:rFonts w:ascii="Times New Roman" w:hAnsi="Times New Roman"/>
          <w:sz w:val="24"/>
          <w:szCs w:val="24"/>
        </w:rPr>
        <w:t xml:space="preserve">The remaining LLRW cannot be buried at Clive, UT.  In the past it was buried at the Barnwell, SC burial facility, but that site is no longer accessible to most states including Georgia.  </w:t>
      </w:r>
    </w:p>
    <w:p w:rsidR="00752263" w:rsidRPr="00ED7E20" w:rsidRDefault="00752263" w:rsidP="00752263">
      <w:pPr>
        <w:spacing w:after="0" w:line="240" w:lineRule="auto"/>
        <w:rPr>
          <w:rFonts w:ascii="Times New Roman" w:hAnsi="Times New Roman"/>
          <w:sz w:val="24"/>
          <w:szCs w:val="24"/>
        </w:rPr>
      </w:pPr>
    </w:p>
    <w:p w:rsidR="002535BC" w:rsidRDefault="00752263" w:rsidP="004A1AE1">
      <w:pPr>
        <w:spacing w:after="0" w:line="240" w:lineRule="auto"/>
        <w:rPr>
          <w:rFonts w:ascii="Times New Roman" w:hAnsi="Times New Roman"/>
          <w:b/>
          <w:sz w:val="24"/>
          <w:szCs w:val="24"/>
        </w:rPr>
      </w:pPr>
      <w:r w:rsidRPr="00ED7E20">
        <w:rPr>
          <w:rFonts w:ascii="Times New Roman" w:hAnsi="Times New Roman"/>
          <w:sz w:val="24"/>
          <w:szCs w:val="24"/>
        </w:rPr>
        <w:t>Hatch and Vogtle will store this remaining LLRW on the site where it was generated inside concrete shields on a concrete pad until such time as a new disposal site which can accept this waste becomes available or until some alternate means becomes available for eliminating or handling this waste.  Southern Nuclear in conjunction with the nuclear industry is currently working at reducing these types of waste.</w:t>
      </w:r>
      <w:r w:rsidR="004A1AE1" w:rsidDel="004A1AE1">
        <w:rPr>
          <w:rFonts w:ascii="Times New Roman" w:hAnsi="Times New Roman"/>
          <w:b/>
          <w:bCs/>
          <w:sz w:val="24"/>
          <w:szCs w:val="20"/>
        </w:rPr>
        <w:t xml:space="preserve"> </w:t>
      </w:r>
    </w:p>
    <w:sectPr w:rsidR="002535BC" w:rsidSect="00265455">
      <w:headerReference w:type="even" r:id="rId53"/>
      <w:headerReference w:type="default" r:id="rId54"/>
      <w:footerReference w:type="default" r:id="rId55"/>
      <w:headerReference w:type="first" r:id="rId56"/>
      <w:type w:val="continuous"/>
      <w:pgSz w:w="12240" w:h="15840" w:code="1"/>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C366D" w:rsidRDefault="009C366D" w:rsidP="00936403">
      <w:pPr>
        <w:spacing w:after="0" w:line="240" w:lineRule="auto"/>
      </w:pPr>
      <w:r>
        <w:separator/>
      </w:r>
    </w:p>
  </w:endnote>
  <w:endnote w:type="continuationSeparator" w:id="0">
    <w:p w:rsidR="009C366D" w:rsidRDefault="009C366D" w:rsidP="0093640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normal text)">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Courier">
    <w:panose1 w:val="02070409020205020404"/>
    <w:charset w:val="00"/>
    <w:family w:val="modern"/>
    <w:notTrueType/>
    <w:pitch w:val="fixed"/>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Arial Narrow">
    <w:panose1 w:val="020B0506020202030204"/>
    <w:charset w:val="00"/>
    <w:family w:val="swiss"/>
    <w:pitch w:val="variable"/>
    <w:sig w:usb0="00000287" w:usb1="000008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3F91" w:rsidRDefault="00ED3F91">
    <w:pPr>
      <w:pStyle w:val="Footer"/>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366D" w:rsidRDefault="009C366D" w:rsidP="004046FB">
    <w:pPr>
      <w:pStyle w:val="Header"/>
    </w:pPr>
  </w:p>
  <w:p w:rsidR="009C366D" w:rsidRPr="0055291A" w:rsidRDefault="009C366D" w:rsidP="004046FB">
    <w:pPr>
      <w:pStyle w:val="Header"/>
      <w:pBdr>
        <w:top w:val="single" w:sz="36" w:space="1" w:color="CC0000"/>
      </w:pBdr>
    </w:pPr>
  </w:p>
  <w:p w:rsidR="009C366D" w:rsidRPr="00E07104" w:rsidRDefault="009C366D" w:rsidP="004046FB">
    <w:pPr>
      <w:pStyle w:val="Footer"/>
      <w:rPr>
        <w:szCs w:val="20"/>
      </w:rPr>
    </w:pPr>
    <w:r w:rsidRPr="000F032F">
      <w:rPr>
        <w:rStyle w:val="PageNumber"/>
        <w:rFonts w:ascii="Times New Roman" w:hAnsi="Times New Roman"/>
        <w:sz w:val="20"/>
        <w:szCs w:val="20"/>
      </w:rPr>
      <w:t>Environmental Compliance Strategy</w:t>
    </w:r>
    <w:r w:rsidRPr="003877A3">
      <w:rPr>
        <w:rStyle w:val="PageNumber"/>
        <w:sz w:val="20"/>
        <w:szCs w:val="20"/>
      </w:rPr>
      <w:tab/>
    </w:r>
    <w:r>
      <w:rPr>
        <w:rStyle w:val="PageNumber"/>
        <w:sz w:val="20"/>
        <w:szCs w:val="20"/>
      </w:rPr>
      <w:t xml:space="preserve">                                                                           </w:t>
    </w:r>
    <w:r w:rsidR="00C650CE" w:rsidRPr="00E07104">
      <w:rPr>
        <w:rStyle w:val="PageNumber"/>
        <w:sz w:val="20"/>
        <w:szCs w:val="20"/>
      </w:rPr>
      <w:fldChar w:fldCharType="begin"/>
    </w:r>
    <w:r w:rsidRPr="00E07104">
      <w:rPr>
        <w:rStyle w:val="PageNumber"/>
        <w:sz w:val="20"/>
        <w:szCs w:val="20"/>
      </w:rPr>
      <w:instrText xml:space="preserve"> PAGE   \* MERGEFORMAT </w:instrText>
    </w:r>
    <w:r w:rsidR="00C650CE" w:rsidRPr="00E07104">
      <w:rPr>
        <w:rStyle w:val="PageNumber"/>
        <w:sz w:val="20"/>
        <w:szCs w:val="20"/>
      </w:rPr>
      <w:fldChar w:fldCharType="separate"/>
    </w:r>
    <w:r w:rsidR="00ED3F91">
      <w:rPr>
        <w:rStyle w:val="PageNumber"/>
        <w:noProof/>
        <w:sz w:val="20"/>
        <w:szCs w:val="20"/>
      </w:rPr>
      <w:t>79</w:t>
    </w:r>
    <w:r w:rsidR="00C650CE" w:rsidRPr="00E07104">
      <w:rPr>
        <w:rStyle w:val="PageNumber"/>
        <w:sz w:val="20"/>
        <w:szCs w:val="20"/>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366D" w:rsidRDefault="009C366D">
    <w:pPr>
      <w:pStyle w:val="Footer"/>
      <w:jc w:val="right"/>
    </w:pPr>
  </w:p>
  <w:p w:rsidR="009C366D" w:rsidRDefault="009C366D">
    <w:pPr>
      <w:pStyle w:val="Footer"/>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3F91" w:rsidRDefault="00ED3F91">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366D" w:rsidRDefault="009C366D" w:rsidP="00965ADC">
    <w:pPr>
      <w:pStyle w:val="Header"/>
    </w:pPr>
  </w:p>
  <w:p w:rsidR="009C366D" w:rsidRPr="0055291A" w:rsidRDefault="009C366D" w:rsidP="00965ADC">
    <w:pPr>
      <w:pStyle w:val="Header"/>
      <w:pBdr>
        <w:top w:val="single" w:sz="36" w:space="1" w:color="CC0000"/>
      </w:pBdr>
    </w:pPr>
  </w:p>
  <w:p w:rsidR="009C366D" w:rsidRPr="003877A3" w:rsidRDefault="009C366D" w:rsidP="00720831">
    <w:pPr>
      <w:pStyle w:val="Footer"/>
      <w:tabs>
        <w:tab w:val="clear" w:pos="4320"/>
        <w:tab w:val="clear" w:pos="8640"/>
        <w:tab w:val="center" w:pos="4500"/>
        <w:tab w:val="right" w:pos="8820"/>
        <w:tab w:val="left" w:pos="11160"/>
      </w:tabs>
      <w:jc w:val="center"/>
      <w:rPr>
        <w:rStyle w:val="PageNumber"/>
        <w:rFonts w:ascii="Arial" w:hAnsi="Arial" w:cs="Arial"/>
        <w:sz w:val="20"/>
        <w:szCs w:val="20"/>
      </w:rPr>
    </w:pPr>
    <w:r w:rsidRPr="000F032F">
      <w:rPr>
        <w:rStyle w:val="PageNumber"/>
        <w:rFonts w:ascii="Times New Roman" w:hAnsi="Times New Roman"/>
        <w:sz w:val="20"/>
        <w:szCs w:val="20"/>
      </w:rPr>
      <w:t>Environmental Compliance Strategy</w:t>
    </w:r>
    <w:r w:rsidRPr="003877A3">
      <w:rPr>
        <w:rStyle w:val="PageNumber"/>
        <w:sz w:val="20"/>
        <w:szCs w:val="20"/>
      </w:rPr>
      <w:tab/>
    </w:r>
    <w:r>
      <w:rPr>
        <w:rStyle w:val="PageNumber"/>
        <w:sz w:val="20"/>
        <w:szCs w:val="20"/>
      </w:rPr>
      <w:tab/>
    </w:r>
    <w:r w:rsidR="00C650CE" w:rsidRPr="00A91A46">
      <w:rPr>
        <w:rStyle w:val="PageNumber"/>
        <w:sz w:val="20"/>
        <w:szCs w:val="20"/>
      </w:rPr>
      <w:fldChar w:fldCharType="begin"/>
    </w:r>
    <w:r w:rsidRPr="00A91A46">
      <w:rPr>
        <w:rStyle w:val="PageNumber"/>
        <w:sz w:val="20"/>
        <w:szCs w:val="20"/>
      </w:rPr>
      <w:instrText xml:space="preserve"> PAGE   \* MERGEFORMAT </w:instrText>
    </w:r>
    <w:r w:rsidR="00C650CE" w:rsidRPr="00A91A46">
      <w:rPr>
        <w:rStyle w:val="PageNumber"/>
        <w:sz w:val="20"/>
        <w:szCs w:val="20"/>
      </w:rPr>
      <w:fldChar w:fldCharType="separate"/>
    </w:r>
    <w:r w:rsidR="00ED3F91">
      <w:rPr>
        <w:rStyle w:val="PageNumber"/>
        <w:noProof/>
        <w:sz w:val="20"/>
        <w:szCs w:val="20"/>
      </w:rPr>
      <w:t>i</w:t>
    </w:r>
    <w:r w:rsidR="00C650CE" w:rsidRPr="00A91A46">
      <w:rPr>
        <w:rStyle w:val="PageNumber"/>
        <w:sz w:val="20"/>
        <w:szCs w:val="20"/>
      </w:rPr>
      <w:fldChar w:fldCharType="end"/>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366D" w:rsidRDefault="009C366D" w:rsidP="00965ADC">
    <w:pPr>
      <w:pStyle w:val="Header"/>
    </w:pPr>
  </w:p>
  <w:p w:rsidR="009C366D" w:rsidRPr="0055291A" w:rsidRDefault="009C366D" w:rsidP="00965ADC">
    <w:pPr>
      <w:pStyle w:val="Header"/>
      <w:pBdr>
        <w:top w:val="single" w:sz="36" w:space="1" w:color="CC0000"/>
      </w:pBdr>
    </w:pPr>
  </w:p>
  <w:p w:rsidR="009C366D" w:rsidRPr="003877A3" w:rsidRDefault="009C366D" w:rsidP="00720831">
    <w:pPr>
      <w:pStyle w:val="Footer"/>
      <w:tabs>
        <w:tab w:val="clear" w:pos="4320"/>
        <w:tab w:val="clear" w:pos="8640"/>
        <w:tab w:val="center" w:pos="4500"/>
        <w:tab w:val="right" w:pos="8820"/>
        <w:tab w:val="left" w:pos="11160"/>
      </w:tabs>
      <w:jc w:val="center"/>
      <w:rPr>
        <w:rStyle w:val="PageNumber"/>
        <w:rFonts w:ascii="Arial" w:hAnsi="Arial" w:cs="Arial"/>
        <w:sz w:val="20"/>
        <w:szCs w:val="20"/>
      </w:rPr>
    </w:pPr>
    <w:r w:rsidRPr="000F032F">
      <w:rPr>
        <w:rStyle w:val="PageNumber"/>
        <w:rFonts w:ascii="Times New Roman" w:hAnsi="Times New Roman"/>
        <w:sz w:val="20"/>
        <w:szCs w:val="20"/>
      </w:rPr>
      <w:t>Environmental Compliance Strategy</w:t>
    </w:r>
    <w:r w:rsidRPr="003877A3">
      <w:rPr>
        <w:rStyle w:val="PageNumber"/>
        <w:sz w:val="20"/>
        <w:szCs w:val="20"/>
      </w:rPr>
      <w:tab/>
    </w:r>
    <w:r w:rsidR="00C650CE">
      <w:rPr>
        <w:rStyle w:val="PageNumber"/>
        <w:sz w:val="20"/>
        <w:szCs w:val="20"/>
      </w:rPr>
      <w:fldChar w:fldCharType="begin"/>
    </w:r>
    <w:r>
      <w:rPr>
        <w:rStyle w:val="PageNumber"/>
        <w:sz w:val="20"/>
        <w:szCs w:val="20"/>
      </w:rPr>
      <w:instrText xml:space="preserve"> PAGE  \* Arabic  \* MERGEFORMAT </w:instrText>
    </w:r>
    <w:r w:rsidR="00C650CE">
      <w:rPr>
        <w:rStyle w:val="PageNumber"/>
        <w:sz w:val="20"/>
        <w:szCs w:val="20"/>
      </w:rPr>
      <w:fldChar w:fldCharType="separate"/>
    </w:r>
    <w:r w:rsidR="00ED3F91">
      <w:rPr>
        <w:rStyle w:val="PageNumber"/>
        <w:noProof/>
        <w:sz w:val="20"/>
        <w:szCs w:val="20"/>
      </w:rPr>
      <w:t>37</w:t>
    </w:r>
    <w:r w:rsidR="00C650CE">
      <w:rPr>
        <w:rStyle w:val="PageNumber"/>
        <w:sz w:val="20"/>
        <w:szCs w:val="20"/>
      </w:rPr>
      <w:fldChar w:fldCharType="end"/>
    </w:r>
    <w:r>
      <w:rPr>
        <w:rStyle w:val="PageNumber"/>
        <w:sz w:val="20"/>
        <w:szCs w:val="20"/>
      </w:rPr>
      <w:tab/>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366D" w:rsidRDefault="009C366D" w:rsidP="00965ADC">
    <w:pPr>
      <w:pStyle w:val="Header"/>
    </w:pPr>
  </w:p>
  <w:p w:rsidR="009C366D" w:rsidRPr="0055291A" w:rsidRDefault="009C366D" w:rsidP="00965ADC">
    <w:pPr>
      <w:pStyle w:val="Header"/>
      <w:pBdr>
        <w:top w:val="single" w:sz="36" w:space="1" w:color="CC0000"/>
      </w:pBdr>
    </w:pPr>
  </w:p>
  <w:p w:rsidR="009C366D" w:rsidRPr="003877A3" w:rsidRDefault="009C366D" w:rsidP="00752263">
    <w:pPr>
      <w:pStyle w:val="Footer"/>
      <w:tabs>
        <w:tab w:val="clear" w:pos="4320"/>
        <w:tab w:val="clear" w:pos="8640"/>
        <w:tab w:val="center" w:pos="4500"/>
        <w:tab w:val="right" w:pos="8820"/>
        <w:tab w:val="left" w:pos="11160"/>
      </w:tabs>
      <w:rPr>
        <w:rStyle w:val="PageNumber"/>
        <w:rFonts w:ascii="Arial" w:hAnsi="Arial" w:cs="Arial"/>
        <w:sz w:val="20"/>
        <w:szCs w:val="20"/>
      </w:rPr>
    </w:pPr>
    <w:r w:rsidRPr="000F032F">
      <w:rPr>
        <w:rStyle w:val="PageNumber"/>
        <w:rFonts w:ascii="Times New Roman" w:hAnsi="Times New Roman"/>
        <w:sz w:val="20"/>
        <w:szCs w:val="20"/>
      </w:rPr>
      <w:t>Environmental Compliance Strategy</w:t>
    </w:r>
    <w:r w:rsidRPr="003877A3">
      <w:rPr>
        <w:rStyle w:val="PageNumber"/>
        <w:sz w:val="20"/>
        <w:szCs w:val="20"/>
      </w:rPr>
      <w:tab/>
    </w:r>
    <w:r>
      <w:rPr>
        <w:rStyle w:val="PageNumber"/>
        <w:sz w:val="20"/>
        <w:szCs w:val="20"/>
      </w:rPr>
      <w:t xml:space="preserve">                                                                           </w:t>
    </w:r>
    <w:r w:rsidR="00C650CE" w:rsidRPr="00E07104">
      <w:rPr>
        <w:rStyle w:val="PageNumber"/>
        <w:sz w:val="20"/>
        <w:szCs w:val="20"/>
      </w:rPr>
      <w:fldChar w:fldCharType="begin"/>
    </w:r>
    <w:r w:rsidRPr="00E07104">
      <w:rPr>
        <w:rStyle w:val="PageNumber"/>
        <w:sz w:val="20"/>
        <w:szCs w:val="20"/>
      </w:rPr>
      <w:instrText xml:space="preserve"> PAGE   \* MERGEFORMAT </w:instrText>
    </w:r>
    <w:r w:rsidR="00C650CE" w:rsidRPr="00E07104">
      <w:rPr>
        <w:rStyle w:val="PageNumber"/>
        <w:sz w:val="20"/>
        <w:szCs w:val="20"/>
      </w:rPr>
      <w:fldChar w:fldCharType="separate"/>
    </w:r>
    <w:r w:rsidR="00ED3F91">
      <w:rPr>
        <w:rStyle w:val="PageNumber"/>
        <w:noProof/>
        <w:sz w:val="20"/>
        <w:szCs w:val="20"/>
      </w:rPr>
      <w:t>38</w:t>
    </w:r>
    <w:r w:rsidR="00C650CE" w:rsidRPr="00E07104">
      <w:rPr>
        <w:rStyle w:val="PageNumber"/>
        <w:sz w:val="20"/>
        <w:szCs w:val="20"/>
      </w:rPr>
      <w:fldChar w:fldCharType="end"/>
    </w:r>
    <w:r>
      <w:rPr>
        <w:rStyle w:val="PageNumber"/>
        <w:sz w:val="20"/>
        <w:szCs w:val="20"/>
      </w:rPr>
      <w:tab/>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366D" w:rsidRDefault="009C366D" w:rsidP="00965ADC">
    <w:pPr>
      <w:pStyle w:val="Header"/>
    </w:pPr>
  </w:p>
  <w:p w:rsidR="009C366D" w:rsidRPr="0055291A" w:rsidRDefault="009C366D" w:rsidP="00965ADC">
    <w:pPr>
      <w:pStyle w:val="Header"/>
      <w:pBdr>
        <w:top w:val="single" w:sz="36" w:space="1" w:color="CC0000"/>
      </w:pBdr>
    </w:pPr>
  </w:p>
  <w:p w:rsidR="009C366D" w:rsidRPr="003877A3" w:rsidRDefault="009C366D" w:rsidP="00752263">
    <w:pPr>
      <w:pStyle w:val="Footer"/>
      <w:tabs>
        <w:tab w:val="clear" w:pos="4320"/>
        <w:tab w:val="clear" w:pos="8640"/>
        <w:tab w:val="center" w:pos="4500"/>
        <w:tab w:val="right" w:pos="8820"/>
        <w:tab w:val="left" w:pos="11160"/>
      </w:tabs>
      <w:rPr>
        <w:rStyle w:val="PageNumber"/>
        <w:rFonts w:ascii="Arial" w:hAnsi="Arial" w:cs="Arial"/>
        <w:sz w:val="20"/>
        <w:szCs w:val="20"/>
      </w:rPr>
    </w:pPr>
    <w:r w:rsidRPr="000F032F">
      <w:rPr>
        <w:rStyle w:val="PageNumber"/>
        <w:rFonts w:ascii="Times New Roman" w:hAnsi="Times New Roman"/>
        <w:sz w:val="20"/>
        <w:szCs w:val="20"/>
      </w:rPr>
      <w:t>Environmental Compliance Strategy</w:t>
    </w:r>
    <w:r w:rsidRPr="003877A3">
      <w:rPr>
        <w:rStyle w:val="PageNumber"/>
        <w:sz w:val="20"/>
        <w:szCs w:val="20"/>
      </w:rPr>
      <w:tab/>
    </w:r>
    <w:r w:rsidR="00C650CE" w:rsidRPr="00F5602B">
      <w:rPr>
        <w:rStyle w:val="PageNumber"/>
        <w:sz w:val="20"/>
        <w:szCs w:val="20"/>
      </w:rPr>
      <w:fldChar w:fldCharType="begin"/>
    </w:r>
    <w:r w:rsidRPr="00F5602B">
      <w:rPr>
        <w:rStyle w:val="PageNumber"/>
        <w:sz w:val="20"/>
        <w:szCs w:val="20"/>
      </w:rPr>
      <w:instrText xml:space="preserve"> PAGE   \* MERGEFORMAT </w:instrText>
    </w:r>
    <w:r w:rsidR="00C650CE" w:rsidRPr="00F5602B">
      <w:rPr>
        <w:rStyle w:val="PageNumber"/>
        <w:sz w:val="20"/>
        <w:szCs w:val="20"/>
      </w:rPr>
      <w:fldChar w:fldCharType="separate"/>
    </w:r>
    <w:r w:rsidR="00ED3F91">
      <w:rPr>
        <w:rStyle w:val="PageNumber"/>
        <w:noProof/>
        <w:sz w:val="20"/>
        <w:szCs w:val="20"/>
      </w:rPr>
      <w:t>57</w:t>
    </w:r>
    <w:r w:rsidR="00C650CE" w:rsidRPr="00F5602B">
      <w:rPr>
        <w:rStyle w:val="PageNumber"/>
        <w:sz w:val="20"/>
        <w:szCs w:val="20"/>
      </w:rPr>
      <w:fldChar w:fldCharType="end"/>
    </w:r>
    <w:r>
      <w:rPr>
        <w:rStyle w:val="PageNumber"/>
        <w:sz w:val="20"/>
        <w:szCs w:val="20"/>
      </w:rPr>
      <w:tab/>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366D" w:rsidRDefault="009C366D" w:rsidP="00965ADC">
    <w:pPr>
      <w:pStyle w:val="Header"/>
    </w:pPr>
  </w:p>
  <w:p w:rsidR="009C366D" w:rsidRPr="0055291A" w:rsidRDefault="009C366D" w:rsidP="00965ADC">
    <w:pPr>
      <w:pStyle w:val="Header"/>
      <w:pBdr>
        <w:top w:val="single" w:sz="36" w:space="1" w:color="CC0000"/>
      </w:pBdr>
    </w:pPr>
  </w:p>
  <w:p w:rsidR="009C366D" w:rsidRPr="003877A3" w:rsidRDefault="009C366D" w:rsidP="00752263">
    <w:pPr>
      <w:pStyle w:val="Footer"/>
      <w:tabs>
        <w:tab w:val="clear" w:pos="4320"/>
        <w:tab w:val="clear" w:pos="8640"/>
        <w:tab w:val="center" w:pos="4500"/>
        <w:tab w:val="right" w:pos="8820"/>
        <w:tab w:val="left" w:pos="11160"/>
      </w:tabs>
      <w:rPr>
        <w:rStyle w:val="PageNumber"/>
        <w:rFonts w:ascii="Arial" w:hAnsi="Arial" w:cs="Arial"/>
        <w:sz w:val="20"/>
        <w:szCs w:val="20"/>
      </w:rPr>
    </w:pPr>
    <w:r w:rsidRPr="000F032F">
      <w:rPr>
        <w:rStyle w:val="PageNumber"/>
        <w:rFonts w:ascii="Times New Roman" w:hAnsi="Times New Roman"/>
        <w:sz w:val="20"/>
        <w:szCs w:val="20"/>
      </w:rPr>
      <w:t>Environmental Compliance Strategy</w:t>
    </w:r>
    <w:r w:rsidRPr="003877A3">
      <w:rPr>
        <w:rStyle w:val="PageNumber"/>
        <w:sz w:val="20"/>
        <w:szCs w:val="20"/>
      </w:rPr>
      <w:tab/>
    </w:r>
    <w:r>
      <w:rPr>
        <w:rStyle w:val="PageNumber"/>
        <w:sz w:val="20"/>
        <w:szCs w:val="20"/>
      </w:rPr>
      <w:t xml:space="preserve">                                                                           </w:t>
    </w:r>
    <w:r w:rsidR="00C650CE" w:rsidRPr="00E07104">
      <w:rPr>
        <w:rStyle w:val="PageNumber"/>
        <w:sz w:val="20"/>
        <w:szCs w:val="20"/>
      </w:rPr>
      <w:fldChar w:fldCharType="begin"/>
    </w:r>
    <w:r w:rsidRPr="00E07104">
      <w:rPr>
        <w:rStyle w:val="PageNumber"/>
        <w:sz w:val="20"/>
        <w:szCs w:val="20"/>
      </w:rPr>
      <w:instrText xml:space="preserve"> PAGE   \* MERGEFORMAT </w:instrText>
    </w:r>
    <w:r w:rsidR="00C650CE" w:rsidRPr="00E07104">
      <w:rPr>
        <w:rStyle w:val="PageNumber"/>
        <w:sz w:val="20"/>
        <w:szCs w:val="20"/>
      </w:rPr>
      <w:fldChar w:fldCharType="separate"/>
    </w:r>
    <w:r w:rsidR="00ED3F91">
      <w:rPr>
        <w:rStyle w:val="PageNumber"/>
        <w:noProof/>
        <w:sz w:val="20"/>
        <w:szCs w:val="20"/>
      </w:rPr>
      <w:t>58</w:t>
    </w:r>
    <w:r w:rsidR="00C650CE" w:rsidRPr="00E07104">
      <w:rPr>
        <w:rStyle w:val="PageNumber"/>
        <w:sz w:val="20"/>
        <w:szCs w:val="20"/>
      </w:rPr>
      <w:fldChar w:fldCharType="end"/>
    </w:r>
    <w:r>
      <w:rPr>
        <w:rStyle w:val="PageNumber"/>
        <w:sz w:val="20"/>
        <w:szCs w:val="20"/>
      </w:rPr>
      <w:tab/>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366D" w:rsidRDefault="009C366D" w:rsidP="004046FB">
    <w:pPr>
      <w:pStyle w:val="Header"/>
    </w:pPr>
  </w:p>
  <w:p w:rsidR="009C366D" w:rsidRPr="0055291A" w:rsidRDefault="009C366D" w:rsidP="004046FB">
    <w:pPr>
      <w:pStyle w:val="Header"/>
      <w:pBdr>
        <w:top w:val="single" w:sz="36" w:space="1" w:color="CC0000"/>
      </w:pBdr>
    </w:pPr>
  </w:p>
  <w:p w:rsidR="009C366D" w:rsidRPr="003877A3" w:rsidRDefault="009C366D" w:rsidP="004046FB">
    <w:pPr>
      <w:pStyle w:val="Footer"/>
      <w:tabs>
        <w:tab w:val="clear" w:pos="4320"/>
        <w:tab w:val="clear" w:pos="8640"/>
        <w:tab w:val="center" w:pos="4500"/>
        <w:tab w:val="right" w:pos="8820"/>
        <w:tab w:val="left" w:pos="11160"/>
      </w:tabs>
      <w:rPr>
        <w:rStyle w:val="PageNumber"/>
        <w:rFonts w:ascii="Arial" w:hAnsi="Arial" w:cs="Arial"/>
        <w:sz w:val="20"/>
        <w:szCs w:val="20"/>
      </w:rPr>
    </w:pPr>
    <w:r w:rsidRPr="000F032F">
      <w:rPr>
        <w:rStyle w:val="PageNumber"/>
        <w:rFonts w:ascii="Times New Roman" w:hAnsi="Times New Roman"/>
        <w:sz w:val="20"/>
        <w:szCs w:val="20"/>
      </w:rPr>
      <w:t>Environmental Compliance Strategy</w:t>
    </w:r>
    <w:r w:rsidRPr="003877A3">
      <w:rPr>
        <w:rStyle w:val="PageNumber"/>
        <w:sz w:val="20"/>
        <w:szCs w:val="20"/>
      </w:rPr>
      <w:tab/>
    </w:r>
    <w:r>
      <w:rPr>
        <w:rStyle w:val="PageNumber"/>
        <w:sz w:val="20"/>
        <w:szCs w:val="20"/>
      </w:rPr>
      <w:t xml:space="preserve">                                                                           </w:t>
    </w:r>
    <w:r w:rsidR="00C650CE" w:rsidRPr="00E07104">
      <w:rPr>
        <w:rStyle w:val="PageNumber"/>
        <w:sz w:val="20"/>
        <w:szCs w:val="20"/>
      </w:rPr>
      <w:fldChar w:fldCharType="begin"/>
    </w:r>
    <w:r w:rsidRPr="00E07104">
      <w:rPr>
        <w:rStyle w:val="PageNumber"/>
        <w:sz w:val="20"/>
        <w:szCs w:val="20"/>
      </w:rPr>
      <w:instrText xml:space="preserve"> PAGE   \* MERGEFORMAT </w:instrText>
    </w:r>
    <w:r w:rsidR="00C650CE" w:rsidRPr="00E07104">
      <w:rPr>
        <w:rStyle w:val="PageNumber"/>
        <w:sz w:val="20"/>
        <w:szCs w:val="20"/>
      </w:rPr>
      <w:fldChar w:fldCharType="separate"/>
    </w:r>
    <w:r w:rsidR="00ED3F91">
      <w:rPr>
        <w:rStyle w:val="PageNumber"/>
        <w:noProof/>
        <w:sz w:val="20"/>
        <w:szCs w:val="20"/>
      </w:rPr>
      <w:t>59</w:t>
    </w:r>
    <w:r w:rsidR="00C650CE" w:rsidRPr="00E07104">
      <w:rPr>
        <w:rStyle w:val="PageNumber"/>
        <w:sz w:val="20"/>
        <w:szCs w:val="20"/>
      </w:rPr>
      <w:fldChar w:fldCharType="end"/>
    </w:r>
    <w:r>
      <w:rPr>
        <w:rStyle w:val="PageNumber"/>
        <w:sz w:val="20"/>
        <w:szCs w:val="20"/>
      </w:rPr>
      <w:tab/>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C366D" w:rsidRDefault="009C366D" w:rsidP="00936403">
      <w:pPr>
        <w:spacing w:after="0" w:line="240" w:lineRule="auto"/>
      </w:pPr>
      <w:r>
        <w:separator/>
      </w:r>
    </w:p>
  </w:footnote>
  <w:footnote w:type="continuationSeparator" w:id="0">
    <w:p w:rsidR="009C366D" w:rsidRDefault="009C366D" w:rsidP="00936403">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3F91" w:rsidRDefault="00ED3F91">
    <w:pPr>
      <w:pStyle w:val="Header"/>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366D" w:rsidRDefault="009C366D">
    <w:pPr>
      <w:pStyle w:val="Header"/>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366D" w:rsidRPr="007D245D" w:rsidRDefault="009C366D" w:rsidP="007D245D">
    <w:pPr>
      <w:pStyle w:val="Header"/>
      <w:tabs>
        <w:tab w:val="clear" w:pos="8640"/>
        <w:tab w:val="right" w:pos="8820"/>
      </w:tabs>
      <w:rPr>
        <w:rFonts w:ascii="Times New Roman" w:hAnsi="Times New Roman"/>
        <w:b/>
        <w:sz w:val="28"/>
        <w:szCs w:val="28"/>
      </w:rPr>
    </w:pPr>
    <w:r>
      <w:rPr>
        <w:rFonts w:ascii="Times New Roman" w:hAnsi="Times New Roman"/>
        <w:b/>
        <w:sz w:val="28"/>
        <w:szCs w:val="28"/>
      </w:rPr>
      <w:tab/>
    </w:r>
    <w:r>
      <w:rPr>
        <w:rFonts w:ascii="Times New Roman" w:hAnsi="Times New Roman"/>
        <w:b/>
        <w:sz w:val="28"/>
        <w:szCs w:val="28"/>
      </w:rPr>
      <w:tab/>
    </w:r>
    <w:r>
      <w:rPr>
        <w:rFonts w:ascii="Times New Roman" w:hAnsi="Times New Roman"/>
        <w:b/>
        <w:sz w:val="28"/>
        <w:szCs w:val="28"/>
      </w:rPr>
      <w:tab/>
      <w:t>PUBLIC DISCLOSURE</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366D" w:rsidRDefault="009C366D">
    <w:pPr>
      <w:pStyle w:val="Header"/>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366D" w:rsidRDefault="009C366D">
    <w:pPr>
      <w:pStyle w:val="Header"/>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366D" w:rsidRPr="0009605E" w:rsidRDefault="009C366D" w:rsidP="0009605E">
    <w:pPr>
      <w:pStyle w:val="Header"/>
      <w:tabs>
        <w:tab w:val="clear" w:pos="8640"/>
        <w:tab w:val="right" w:pos="8820"/>
      </w:tabs>
      <w:rPr>
        <w:rFonts w:ascii="Times New Roman" w:hAnsi="Times New Roman"/>
        <w:b/>
        <w:sz w:val="28"/>
        <w:szCs w:val="28"/>
      </w:rPr>
    </w:pPr>
    <w:r>
      <w:rPr>
        <w:rFonts w:ascii="Times New Roman" w:hAnsi="Times New Roman"/>
        <w:b/>
        <w:sz w:val="28"/>
        <w:szCs w:val="28"/>
      </w:rPr>
      <w:tab/>
    </w:r>
    <w:r>
      <w:rPr>
        <w:rFonts w:ascii="Times New Roman" w:hAnsi="Times New Roman"/>
        <w:b/>
        <w:sz w:val="28"/>
        <w:szCs w:val="28"/>
      </w:rPr>
      <w:tab/>
      <w:t>PUBLIC DISCLOSURE</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366D" w:rsidRDefault="009C366D">
    <w:pPr>
      <w:pStyle w:val="Header"/>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366D" w:rsidRDefault="009C366D">
    <w:pPr>
      <w:pStyle w:val="Header"/>
    </w:pP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366D" w:rsidRPr="007D245D" w:rsidRDefault="009C366D" w:rsidP="007D245D">
    <w:pPr>
      <w:pStyle w:val="Header"/>
      <w:tabs>
        <w:tab w:val="clear" w:pos="8640"/>
        <w:tab w:val="right" w:pos="8820"/>
      </w:tabs>
      <w:rPr>
        <w:rFonts w:ascii="Times New Roman" w:hAnsi="Times New Roman"/>
        <w:b/>
        <w:sz w:val="28"/>
        <w:szCs w:val="28"/>
      </w:rPr>
    </w:pPr>
    <w:r>
      <w:rPr>
        <w:rFonts w:ascii="Times New Roman" w:hAnsi="Times New Roman"/>
        <w:b/>
        <w:sz w:val="28"/>
        <w:szCs w:val="28"/>
      </w:rPr>
      <w:tab/>
    </w:r>
    <w:r>
      <w:rPr>
        <w:rFonts w:ascii="Times New Roman" w:hAnsi="Times New Roman"/>
        <w:b/>
        <w:sz w:val="28"/>
        <w:szCs w:val="28"/>
      </w:rPr>
      <w:tab/>
    </w:r>
    <w:r>
      <w:rPr>
        <w:rFonts w:ascii="Times New Roman" w:hAnsi="Times New Roman"/>
        <w:b/>
        <w:sz w:val="28"/>
        <w:szCs w:val="28"/>
      </w:rPr>
      <w:tab/>
      <w:t>PUBLIC DISCLOSURE</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366D" w:rsidRDefault="009C366D">
    <w:pPr>
      <w:pStyle w:val="Header"/>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366D" w:rsidRDefault="009C366D">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366D" w:rsidRDefault="009C366D">
    <w:pPr>
      <w:pStyle w:val="Header"/>
      <w:tabs>
        <w:tab w:val="clear" w:pos="8640"/>
        <w:tab w:val="right" w:pos="8820"/>
      </w:tabs>
      <w:rPr>
        <w:rFonts w:ascii="Times New Roman" w:hAnsi="Times New Roman"/>
        <w:b/>
        <w:sz w:val="28"/>
        <w:szCs w:val="28"/>
      </w:rPr>
    </w:pPr>
    <w:r>
      <w:rPr>
        <w:rFonts w:ascii="Times New Roman" w:hAnsi="Times New Roman"/>
        <w:b/>
        <w:sz w:val="28"/>
        <w:szCs w:val="28"/>
      </w:rPr>
      <w:tab/>
    </w:r>
    <w:r>
      <w:rPr>
        <w:rFonts w:ascii="Times New Roman" w:hAnsi="Times New Roman"/>
        <w:b/>
        <w:sz w:val="28"/>
        <w:szCs w:val="28"/>
      </w:rPr>
      <w:tab/>
      <w:t>PUBLIC DISCLOSURE</w:t>
    </w:r>
  </w:p>
  <w:p w:rsidR="009C366D" w:rsidRDefault="009C366D" w:rsidP="00965ADC">
    <w:pPr>
      <w:pStyle w:val="Header"/>
      <w:pBdr>
        <w:top w:val="single" w:sz="36" w:space="1" w:color="CC0000"/>
      </w:pBdr>
      <w:jc w:val="right"/>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366D" w:rsidRPr="007D245D" w:rsidRDefault="009C366D" w:rsidP="007D245D">
    <w:pPr>
      <w:pStyle w:val="Header"/>
      <w:tabs>
        <w:tab w:val="clear" w:pos="8640"/>
        <w:tab w:val="right" w:pos="8820"/>
      </w:tabs>
      <w:rPr>
        <w:rFonts w:ascii="Times New Roman" w:hAnsi="Times New Roman"/>
        <w:b/>
        <w:sz w:val="28"/>
        <w:szCs w:val="28"/>
      </w:rPr>
    </w:pPr>
    <w:r>
      <w:rPr>
        <w:rFonts w:ascii="Times New Roman" w:hAnsi="Times New Roman"/>
        <w:b/>
        <w:sz w:val="28"/>
        <w:szCs w:val="28"/>
      </w:rPr>
      <w:tab/>
    </w:r>
    <w:r>
      <w:rPr>
        <w:rFonts w:ascii="Times New Roman" w:hAnsi="Times New Roman"/>
        <w:b/>
        <w:sz w:val="28"/>
        <w:szCs w:val="28"/>
      </w:rPr>
      <w:tab/>
    </w:r>
    <w:r>
      <w:rPr>
        <w:rFonts w:ascii="Times New Roman" w:hAnsi="Times New Roman"/>
        <w:b/>
        <w:sz w:val="28"/>
        <w:szCs w:val="28"/>
      </w:rPr>
      <w:tab/>
      <w:t>PUBLIC DISCLOSURE</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366D" w:rsidRDefault="009C366D">
    <w:pPr>
      <w:pStyle w:val="Header"/>
    </w:pP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366D" w:rsidRDefault="009C366D">
    <w:pPr>
      <w:pStyle w:val="Header"/>
    </w:pP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366D" w:rsidRDefault="009C366D" w:rsidP="004046FB">
    <w:pPr>
      <w:pStyle w:val="Header"/>
      <w:tabs>
        <w:tab w:val="clear" w:pos="8640"/>
        <w:tab w:val="right" w:pos="8820"/>
      </w:tabs>
      <w:rPr>
        <w:rFonts w:ascii="Times New Roman" w:hAnsi="Times New Roman"/>
        <w:b/>
        <w:sz w:val="28"/>
        <w:szCs w:val="28"/>
      </w:rPr>
    </w:pPr>
    <w:r>
      <w:rPr>
        <w:rFonts w:ascii="Times New Roman" w:hAnsi="Times New Roman"/>
        <w:b/>
        <w:sz w:val="28"/>
        <w:szCs w:val="28"/>
      </w:rPr>
      <w:tab/>
    </w:r>
    <w:r>
      <w:rPr>
        <w:rFonts w:ascii="Times New Roman" w:hAnsi="Times New Roman"/>
        <w:b/>
        <w:sz w:val="28"/>
        <w:szCs w:val="28"/>
      </w:rPr>
      <w:tab/>
      <w:t>PUBLIC DISCLOSURE</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366D" w:rsidRDefault="009C366D">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3F91" w:rsidRDefault="00ED3F91">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366D" w:rsidRDefault="009C366D">
    <w:pPr>
      <w:pStyle w:val="Heade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366D" w:rsidRPr="0009605E" w:rsidRDefault="009C366D" w:rsidP="0009605E">
    <w:pPr>
      <w:pStyle w:val="Header"/>
      <w:tabs>
        <w:tab w:val="clear" w:pos="8640"/>
        <w:tab w:val="right" w:pos="8820"/>
      </w:tabs>
      <w:rPr>
        <w:rFonts w:ascii="Times New Roman" w:hAnsi="Times New Roman"/>
        <w:b/>
        <w:sz w:val="28"/>
        <w:szCs w:val="28"/>
      </w:rPr>
    </w:pPr>
    <w:r>
      <w:rPr>
        <w:rFonts w:ascii="Times New Roman" w:hAnsi="Times New Roman"/>
        <w:b/>
        <w:sz w:val="28"/>
        <w:szCs w:val="28"/>
      </w:rPr>
      <w:tab/>
    </w:r>
    <w:r>
      <w:rPr>
        <w:rFonts w:ascii="Times New Roman" w:hAnsi="Times New Roman"/>
        <w:b/>
        <w:sz w:val="28"/>
        <w:szCs w:val="28"/>
      </w:rPr>
      <w:tab/>
      <w:t>PUBLIC DISCLOSURE</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366D" w:rsidRDefault="009C366D">
    <w:pPr>
      <w:pStyle w:val="Header"/>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366D" w:rsidRDefault="009C366D">
    <w:pPr>
      <w:pStyle w:val="Header"/>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366D" w:rsidRPr="0009605E" w:rsidRDefault="009C366D" w:rsidP="0009605E">
    <w:pPr>
      <w:pStyle w:val="Header"/>
      <w:tabs>
        <w:tab w:val="clear" w:pos="8640"/>
        <w:tab w:val="right" w:pos="8820"/>
      </w:tabs>
      <w:rPr>
        <w:rFonts w:ascii="Times New Roman" w:hAnsi="Times New Roman"/>
        <w:b/>
        <w:sz w:val="28"/>
        <w:szCs w:val="28"/>
      </w:rPr>
    </w:pPr>
    <w:r>
      <w:rPr>
        <w:rFonts w:ascii="Times New Roman" w:hAnsi="Times New Roman"/>
        <w:b/>
        <w:sz w:val="28"/>
        <w:szCs w:val="28"/>
      </w:rPr>
      <w:tab/>
    </w:r>
    <w:r>
      <w:rPr>
        <w:rFonts w:ascii="Times New Roman" w:hAnsi="Times New Roman"/>
        <w:b/>
        <w:sz w:val="28"/>
        <w:szCs w:val="28"/>
      </w:rPr>
      <w:tab/>
      <w:t>PUBLIC DISCLOSURE</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366D" w:rsidRDefault="009C366D">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5B5878"/>
    <w:multiLevelType w:val="hybridMultilevel"/>
    <w:tmpl w:val="535EAF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6C978CD"/>
    <w:multiLevelType w:val="hybridMultilevel"/>
    <w:tmpl w:val="0CA6BA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8683751"/>
    <w:multiLevelType w:val="hybridMultilevel"/>
    <w:tmpl w:val="8C6CB17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9066662"/>
    <w:multiLevelType w:val="hybridMultilevel"/>
    <w:tmpl w:val="E7A2AE1C"/>
    <w:lvl w:ilvl="0" w:tplc="0492CE2E">
      <w:start w:val="1"/>
      <w:numFmt w:val="decimal"/>
      <w:lvlText w:val="(%1)"/>
      <w:lvlJc w:val="left"/>
      <w:pPr>
        <w:ind w:left="1710" w:hanging="360"/>
      </w:pPr>
      <w:rPr>
        <w:rFonts w:ascii="Times New Roman" w:hAnsi="Times New Roman" w:cs="Times New Roman" w:hint="default"/>
        <w:sz w:val="24"/>
        <w:szCs w:val="24"/>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4">
    <w:nsid w:val="0DAE0F4B"/>
    <w:multiLevelType w:val="hybridMultilevel"/>
    <w:tmpl w:val="EBE65466"/>
    <w:lvl w:ilvl="0" w:tplc="0409000F">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
    <w:nsid w:val="0DBE740A"/>
    <w:multiLevelType w:val="hybridMultilevel"/>
    <w:tmpl w:val="EA1E3C5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
    <w:nsid w:val="0FC35EE4"/>
    <w:multiLevelType w:val="hybridMultilevel"/>
    <w:tmpl w:val="3DEA90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3246D07"/>
    <w:multiLevelType w:val="hybridMultilevel"/>
    <w:tmpl w:val="EEEEA484"/>
    <w:lvl w:ilvl="0" w:tplc="04090001">
      <w:start w:val="1"/>
      <w:numFmt w:val="bullet"/>
      <w:lvlText w:val=""/>
      <w:lvlJc w:val="left"/>
      <w:pPr>
        <w:tabs>
          <w:tab w:val="num" w:pos="360"/>
        </w:tabs>
        <w:ind w:left="360" w:hanging="360"/>
      </w:pPr>
      <w:rPr>
        <w:rFonts w:ascii="Symbol" w:hAnsi="Symbol" w:hint="default"/>
      </w:rPr>
    </w:lvl>
    <w:lvl w:ilvl="1" w:tplc="395CDB6A">
      <w:numFmt w:val="bullet"/>
      <w:lvlText w:val="-"/>
      <w:lvlJc w:val="left"/>
      <w:pPr>
        <w:tabs>
          <w:tab w:val="num" w:pos="1080"/>
        </w:tabs>
        <w:ind w:left="1080" w:hanging="360"/>
      </w:pPr>
      <w:rPr>
        <w:rFonts w:ascii="Times New Roman" w:eastAsia="Times New Roman" w:hAnsi="Times New Roman" w:hint="default"/>
      </w:rPr>
    </w:lvl>
    <w:lvl w:ilvl="2" w:tplc="04090001">
      <w:start w:val="1"/>
      <w:numFmt w:val="bullet"/>
      <w:lvlText w:val=""/>
      <w:lvlJc w:val="left"/>
      <w:pPr>
        <w:tabs>
          <w:tab w:val="num" w:pos="1800"/>
        </w:tabs>
        <w:ind w:left="1800" w:hanging="360"/>
      </w:pPr>
      <w:rPr>
        <w:rFonts w:ascii="Symbol" w:hAnsi="Symbol"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
    <w:nsid w:val="138916B5"/>
    <w:multiLevelType w:val="multilevel"/>
    <w:tmpl w:val="A7DC42B4"/>
    <w:styleLink w:val="ECS"/>
    <w:lvl w:ilvl="0">
      <w:start w:val="1"/>
      <w:numFmt w:val="decimal"/>
      <w:lvlText w:val="%1.0"/>
      <w:lvlJc w:val="left"/>
      <w:pPr>
        <w:tabs>
          <w:tab w:val="num" w:pos="525"/>
        </w:tabs>
        <w:ind w:left="525" w:hanging="525"/>
      </w:pPr>
      <w:rPr>
        <w:rFonts w:cs="Times New Roman" w:hint="default"/>
      </w:rPr>
    </w:lvl>
    <w:lvl w:ilvl="1">
      <w:start w:val="1"/>
      <w:numFmt w:val="decimal"/>
      <w:lvlText w:val="%1.%2"/>
      <w:lvlJc w:val="left"/>
      <w:pPr>
        <w:tabs>
          <w:tab w:val="num" w:pos="1245"/>
        </w:tabs>
        <w:ind w:left="1245" w:hanging="525"/>
      </w:pPr>
      <w:rPr>
        <w:rFonts w:cs="Times New Roman" w:hint="default"/>
      </w:rPr>
    </w:lvl>
    <w:lvl w:ilvl="2">
      <w:start w:val="1"/>
      <w:numFmt w:val="decimal"/>
      <w:lvlText w:val="%1.%2.%3"/>
      <w:lvlJc w:val="left"/>
      <w:pPr>
        <w:tabs>
          <w:tab w:val="num" w:pos="2160"/>
        </w:tabs>
        <w:ind w:left="2160" w:hanging="720"/>
      </w:pPr>
      <w:rPr>
        <w:rFonts w:cs="Times New Roman" w:hint="default"/>
      </w:rPr>
    </w:lvl>
    <w:lvl w:ilvl="3">
      <w:start w:val="1"/>
      <w:numFmt w:val="decimal"/>
      <w:lvlText w:val="%1.%2.%3.%4"/>
      <w:lvlJc w:val="left"/>
      <w:pPr>
        <w:tabs>
          <w:tab w:val="num" w:pos="3240"/>
        </w:tabs>
        <w:ind w:left="3240" w:hanging="1080"/>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5040"/>
        </w:tabs>
        <w:ind w:left="5040" w:hanging="1440"/>
      </w:pPr>
      <w:rPr>
        <w:rFonts w:cs="Times New Roman" w:hint="default"/>
      </w:rPr>
    </w:lvl>
    <w:lvl w:ilvl="6">
      <w:start w:val="1"/>
      <w:numFmt w:val="decimal"/>
      <w:lvlText w:val="%1.%2.%3.%4.%5.%6.%7"/>
      <w:lvlJc w:val="left"/>
      <w:pPr>
        <w:tabs>
          <w:tab w:val="num" w:pos="5760"/>
        </w:tabs>
        <w:ind w:left="5760" w:hanging="1440"/>
      </w:pPr>
      <w:rPr>
        <w:rFonts w:cs="Times New Roman" w:hint="default"/>
      </w:rPr>
    </w:lvl>
    <w:lvl w:ilvl="7">
      <w:start w:val="1"/>
      <w:numFmt w:val="decimal"/>
      <w:lvlText w:val="%1.%2.%3.%4.%5.%6.%7.%8"/>
      <w:lvlJc w:val="left"/>
      <w:pPr>
        <w:tabs>
          <w:tab w:val="num" w:pos="6840"/>
        </w:tabs>
        <w:ind w:left="6840" w:hanging="1800"/>
      </w:pPr>
      <w:rPr>
        <w:rFonts w:cs="Times New Roman" w:hint="default"/>
      </w:rPr>
    </w:lvl>
    <w:lvl w:ilvl="8">
      <w:start w:val="1"/>
      <w:numFmt w:val="decimal"/>
      <w:lvlText w:val="%1.%2.%3.%4.%5.%6.%7.%8.%9"/>
      <w:lvlJc w:val="left"/>
      <w:pPr>
        <w:tabs>
          <w:tab w:val="num" w:pos="7920"/>
        </w:tabs>
        <w:ind w:left="7920" w:hanging="2160"/>
      </w:pPr>
      <w:rPr>
        <w:rFonts w:cs="Times New Roman" w:hint="default"/>
      </w:rPr>
    </w:lvl>
  </w:abstractNum>
  <w:abstractNum w:abstractNumId="9">
    <w:nsid w:val="14646584"/>
    <w:multiLevelType w:val="hybridMultilevel"/>
    <w:tmpl w:val="B0E4AD0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1FEF3DA0"/>
    <w:multiLevelType w:val="hybridMultilevel"/>
    <w:tmpl w:val="70F60E7C"/>
    <w:lvl w:ilvl="0" w:tplc="EEBAF902">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tabs>
          <w:tab w:val="num" w:pos="2160"/>
        </w:tabs>
        <w:ind w:left="2160" w:hanging="360"/>
      </w:pPr>
      <w:rPr>
        <w:rFonts w:ascii="Courier New" w:hAnsi="Courier New" w:cs="Courier New" w:hint="default"/>
      </w:r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1">
    <w:nsid w:val="21962514"/>
    <w:multiLevelType w:val="hybridMultilevel"/>
    <w:tmpl w:val="5622DF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12">
    <w:nsid w:val="2239239D"/>
    <w:multiLevelType w:val="hybridMultilevel"/>
    <w:tmpl w:val="DB606D02"/>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2AC6082"/>
    <w:multiLevelType w:val="hybridMultilevel"/>
    <w:tmpl w:val="5F4A120C"/>
    <w:lvl w:ilvl="0" w:tplc="C722F354">
      <w:start w:val="1"/>
      <w:numFmt w:val="bullet"/>
      <w:lvlText w:val=""/>
      <w:lvlJc w:val="left"/>
      <w:pPr>
        <w:tabs>
          <w:tab w:val="num" w:pos="720"/>
        </w:tabs>
        <w:ind w:left="720" w:hanging="360"/>
      </w:pPr>
      <w:rPr>
        <w:rFonts w:ascii="Symbol" w:hAnsi="Symbol" w:hint="default"/>
        <w:sz w:val="16"/>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2993197B"/>
    <w:multiLevelType w:val="hybridMultilevel"/>
    <w:tmpl w:val="6E46F6D8"/>
    <w:lvl w:ilvl="0" w:tplc="04090001">
      <w:start w:val="1"/>
      <w:numFmt w:val="bullet"/>
      <w:lvlText w:val=""/>
      <w:lvlJc w:val="left"/>
      <w:pPr>
        <w:tabs>
          <w:tab w:val="num" w:pos="360"/>
        </w:tabs>
        <w:ind w:left="360" w:hanging="360"/>
      </w:pPr>
      <w:rPr>
        <w:rFonts w:ascii="Symbol" w:hAnsi="Symbol" w:hint="default"/>
      </w:rPr>
    </w:lvl>
    <w:lvl w:ilvl="1" w:tplc="395CDB6A">
      <w:numFmt w:val="bullet"/>
      <w:lvlText w:val="-"/>
      <w:lvlJc w:val="left"/>
      <w:pPr>
        <w:tabs>
          <w:tab w:val="num" w:pos="1080"/>
        </w:tabs>
        <w:ind w:left="1080" w:hanging="360"/>
      </w:pPr>
      <w:rPr>
        <w:rFonts w:ascii="Times New Roman" w:eastAsia="Times New Roman" w:hAnsi="Times New Roman" w:hint="default"/>
      </w:rPr>
    </w:lvl>
    <w:lvl w:ilvl="2" w:tplc="04090001">
      <w:start w:val="1"/>
      <w:numFmt w:val="bullet"/>
      <w:lvlText w:val=""/>
      <w:lvlJc w:val="left"/>
      <w:pPr>
        <w:tabs>
          <w:tab w:val="num" w:pos="1800"/>
        </w:tabs>
        <w:ind w:left="1800" w:hanging="360"/>
      </w:pPr>
      <w:rPr>
        <w:rFonts w:ascii="Symbol" w:hAnsi="Symbol"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5">
    <w:nsid w:val="2B911E00"/>
    <w:multiLevelType w:val="multilevel"/>
    <w:tmpl w:val="5FE2E7CA"/>
    <w:styleLink w:val="Style3"/>
    <w:lvl w:ilvl="0">
      <w:start w:val="1"/>
      <w:numFmt w:val="decimal"/>
      <w:lvlText w:val="%1.0"/>
      <w:lvlJc w:val="left"/>
      <w:pPr>
        <w:tabs>
          <w:tab w:val="num" w:pos="525"/>
        </w:tabs>
        <w:ind w:left="525" w:hanging="525"/>
      </w:pPr>
      <w:rPr>
        <w:rFonts w:cs="Times New Roman" w:hint="default"/>
        <w:color w:val="000080"/>
      </w:rPr>
    </w:lvl>
    <w:lvl w:ilvl="1">
      <w:start w:val="1"/>
      <w:numFmt w:val="decimal"/>
      <w:lvlText w:val="%1.%2"/>
      <w:lvlJc w:val="left"/>
      <w:pPr>
        <w:tabs>
          <w:tab w:val="num" w:pos="1245"/>
        </w:tabs>
        <w:ind w:left="1245" w:hanging="525"/>
      </w:pPr>
      <w:rPr>
        <w:rFonts w:cs="Times New Roman" w:hint="default"/>
      </w:rPr>
    </w:lvl>
    <w:lvl w:ilvl="2">
      <w:start w:val="1"/>
      <w:numFmt w:val="decimal"/>
      <w:lvlText w:val="%1.%2.%3"/>
      <w:lvlJc w:val="left"/>
      <w:pPr>
        <w:tabs>
          <w:tab w:val="num" w:pos="2160"/>
        </w:tabs>
        <w:ind w:left="2160" w:hanging="720"/>
      </w:pPr>
      <w:rPr>
        <w:rFonts w:cs="Times New Roman" w:hint="default"/>
        <w:u w:val="single"/>
      </w:rPr>
    </w:lvl>
    <w:lvl w:ilvl="3">
      <w:start w:val="1"/>
      <w:numFmt w:val="decimal"/>
      <w:lvlText w:val="%1.%2.%3.%4"/>
      <w:lvlJc w:val="left"/>
      <w:pPr>
        <w:tabs>
          <w:tab w:val="num" w:pos="3240"/>
        </w:tabs>
        <w:ind w:left="3240" w:hanging="1080"/>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5040"/>
        </w:tabs>
        <w:ind w:left="5040" w:hanging="1440"/>
      </w:pPr>
      <w:rPr>
        <w:rFonts w:cs="Times New Roman" w:hint="default"/>
      </w:rPr>
    </w:lvl>
    <w:lvl w:ilvl="6">
      <w:start w:val="1"/>
      <w:numFmt w:val="decimal"/>
      <w:lvlText w:val="%1.%2.%3.%4.%5.%6.%7"/>
      <w:lvlJc w:val="left"/>
      <w:pPr>
        <w:tabs>
          <w:tab w:val="num" w:pos="5760"/>
        </w:tabs>
        <w:ind w:left="5760" w:hanging="1440"/>
      </w:pPr>
      <w:rPr>
        <w:rFonts w:cs="Times New Roman" w:hint="default"/>
      </w:rPr>
    </w:lvl>
    <w:lvl w:ilvl="7">
      <w:start w:val="1"/>
      <w:numFmt w:val="decimal"/>
      <w:lvlText w:val="%1.%2.%3.%4.%5.%6.%7.%8"/>
      <w:lvlJc w:val="left"/>
      <w:pPr>
        <w:tabs>
          <w:tab w:val="num" w:pos="6840"/>
        </w:tabs>
        <w:ind w:left="6840" w:hanging="1800"/>
      </w:pPr>
      <w:rPr>
        <w:rFonts w:cs="Times New Roman" w:hint="default"/>
      </w:rPr>
    </w:lvl>
    <w:lvl w:ilvl="8">
      <w:start w:val="1"/>
      <w:numFmt w:val="decimal"/>
      <w:lvlText w:val="%1.%2.%3.%4.%5.%6.%7.%8.%9"/>
      <w:lvlJc w:val="left"/>
      <w:pPr>
        <w:tabs>
          <w:tab w:val="num" w:pos="7920"/>
        </w:tabs>
        <w:ind w:left="7920" w:hanging="2160"/>
      </w:pPr>
      <w:rPr>
        <w:rFonts w:cs="Times New Roman" w:hint="default"/>
      </w:rPr>
    </w:lvl>
  </w:abstractNum>
  <w:abstractNum w:abstractNumId="16">
    <w:nsid w:val="2E275B49"/>
    <w:multiLevelType w:val="hybridMultilevel"/>
    <w:tmpl w:val="4FBA1C8A"/>
    <w:lvl w:ilvl="0" w:tplc="54CA33B8">
      <w:start w:val="4"/>
      <w:numFmt w:val="decimal"/>
      <w:lvlText w:val="%1."/>
      <w:lvlJc w:val="left"/>
      <w:pPr>
        <w:tabs>
          <w:tab w:val="num" w:pos="720"/>
        </w:tabs>
        <w:ind w:left="720" w:hanging="360"/>
      </w:pPr>
      <w:rPr>
        <w:rFonts w:cs="Times New Roman" w:hint="default"/>
      </w:rPr>
    </w:lvl>
    <w:lvl w:ilvl="1" w:tplc="6DF83BF4">
      <w:numFmt w:val="none"/>
      <w:lvlText w:val=""/>
      <w:lvlJc w:val="left"/>
      <w:pPr>
        <w:tabs>
          <w:tab w:val="num" w:pos="360"/>
        </w:tabs>
      </w:pPr>
      <w:rPr>
        <w:rFonts w:cs="Times New Roman"/>
      </w:rPr>
    </w:lvl>
    <w:lvl w:ilvl="2" w:tplc="7C983588">
      <w:numFmt w:val="none"/>
      <w:lvlText w:val=""/>
      <w:lvlJc w:val="left"/>
      <w:pPr>
        <w:tabs>
          <w:tab w:val="num" w:pos="360"/>
        </w:tabs>
      </w:pPr>
      <w:rPr>
        <w:rFonts w:cs="Times New Roman"/>
      </w:rPr>
    </w:lvl>
    <w:lvl w:ilvl="3" w:tplc="33EEAC82">
      <w:numFmt w:val="none"/>
      <w:lvlText w:val=""/>
      <w:lvlJc w:val="left"/>
      <w:pPr>
        <w:tabs>
          <w:tab w:val="num" w:pos="360"/>
        </w:tabs>
      </w:pPr>
      <w:rPr>
        <w:rFonts w:cs="Times New Roman"/>
      </w:rPr>
    </w:lvl>
    <w:lvl w:ilvl="4" w:tplc="6DBE820E">
      <w:numFmt w:val="none"/>
      <w:lvlText w:val=""/>
      <w:lvlJc w:val="left"/>
      <w:pPr>
        <w:tabs>
          <w:tab w:val="num" w:pos="360"/>
        </w:tabs>
      </w:pPr>
      <w:rPr>
        <w:rFonts w:cs="Times New Roman"/>
      </w:rPr>
    </w:lvl>
    <w:lvl w:ilvl="5" w:tplc="B776D824">
      <w:numFmt w:val="none"/>
      <w:lvlText w:val=""/>
      <w:lvlJc w:val="left"/>
      <w:pPr>
        <w:tabs>
          <w:tab w:val="num" w:pos="360"/>
        </w:tabs>
      </w:pPr>
      <w:rPr>
        <w:rFonts w:cs="Times New Roman"/>
      </w:rPr>
    </w:lvl>
    <w:lvl w:ilvl="6" w:tplc="96AE324E">
      <w:numFmt w:val="none"/>
      <w:lvlText w:val=""/>
      <w:lvlJc w:val="left"/>
      <w:pPr>
        <w:tabs>
          <w:tab w:val="num" w:pos="360"/>
        </w:tabs>
      </w:pPr>
      <w:rPr>
        <w:rFonts w:cs="Times New Roman"/>
      </w:rPr>
    </w:lvl>
    <w:lvl w:ilvl="7" w:tplc="53D22918">
      <w:numFmt w:val="none"/>
      <w:lvlText w:val=""/>
      <w:lvlJc w:val="left"/>
      <w:pPr>
        <w:tabs>
          <w:tab w:val="num" w:pos="360"/>
        </w:tabs>
      </w:pPr>
      <w:rPr>
        <w:rFonts w:cs="Times New Roman"/>
      </w:rPr>
    </w:lvl>
    <w:lvl w:ilvl="8" w:tplc="0BAE743C">
      <w:numFmt w:val="none"/>
      <w:lvlText w:val=""/>
      <w:lvlJc w:val="left"/>
      <w:pPr>
        <w:tabs>
          <w:tab w:val="num" w:pos="360"/>
        </w:tabs>
      </w:pPr>
      <w:rPr>
        <w:rFonts w:cs="Times New Roman"/>
      </w:rPr>
    </w:lvl>
  </w:abstractNum>
  <w:abstractNum w:abstractNumId="17">
    <w:nsid w:val="34501824"/>
    <w:multiLevelType w:val="hybridMultilevel"/>
    <w:tmpl w:val="960CE012"/>
    <w:lvl w:ilvl="0" w:tplc="18D881DC">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35CD2C06"/>
    <w:multiLevelType w:val="hybridMultilevel"/>
    <w:tmpl w:val="501A8966"/>
    <w:lvl w:ilvl="0" w:tplc="C722F354">
      <w:start w:val="1"/>
      <w:numFmt w:val="bullet"/>
      <w:lvlText w:val=""/>
      <w:lvlJc w:val="left"/>
      <w:pPr>
        <w:tabs>
          <w:tab w:val="num" w:pos="720"/>
        </w:tabs>
        <w:ind w:left="720" w:hanging="360"/>
      </w:pPr>
      <w:rPr>
        <w:rFonts w:ascii="Symbol" w:hAnsi="Symbol" w:hint="default"/>
        <w:sz w:val="16"/>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362851D1"/>
    <w:multiLevelType w:val="hybridMultilevel"/>
    <w:tmpl w:val="16146C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CCE711D"/>
    <w:multiLevelType w:val="hybridMultilevel"/>
    <w:tmpl w:val="86747F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DFB7DE2"/>
    <w:multiLevelType w:val="hybridMultilevel"/>
    <w:tmpl w:val="5B22B54E"/>
    <w:lvl w:ilvl="0" w:tplc="C722F354">
      <w:start w:val="1"/>
      <w:numFmt w:val="bullet"/>
      <w:lvlText w:val=""/>
      <w:lvlJc w:val="left"/>
      <w:pPr>
        <w:tabs>
          <w:tab w:val="num" w:pos="720"/>
        </w:tabs>
        <w:ind w:left="720" w:hanging="360"/>
      </w:pPr>
      <w:rPr>
        <w:rFonts w:ascii="Symbol" w:hAnsi="Symbol" w:hint="default"/>
        <w:sz w:val="16"/>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41D95E95"/>
    <w:multiLevelType w:val="multilevel"/>
    <w:tmpl w:val="A7B2D168"/>
    <w:lvl w:ilvl="0">
      <w:start w:val="4"/>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nsid w:val="4F7801AD"/>
    <w:multiLevelType w:val="hybridMultilevel"/>
    <w:tmpl w:val="103AC88E"/>
    <w:lvl w:ilvl="0" w:tplc="9392D818">
      <w:start w:val="1"/>
      <w:numFmt w:val="bullet"/>
      <w:lvlText w:val=""/>
      <w:lvlJc w:val="left"/>
      <w:pPr>
        <w:tabs>
          <w:tab w:val="num" w:pos="1440"/>
        </w:tabs>
        <w:ind w:left="1440" w:hanging="360"/>
      </w:pPr>
      <w:rPr>
        <w:rFonts w:ascii="Symbol" w:hAnsi="Symbol" w:hint="default"/>
      </w:rPr>
    </w:lvl>
    <w:lvl w:ilvl="1" w:tplc="ADC28FD2" w:tentative="1">
      <w:start w:val="1"/>
      <w:numFmt w:val="bullet"/>
      <w:lvlText w:val="o"/>
      <w:lvlJc w:val="left"/>
      <w:pPr>
        <w:tabs>
          <w:tab w:val="num" w:pos="2160"/>
        </w:tabs>
        <w:ind w:left="2160" w:hanging="360"/>
      </w:pPr>
      <w:rPr>
        <w:rFonts w:ascii="Courier New" w:hAnsi="Courier New" w:hint="default"/>
      </w:rPr>
    </w:lvl>
    <w:lvl w:ilvl="2" w:tplc="04A0E63E" w:tentative="1">
      <w:start w:val="1"/>
      <w:numFmt w:val="bullet"/>
      <w:lvlText w:val=""/>
      <w:lvlJc w:val="left"/>
      <w:pPr>
        <w:tabs>
          <w:tab w:val="num" w:pos="2880"/>
        </w:tabs>
        <w:ind w:left="2880" w:hanging="360"/>
      </w:pPr>
      <w:rPr>
        <w:rFonts w:ascii="Wingdings" w:hAnsi="Wingdings" w:hint="default"/>
      </w:rPr>
    </w:lvl>
    <w:lvl w:ilvl="3" w:tplc="67A21DAA" w:tentative="1">
      <w:start w:val="1"/>
      <w:numFmt w:val="bullet"/>
      <w:lvlText w:val=""/>
      <w:lvlJc w:val="left"/>
      <w:pPr>
        <w:tabs>
          <w:tab w:val="num" w:pos="3600"/>
        </w:tabs>
        <w:ind w:left="3600" w:hanging="360"/>
      </w:pPr>
      <w:rPr>
        <w:rFonts w:ascii="Symbol" w:hAnsi="Symbol" w:hint="default"/>
      </w:rPr>
    </w:lvl>
    <w:lvl w:ilvl="4" w:tplc="6746862A" w:tentative="1">
      <w:start w:val="1"/>
      <w:numFmt w:val="bullet"/>
      <w:lvlText w:val="o"/>
      <w:lvlJc w:val="left"/>
      <w:pPr>
        <w:tabs>
          <w:tab w:val="num" w:pos="4320"/>
        </w:tabs>
        <w:ind w:left="4320" w:hanging="360"/>
      </w:pPr>
      <w:rPr>
        <w:rFonts w:ascii="Courier New" w:hAnsi="Courier New" w:hint="default"/>
      </w:rPr>
    </w:lvl>
    <w:lvl w:ilvl="5" w:tplc="6A4E9ED2" w:tentative="1">
      <w:start w:val="1"/>
      <w:numFmt w:val="bullet"/>
      <w:lvlText w:val=""/>
      <w:lvlJc w:val="left"/>
      <w:pPr>
        <w:tabs>
          <w:tab w:val="num" w:pos="5040"/>
        </w:tabs>
        <w:ind w:left="5040" w:hanging="360"/>
      </w:pPr>
      <w:rPr>
        <w:rFonts w:ascii="Wingdings" w:hAnsi="Wingdings" w:hint="default"/>
      </w:rPr>
    </w:lvl>
    <w:lvl w:ilvl="6" w:tplc="6B10A204" w:tentative="1">
      <w:start w:val="1"/>
      <w:numFmt w:val="bullet"/>
      <w:lvlText w:val=""/>
      <w:lvlJc w:val="left"/>
      <w:pPr>
        <w:tabs>
          <w:tab w:val="num" w:pos="5760"/>
        </w:tabs>
        <w:ind w:left="5760" w:hanging="360"/>
      </w:pPr>
      <w:rPr>
        <w:rFonts w:ascii="Symbol" w:hAnsi="Symbol" w:hint="default"/>
      </w:rPr>
    </w:lvl>
    <w:lvl w:ilvl="7" w:tplc="DCA8A408" w:tentative="1">
      <w:start w:val="1"/>
      <w:numFmt w:val="bullet"/>
      <w:lvlText w:val="o"/>
      <w:lvlJc w:val="left"/>
      <w:pPr>
        <w:tabs>
          <w:tab w:val="num" w:pos="6480"/>
        </w:tabs>
        <w:ind w:left="6480" w:hanging="360"/>
      </w:pPr>
      <w:rPr>
        <w:rFonts w:ascii="Courier New" w:hAnsi="Courier New" w:hint="default"/>
      </w:rPr>
    </w:lvl>
    <w:lvl w:ilvl="8" w:tplc="3DA67A50" w:tentative="1">
      <w:start w:val="1"/>
      <w:numFmt w:val="bullet"/>
      <w:lvlText w:val=""/>
      <w:lvlJc w:val="left"/>
      <w:pPr>
        <w:tabs>
          <w:tab w:val="num" w:pos="7200"/>
        </w:tabs>
        <w:ind w:left="7200" w:hanging="360"/>
      </w:pPr>
      <w:rPr>
        <w:rFonts w:ascii="Wingdings" w:hAnsi="Wingdings" w:hint="default"/>
      </w:rPr>
    </w:lvl>
  </w:abstractNum>
  <w:abstractNum w:abstractNumId="24">
    <w:nsid w:val="4FFE0E1F"/>
    <w:multiLevelType w:val="hybridMultilevel"/>
    <w:tmpl w:val="E95035AC"/>
    <w:lvl w:ilvl="0" w:tplc="2F7E6706">
      <w:start w:val="1"/>
      <w:numFmt w:val="bullet"/>
      <w:lvlText w:val=""/>
      <w:lvlJc w:val="left"/>
      <w:pPr>
        <w:tabs>
          <w:tab w:val="num" w:pos="5400"/>
        </w:tabs>
        <w:ind w:left="5400" w:hanging="360"/>
      </w:pPr>
      <w:rPr>
        <w:rFonts w:ascii="Symbol" w:hAnsi="Symbol" w:hint="default"/>
        <w:b w:val="0"/>
        <w:i w:val="0"/>
        <w:sz w:val="16"/>
      </w:rPr>
    </w:lvl>
    <w:lvl w:ilvl="1" w:tplc="AF5A8122" w:tentative="1">
      <w:start w:val="1"/>
      <w:numFmt w:val="bullet"/>
      <w:lvlText w:val="o"/>
      <w:lvlJc w:val="left"/>
      <w:pPr>
        <w:tabs>
          <w:tab w:val="num" w:pos="1440"/>
        </w:tabs>
        <w:ind w:left="1440" w:hanging="360"/>
      </w:pPr>
      <w:rPr>
        <w:rFonts w:ascii="Courier New" w:hAnsi="Courier New" w:hint="default"/>
      </w:rPr>
    </w:lvl>
    <w:lvl w:ilvl="2" w:tplc="66C2842A" w:tentative="1">
      <w:start w:val="1"/>
      <w:numFmt w:val="bullet"/>
      <w:lvlText w:val=""/>
      <w:lvlJc w:val="left"/>
      <w:pPr>
        <w:tabs>
          <w:tab w:val="num" w:pos="2160"/>
        </w:tabs>
        <w:ind w:left="2160" w:hanging="360"/>
      </w:pPr>
      <w:rPr>
        <w:rFonts w:ascii="Wingdings" w:hAnsi="Wingdings" w:hint="default"/>
      </w:rPr>
    </w:lvl>
    <w:lvl w:ilvl="3" w:tplc="E334C192" w:tentative="1">
      <w:start w:val="1"/>
      <w:numFmt w:val="bullet"/>
      <w:lvlText w:val=""/>
      <w:lvlJc w:val="left"/>
      <w:pPr>
        <w:tabs>
          <w:tab w:val="num" w:pos="2880"/>
        </w:tabs>
        <w:ind w:left="2880" w:hanging="360"/>
      </w:pPr>
      <w:rPr>
        <w:rFonts w:ascii="Symbol" w:hAnsi="Symbol" w:hint="default"/>
      </w:rPr>
    </w:lvl>
    <w:lvl w:ilvl="4" w:tplc="87A42610" w:tentative="1">
      <w:start w:val="1"/>
      <w:numFmt w:val="bullet"/>
      <w:lvlText w:val="o"/>
      <w:lvlJc w:val="left"/>
      <w:pPr>
        <w:tabs>
          <w:tab w:val="num" w:pos="3600"/>
        </w:tabs>
        <w:ind w:left="3600" w:hanging="360"/>
      </w:pPr>
      <w:rPr>
        <w:rFonts w:ascii="Courier New" w:hAnsi="Courier New" w:hint="default"/>
      </w:rPr>
    </w:lvl>
    <w:lvl w:ilvl="5" w:tplc="977E2DE4" w:tentative="1">
      <w:start w:val="1"/>
      <w:numFmt w:val="bullet"/>
      <w:lvlText w:val=""/>
      <w:lvlJc w:val="left"/>
      <w:pPr>
        <w:tabs>
          <w:tab w:val="num" w:pos="4320"/>
        </w:tabs>
        <w:ind w:left="4320" w:hanging="360"/>
      </w:pPr>
      <w:rPr>
        <w:rFonts w:ascii="Wingdings" w:hAnsi="Wingdings" w:hint="default"/>
      </w:rPr>
    </w:lvl>
    <w:lvl w:ilvl="6" w:tplc="F97CBDEA" w:tentative="1">
      <w:start w:val="1"/>
      <w:numFmt w:val="bullet"/>
      <w:lvlText w:val=""/>
      <w:lvlJc w:val="left"/>
      <w:pPr>
        <w:tabs>
          <w:tab w:val="num" w:pos="5040"/>
        </w:tabs>
        <w:ind w:left="5040" w:hanging="360"/>
      </w:pPr>
      <w:rPr>
        <w:rFonts w:ascii="Symbol" w:hAnsi="Symbol" w:hint="default"/>
      </w:rPr>
    </w:lvl>
    <w:lvl w:ilvl="7" w:tplc="67EA0FB6" w:tentative="1">
      <w:start w:val="1"/>
      <w:numFmt w:val="bullet"/>
      <w:lvlText w:val="o"/>
      <w:lvlJc w:val="left"/>
      <w:pPr>
        <w:tabs>
          <w:tab w:val="num" w:pos="5760"/>
        </w:tabs>
        <w:ind w:left="5760" w:hanging="360"/>
      </w:pPr>
      <w:rPr>
        <w:rFonts w:ascii="Courier New" w:hAnsi="Courier New" w:hint="default"/>
      </w:rPr>
    </w:lvl>
    <w:lvl w:ilvl="8" w:tplc="31E234B0" w:tentative="1">
      <w:start w:val="1"/>
      <w:numFmt w:val="bullet"/>
      <w:lvlText w:val=""/>
      <w:lvlJc w:val="left"/>
      <w:pPr>
        <w:tabs>
          <w:tab w:val="num" w:pos="6480"/>
        </w:tabs>
        <w:ind w:left="6480" w:hanging="360"/>
      </w:pPr>
      <w:rPr>
        <w:rFonts w:ascii="Wingdings" w:hAnsi="Wingdings" w:hint="default"/>
      </w:rPr>
    </w:lvl>
  </w:abstractNum>
  <w:abstractNum w:abstractNumId="25">
    <w:nsid w:val="525A1256"/>
    <w:multiLevelType w:val="hybridMultilevel"/>
    <w:tmpl w:val="224078A4"/>
    <w:lvl w:ilvl="0" w:tplc="04090001">
      <w:start w:val="1"/>
      <w:numFmt w:val="bullet"/>
      <w:lvlText w:val=""/>
      <w:lvlJc w:val="left"/>
      <w:pPr>
        <w:tabs>
          <w:tab w:val="num" w:pos="5400"/>
        </w:tabs>
        <w:ind w:left="5400" w:hanging="360"/>
      </w:pPr>
      <w:rPr>
        <w:rFonts w:ascii="Symbol" w:hAnsi="Symbol" w:hint="default"/>
        <w:b w:val="0"/>
        <w:i w:val="0"/>
        <w:sz w:val="16"/>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541915E8"/>
    <w:multiLevelType w:val="hybridMultilevel"/>
    <w:tmpl w:val="1F7E7A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4271516"/>
    <w:multiLevelType w:val="multilevel"/>
    <w:tmpl w:val="95EC20EA"/>
    <w:lvl w:ilvl="0">
      <w:start w:val="1"/>
      <w:numFmt w:val="decimal"/>
      <w:lvlRestart w:val="0"/>
      <w:pStyle w:val="Heading1"/>
      <w:lvlText w:val="%1."/>
      <w:lvlJc w:val="left"/>
      <w:pPr>
        <w:tabs>
          <w:tab w:val="num" w:pos="72"/>
        </w:tabs>
        <w:ind w:left="4104" w:hanging="4104"/>
      </w:pPr>
      <w:rPr>
        <w:rFonts w:ascii="Times New Roman Bold" w:hAnsi="Times New Roman Bold" w:cs="Times New Roman" w:hint="default"/>
        <w:b/>
        <w:i w:val="0"/>
        <w:caps w:val="0"/>
        <w:smallCaps w:val="0"/>
        <w:strike w:val="0"/>
        <w:dstrike w:val="0"/>
        <w:outline w:val="0"/>
        <w:shadow w:val="0"/>
        <w:emboss w:val="0"/>
        <w:imprint w:val="0"/>
        <w:vanish w:val="0"/>
        <w:color w:val="auto"/>
        <w:spacing w:val="0"/>
        <w:w w:val="100"/>
        <w:kern w:val="0"/>
        <w:position w:val="0"/>
        <w:sz w:val="28"/>
        <w:szCs w:val="28"/>
        <w:u w:val="none"/>
        <w:effect w:val="none"/>
        <w:vertAlign w:val="baseline"/>
      </w:rPr>
    </w:lvl>
    <w:lvl w:ilvl="1">
      <w:start w:val="1"/>
      <w:numFmt w:val="decimal"/>
      <w:pStyle w:val="Heading2"/>
      <w:isLgl/>
      <w:lvlText w:val="%1.%2"/>
      <w:lvlJc w:val="left"/>
      <w:pPr>
        <w:tabs>
          <w:tab w:val="num" w:pos="1710"/>
        </w:tabs>
        <w:ind w:left="2430" w:hanging="1440"/>
      </w:pPr>
      <w:rPr>
        <w:rFonts w:ascii="Times New Roman" w:hAnsi="Times New Roman" w:cs="Times New Roman" w:hint="default"/>
        <w:b/>
        <w:i w:val="0"/>
        <w:caps w:val="0"/>
        <w:smallCaps w:val="0"/>
        <w:strike w:val="0"/>
        <w:dstrike w:val="0"/>
        <w:outline w:val="0"/>
        <w:shadow w:val="0"/>
        <w:emboss w:val="0"/>
        <w:imprint w:val="0"/>
        <w:vanish w:val="0"/>
        <w:color w:val="auto"/>
        <w:spacing w:val="0"/>
        <w:w w:val="100"/>
        <w:kern w:val="0"/>
        <w:position w:val="0"/>
        <w:sz w:val="28"/>
        <w:szCs w:val="28"/>
        <w:u w:val="none"/>
        <w:effect w:val="none"/>
        <w:vertAlign w:val="baseline"/>
      </w:rPr>
    </w:lvl>
    <w:lvl w:ilvl="2">
      <w:start w:val="1"/>
      <w:numFmt w:val="decimal"/>
      <w:pStyle w:val="Heading3"/>
      <w:isLgl/>
      <w:lvlText w:val="%1.%2.%3."/>
      <w:lvlJc w:val="left"/>
      <w:pPr>
        <w:tabs>
          <w:tab w:val="num" w:pos="-108"/>
        </w:tabs>
        <w:ind w:left="4068" w:hanging="2448"/>
      </w:pPr>
      <w:rPr>
        <w:rFonts w:cs="Times New Roman"/>
        <w:b/>
        <w:bCs w:val="0"/>
        <w:i w:val="0"/>
        <w:iCs w:val="0"/>
        <w:caps w:val="0"/>
        <w:smallCaps w:val="0"/>
        <w:strike w:val="0"/>
        <w:dstrike w:val="0"/>
        <w:outline w:val="0"/>
        <w:shadow w:val="0"/>
        <w:emboss w:val="0"/>
        <w:imprint w:val="0"/>
        <w:noProof w:val="0"/>
        <w:vanish w:val="0"/>
        <w:spacing w:val="0"/>
        <w:kern w:val="0"/>
        <w:position w:val="0"/>
        <w:sz w:val="28"/>
        <w:szCs w:val="28"/>
        <w:u w:val="none"/>
        <w:vertAlign w:val="baseline"/>
        <w:em w:val="none"/>
      </w:rPr>
    </w:lvl>
    <w:lvl w:ilvl="3">
      <w:start w:val="1"/>
      <w:numFmt w:val="decimal"/>
      <w:pStyle w:val="Heading4"/>
      <w:isLgl/>
      <w:suff w:val="nothing"/>
      <w:lvlText w:val="%1.%2.%3.%4"/>
      <w:lvlJc w:val="left"/>
      <w:pPr>
        <w:ind w:left="4914" w:hanging="3024"/>
      </w:pPr>
      <w:rPr>
        <w:rFonts w:cs="Times New Roman"/>
        <w:b/>
        <w:bCs w:val="0"/>
        <w:i w:val="0"/>
        <w:iCs w:val="0"/>
        <w:caps w:val="0"/>
        <w:smallCaps w:val="0"/>
        <w:strike w:val="0"/>
        <w:dstrike w:val="0"/>
        <w:outline w:val="0"/>
        <w:shadow w:val="0"/>
        <w:emboss w:val="0"/>
        <w:imprint w:val="0"/>
        <w:noProof w:val="0"/>
        <w:vanish w:val="0"/>
        <w:spacing w:val="0"/>
        <w:kern w:val="0"/>
        <w:position w:val="0"/>
        <w:sz w:val="28"/>
        <w:szCs w:val="28"/>
        <w:u w:val="none"/>
        <w:vertAlign w:val="baseline"/>
        <w:em w:val="none"/>
      </w:rPr>
    </w:lvl>
    <w:lvl w:ilvl="4">
      <w:start w:val="1"/>
      <w:numFmt w:val="none"/>
      <w:pStyle w:val="Heading5"/>
      <w:suff w:val="nothing"/>
      <w:lvlText w:val=""/>
      <w:lvlJc w:val="left"/>
      <w:pPr>
        <w:ind w:left="-504"/>
      </w:pPr>
      <w:rPr>
        <w:rFonts w:ascii="(normal text)" w:hAnsi="(normal text)" w:cs="Times New Roman" w:hint="default"/>
        <w:b w:val="0"/>
        <w:i w:val="0"/>
        <w:caps w:val="0"/>
        <w:smallCaps w:val="0"/>
        <w:strike w:val="0"/>
        <w:dstrike w:val="0"/>
        <w:outline w:val="0"/>
        <w:shadow w:val="0"/>
        <w:emboss w:val="0"/>
        <w:imprint w:val="0"/>
        <w:vanish w:val="0"/>
        <w:color w:val="auto"/>
        <w:spacing w:val="0"/>
        <w:w w:val="100"/>
        <w:kern w:val="0"/>
        <w:position w:val="0"/>
        <w:sz w:val="24"/>
        <w:u w:val="none"/>
        <w:effect w:val="none"/>
        <w:vertAlign w:val="baseline"/>
      </w:rPr>
    </w:lvl>
    <w:lvl w:ilvl="5">
      <w:start w:val="1"/>
      <w:numFmt w:val="none"/>
      <w:pStyle w:val="Heading6"/>
      <w:suff w:val="nothing"/>
      <w:lvlText w:val=""/>
      <w:lvlJc w:val="left"/>
      <w:pPr>
        <w:ind w:left="-504"/>
      </w:pPr>
      <w:rPr>
        <w:rFonts w:ascii="(normal text)" w:hAnsi="(normal text)" w:cs="Times New Roman" w:hint="default"/>
        <w:b w:val="0"/>
        <w:i w:val="0"/>
        <w:caps w:val="0"/>
        <w:smallCaps w:val="0"/>
        <w:strike w:val="0"/>
        <w:dstrike w:val="0"/>
        <w:outline w:val="0"/>
        <w:shadow w:val="0"/>
        <w:emboss w:val="0"/>
        <w:imprint w:val="0"/>
        <w:vanish w:val="0"/>
        <w:color w:val="auto"/>
        <w:spacing w:val="0"/>
        <w:w w:val="100"/>
        <w:kern w:val="0"/>
        <w:position w:val="0"/>
        <w:sz w:val="24"/>
        <w:u w:val="none"/>
        <w:effect w:val="none"/>
        <w:vertAlign w:val="baseline"/>
      </w:rPr>
    </w:lvl>
    <w:lvl w:ilvl="6">
      <w:start w:val="1"/>
      <w:numFmt w:val="none"/>
      <w:pStyle w:val="Heading7"/>
      <w:suff w:val="nothing"/>
      <w:lvlText w:val=""/>
      <w:lvlJc w:val="left"/>
      <w:pPr>
        <w:ind w:left="-504"/>
      </w:pPr>
      <w:rPr>
        <w:rFonts w:ascii="(normal text)" w:hAnsi="(normal text)" w:cs="Times New Roman" w:hint="default"/>
        <w:b w:val="0"/>
        <w:i w:val="0"/>
        <w:caps w:val="0"/>
        <w:smallCaps w:val="0"/>
        <w:strike w:val="0"/>
        <w:dstrike w:val="0"/>
        <w:outline w:val="0"/>
        <w:shadow w:val="0"/>
        <w:emboss w:val="0"/>
        <w:imprint w:val="0"/>
        <w:vanish w:val="0"/>
        <w:color w:val="auto"/>
        <w:spacing w:val="0"/>
        <w:w w:val="100"/>
        <w:kern w:val="0"/>
        <w:position w:val="0"/>
        <w:sz w:val="24"/>
        <w:u w:val="none"/>
        <w:effect w:val="none"/>
        <w:vertAlign w:val="baseline"/>
      </w:rPr>
    </w:lvl>
    <w:lvl w:ilvl="7">
      <w:start w:val="1"/>
      <w:numFmt w:val="none"/>
      <w:pStyle w:val="Heading8"/>
      <w:suff w:val="nothing"/>
      <w:lvlText w:val=""/>
      <w:lvlJc w:val="left"/>
      <w:pPr>
        <w:ind w:left="-504"/>
      </w:pPr>
      <w:rPr>
        <w:rFonts w:ascii="(normal text)" w:hAnsi="(normal text)" w:cs="Times New Roman" w:hint="default"/>
        <w:b w:val="0"/>
        <w:i w:val="0"/>
        <w:caps w:val="0"/>
        <w:smallCaps w:val="0"/>
        <w:strike w:val="0"/>
        <w:dstrike w:val="0"/>
        <w:outline w:val="0"/>
        <w:shadow w:val="0"/>
        <w:emboss w:val="0"/>
        <w:imprint w:val="0"/>
        <w:vanish w:val="0"/>
        <w:color w:val="auto"/>
        <w:spacing w:val="0"/>
        <w:w w:val="100"/>
        <w:kern w:val="0"/>
        <w:position w:val="0"/>
        <w:sz w:val="24"/>
        <w:u w:val="none"/>
        <w:effect w:val="none"/>
        <w:vertAlign w:val="baseline"/>
      </w:rPr>
    </w:lvl>
    <w:lvl w:ilvl="8">
      <w:start w:val="1"/>
      <w:numFmt w:val="none"/>
      <w:pStyle w:val="Heading9"/>
      <w:suff w:val="nothing"/>
      <w:lvlText w:val=""/>
      <w:lvlJc w:val="left"/>
      <w:pPr>
        <w:ind w:left="-504"/>
      </w:pPr>
      <w:rPr>
        <w:rFonts w:ascii="(normal text)" w:hAnsi="(normal text)" w:cs="Times New Roman" w:hint="default"/>
        <w:b w:val="0"/>
        <w:i w:val="0"/>
        <w:caps w:val="0"/>
        <w:smallCaps w:val="0"/>
        <w:strike w:val="0"/>
        <w:dstrike w:val="0"/>
        <w:outline w:val="0"/>
        <w:shadow w:val="0"/>
        <w:emboss w:val="0"/>
        <w:imprint w:val="0"/>
        <w:vanish w:val="0"/>
        <w:color w:val="auto"/>
        <w:spacing w:val="0"/>
        <w:w w:val="100"/>
        <w:kern w:val="0"/>
        <w:position w:val="0"/>
        <w:sz w:val="24"/>
        <w:u w:val="none"/>
        <w:effect w:val="none"/>
        <w:vertAlign w:val="baseline"/>
      </w:rPr>
    </w:lvl>
  </w:abstractNum>
  <w:abstractNum w:abstractNumId="28">
    <w:nsid w:val="5AA532E8"/>
    <w:multiLevelType w:val="hybridMultilevel"/>
    <w:tmpl w:val="4FEA14A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5CE63B3A"/>
    <w:multiLevelType w:val="hybridMultilevel"/>
    <w:tmpl w:val="A9C2F93C"/>
    <w:lvl w:ilvl="0" w:tplc="66961610">
      <w:start w:val="1"/>
      <w:numFmt w:val="bullet"/>
      <w:lvlText w:val=""/>
      <w:lvlJc w:val="left"/>
      <w:pPr>
        <w:tabs>
          <w:tab w:val="num" w:pos="720"/>
        </w:tabs>
        <w:ind w:left="720" w:hanging="360"/>
      </w:pPr>
      <w:rPr>
        <w:rFonts w:ascii="Symbol" w:hAnsi="Symbol" w:hint="default"/>
        <w:color w:val="auto"/>
        <w:sz w:val="28"/>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30">
    <w:nsid w:val="5E8142E4"/>
    <w:multiLevelType w:val="hybridMultilevel"/>
    <w:tmpl w:val="EFDC5F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F71384A"/>
    <w:multiLevelType w:val="hybridMultilevel"/>
    <w:tmpl w:val="761EBD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FE51AD8"/>
    <w:multiLevelType w:val="hybridMultilevel"/>
    <w:tmpl w:val="2DF09496"/>
    <w:lvl w:ilvl="0" w:tplc="5D7A9F0C">
      <w:start w:val="1"/>
      <w:numFmt w:val="decimal"/>
      <w:lvlText w:val="(%1)"/>
      <w:lvlJc w:val="left"/>
      <w:pPr>
        <w:tabs>
          <w:tab w:val="num" w:pos="1440"/>
        </w:tabs>
        <w:ind w:left="1440" w:hanging="360"/>
      </w:pPr>
      <w:rPr>
        <w:rFonts w:ascii="Times New Roman" w:eastAsia="Times New Roman" w:hAnsi="Times New Roman" w:cs="Times New Roman"/>
      </w:rPr>
    </w:lvl>
    <w:lvl w:ilvl="1" w:tplc="0BAE968A">
      <w:start w:val="1"/>
      <w:numFmt w:val="bullet"/>
      <w:lvlText w:val="o"/>
      <w:lvlJc w:val="left"/>
      <w:pPr>
        <w:tabs>
          <w:tab w:val="num" w:pos="2160"/>
        </w:tabs>
        <w:ind w:left="2160" w:hanging="360"/>
      </w:pPr>
      <w:rPr>
        <w:rFonts w:ascii="Courier New" w:hAnsi="Courier New" w:hint="default"/>
      </w:rPr>
    </w:lvl>
    <w:lvl w:ilvl="2" w:tplc="AD948BA2">
      <w:start w:val="1"/>
      <w:numFmt w:val="bullet"/>
      <w:lvlText w:val=""/>
      <w:lvlJc w:val="left"/>
      <w:pPr>
        <w:tabs>
          <w:tab w:val="num" w:pos="2880"/>
        </w:tabs>
        <w:ind w:left="2880" w:hanging="360"/>
      </w:pPr>
      <w:rPr>
        <w:rFonts w:ascii="Wingdings" w:hAnsi="Wingdings" w:hint="default"/>
      </w:rPr>
    </w:lvl>
    <w:lvl w:ilvl="3" w:tplc="6C80E184">
      <w:start w:val="1"/>
      <w:numFmt w:val="bullet"/>
      <w:lvlText w:val=""/>
      <w:lvlJc w:val="left"/>
      <w:pPr>
        <w:tabs>
          <w:tab w:val="num" w:pos="3600"/>
        </w:tabs>
        <w:ind w:left="3600" w:hanging="360"/>
      </w:pPr>
      <w:rPr>
        <w:rFonts w:ascii="Symbol" w:hAnsi="Symbol" w:hint="default"/>
      </w:rPr>
    </w:lvl>
    <w:lvl w:ilvl="4" w:tplc="21C62C48">
      <w:start w:val="1"/>
      <w:numFmt w:val="bullet"/>
      <w:lvlText w:val="o"/>
      <w:lvlJc w:val="left"/>
      <w:pPr>
        <w:tabs>
          <w:tab w:val="num" w:pos="4320"/>
        </w:tabs>
        <w:ind w:left="4320" w:hanging="360"/>
      </w:pPr>
      <w:rPr>
        <w:rFonts w:ascii="Courier New" w:hAnsi="Courier New" w:hint="default"/>
      </w:rPr>
    </w:lvl>
    <w:lvl w:ilvl="5" w:tplc="51BCF974">
      <w:start w:val="1"/>
      <w:numFmt w:val="bullet"/>
      <w:lvlText w:val=""/>
      <w:lvlJc w:val="left"/>
      <w:pPr>
        <w:tabs>
          <w:tab w:val="num" w:pos="5040"/>
        </w:tabs>
        <w:ind w:left="5040" w:hanging="360"/>
      </w:pPr>
      <w:rPr>
        <w:rFonts w:ascii="Wingdings" w:hAnsi="Wingdings" w:hint="default"/>
      </w:rPr>
    </w:lvl>
    <w:lvl w:ilvl="6" w:tplc="8DE4E1BC">
      <w:start w:val="1"/>
      <w:numFmt w:val="bullet"/>
      <w:lvlText w:val=""/>
      <w:lvlJc w:val="left"/>
      <w:pPr>
        <w:tabs>
          <w:tab w:val="num" w:pos="5760"/>
        </w:tabs>
        <w:ind w:left="5760" w:hanging="360"/>
      </w:pPr>
      <w:rPr>
        <w:rFonts w:ascii="Symbol" w:hAnsi="Symbol" w:hint="default"/>
      </w:rPr>
    </w:lvl>
    <w:lvl w:ilvl="7" w:tplc="65083A7E">
      <w:start w:val="1"/>
      <w:numFmt w:val="bullet"/>
      <w:lvlText w:val="o"/>
      <w:lvlJc w:val="left"/>
      <w:pPr>
        <w:tabs>
          <w:tab w:val="num" w:pos="6480"/>
        </w:tabs>
        <w:ind w:left="6480" w:hanging="360"/>
      </w:pPr>
      <w:rPr>
        <w:rFonts w:ascii="Courier New" w:hAnsi="Courier New" w:hint="default"/>
      </w:rPr>
    </w:lvl>
    <w:lvl w:ilvl="8" w:tplc="60728752">
      <w:start w:val="1"/>
      <w:numFmt w:val="bullet"/>
      <w:lvlText w:val=""/>
      <w:lvlJc w:val="left"/>
      <w:pPr>
        <w:tabs>
          <w:tab w:val="num" w:pos="7200"/>
        </w:tabs>
        <w:ind w:left="7200" w:hanging="360"/>
      </w:pPr>
      <w:rPr>
        <w:rFonts w:ascii="Wingdings" w:hAnsi="Wingdings" w:hint="default"/>
      </w:rPr>
    </w:lvl>
  </w:abstractNum>
  <w:abstractNum w:abstractNumId="33">
    <w:nsid w:val="64AB4428"/>
    <w:multiLevelType w:val="hybridMultilevel"/>
    <w:tmpl w:val="0DE8D09E"/>
    <w:lvl w:ilvl="0" w:tplc="0409000F">
      <w:start w:val="1"/>
      <w:numFmt w:val="decimal"/>
      <w:lvlText w:val="%1."/>
      <w:lvlJc w:val="left"/>
      <w:pPr>
        <w:ind w:left="4320" w:hanging="360"/>
      </w:pPr>
    </w:lvl>
    <w:lvl w:ilvl="1" w:tplc="04090019" w:tentative="1">
      <w:start w:val="1"/>
      <w:numFmt w:val="lowerLetter"/>
      <w:lvlText w:val="%2."/>
      <w:lvlJc w:val="left"/>
      <w:pPr>
        <w:ind w:left="5040" w:hanging="360"/>
      </w:pPr>
    </w:lvl>
    <w:lvl w:ilvl="2" w:tplc="0409001B" w:tentative="1">
      <w:start w:val="1"/>
      <w:numFmt w:val="lowerRoman"/>
      <w:lvlText w:val="%3."/>
      <w:lvlJc w:val="right"/>
      <w:pPr>
        <w:ind w:left="5760" w:hanging="180"/>
      </w:pPr>
    </w:lvl>
    <w:lvl w:ilvl="3" w:tplc="0409000F" w:tentative="1">
      <w:start w:val="1"/>
      <w:numFmt w:val="decimal"/>
      <w:lvlText w:val="%4."/>
      <w:lvlJc w:val="left"/>
      <w:pPr>
        <w:ind w:left="6480" w:hanging="360"/>
      </w:pPr>
    </w:lvl>
    <w:lvl w:ilvl="4" w:tplc="04090019" w:tentative="1">
      <w:start w:val="1"/>
      <w:numFmt w:val="lowerLetter"/>
      <w:lvlText w:val="%5."/>
      <w:lvlJc w:val="left"/>
      <w:pPr>
        <w:ind w:left="7200" w:hanging="360"/>
      </w:pPr>
    </w:lvl>
    <w:lvl w:ilvl="5" w:tplc="0409001B" w:tentative="1">
      <w:start w:val="1"/>
      <w:numFmt w:val="lowerRoman"/>
      <w:lvlText w:val="%6."/>
      <w:lvlJc w:val="right"/>
      <w:pPr>
        <w:ind w:left="7920" w:hanging="180"/>
      </w:pPr>
    </w:lvl>
    <w:lvl w:ilvl="6" w:tplc="0409000F" w:tentative="1">
      <w:start w:val="1"/>
      <w:numFmt w:val="decimal"/>
      <w:lvlText w:val="%7."/>
      <w:lvlJc w:val="left"/>
      <w:pPr>
        <w:ind w:left="8640" w:hanging="360"/>
      </w:pPr>
    </w:lvl>
    <w:lvl w:ilvl="7" w:tplc="04090019" w:tentative="1">
      <w:start w:val="1"/>
      <w:numFmt w:val="lowerLetter"/>
      <w:lvlText w:val="%8."/>
      <w:lvlJc w:val="left"/>
      <w:pPr>
        <w:ind w:left="9360" w:hanging="360"/>
      </w:pPr>
    </w:lvl>
    <w:lvl w:ilvl="8" w:tplc="0409001B" w:tentative="1">
      <w:start w:val="1"/>
      <w:numFmt w:val="lowerRoman"/>
      <w:lvlText w:val="%9."/>
      <w:lvlJc w:val="right"/>
      <w:pPr>
        <w:ind w:left="10080" w:hanging="180"/>
      </w:pPr>
    </w:lvl>
  </w:abstractNum>
  <w:abstractNum w:abstractNumId="34">
    <w:nsid w:val="66382C1B"/>
    <w:multiLevelType w:val="hybridMultilevel"/>
    <w:tmpl w:val="4FECA568"/>
    <w:lvl w:ilvl="0" w:tplc="04090001">
      <w:start w:val="1"/>
      <w:numFmt w:val="bullet"/>
      <w:lvlText w:val=""/>
      <w:lvlJc w:val="left"/>
      <w:pPr>
        <w:tabs>
          <w:tab w:val="num" w:pos="360"/>
        </w:tabs>
        <w:ind w:left="360" w:hanging="360"/>
      </w:pPr>
      <w:rPr>
        <w:rFonts w:ascii="Symbol" w:hAnsi="Symbol" w:hint="default"/>
      </w:rPr>
    </w:lvl>
    <w:lvl w:ilvl="1" w:tplc="395CDB6A">
      <w:numFmt w:val="bullet"/>
      <w:lvlText w:val="-"/>
      <w:lvlJc w:val="left"/>
      <w:pPr>
        <w:tabs>
          <w:tab w:val="num" w:pos="1080"/>
        </w:tabs>
        <w:ind w:left="1080" w:hanging="360"/>
      </w:pPr>
      <w:rPr>
        <w:rFonts w:ascii="Times New Roman" w:eastAsia="Times New Roman" w:hAnsi="Times New Roman" w:hint="default"/>
      </w:rPr>
    </w:lvl>
    <w:lvl w:ilvl="2" w:tplc="04090005">
      <w:start w:val="1"/>
      <w:numFmt w:val="bullet"/>
      <w:lvlText w:val=""/>
      <w:lvlJc w:val="left"/>
      <w:pPr>
        <w:tabs>
          <w:tab w:val="num" w:pos="1800"/>
        </w:tabs>
        <w:ind w:left="1800" w:hanging="360"/>
      </w:pPr>
      <w:rPr>
        <w:rFonts w:ascii="Symbol" w:hAnsi="Symbol"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5">
    <w:nsid w:val="6AB03550"/>
    <w:multiLevelType w:val="hybridMultilevel"/>
    <w:tmpl w:val="101AF5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1F230E0"/>
    <w:multiLevelType w:val="hybridMultilevel"/>
    <w:tmpl w:val="9B7ED8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8D71588"/>
    <w:multiLevelType w:val="multilevel"/>
    <w:tmpl w:val="596E3D14"/>
    <w:lvl w:ilvl="0">
      <w:start w:val="4"/>
      <w:numFmt w:val="decimal"/>
      <w:lvlText w:val="%1"/>
      <w:lvlJc w:val="left"/>
      <w:pPr>
        <w:ind w:left="480" w:hanging="480"/>
      </w:pPr>
      <w:rPr>
        <w:rFonts w:hint="default"/>
        <w:b/>
      </w:rPr>
    </w:lvl>
    <w:lvl w:ilvl="1">
      <w:start w:val="1"/>
      <w:numFmt w:val="decimal"/>
      <w:lvlText w:val="%1.%2"/>
      <w:lvlJc w:val="left"/>
      <w:pPr>
        <w:ind w:left="480" w:hanging="480"/>
      </w:pPr>
      <w:rPr>
        <w:rFonts w:hint="default"/>
        <w:b/>
      </w:rPr>
    </w:lvl>
    <w:lvl w:ilvl="2">
      <w:start w:val="3"/>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38">
    <w:nsid w:val="7C3F5F54"/>
    <w:multiLevelType w:val="hybridMultilevel"/>
    <w:tmpl w:val="B014A038"/>
    <w:lvl w:ilvl="0" w:tplc="0DBE6EDA">
      <w:start w:val="1"/>
      <w:numFmt w:val="bullet"/>
      <w:lvlText w:val="•"/>
      <w:lvlJc w:val="left"/>
      <w:pPr>
        <w:tabs>
          <w:tab w:val="num" w:pos="720"/>
        </w:tabs>
        <w:ind w:left="720" w:hanging="360"/>
      </w:pPr>
      <w:rPr>
        <w:rFonts w:ascii="Times New Roman" w:hAnsi="Times New Roman" w:hint="default"/>
      </w:rPr>
    </w:lvl>
    <w:lvl w:ilvl="1" w:tplc="091E363A" w:tentative="1">
      <w:start w:val="1"/>
      <w:numFmt w:val="bullet"/>
      <w:lvlText w:val="•"/>
      <w:lvlJc w:val="left"/>
      <w:pPr>
        <w:tabs>
          <w:tab w:val="num" w:pos="1440"/>
        </w:tabs>
        <w:ind w:left="1440" w:hanging="360"/>
      </w:pPr>
      <w:rPr>
        <w:rFonts w:ascii="Times New Roman" w:hAnsi="Times New Roman" w:hint="default"/>
      </w:rPr>
    </w:lvl>
    <w:lvl w:ilvl="2" w:tplc="D8780328" w:tentative="1">
      <w:start w:val="1"/>
      <w:numFmt w:val="bullet"/>
      <w:lvlText w:val="•"/>
      <w:lvlJc w:val="left"/>
      <w:pPr>
        <w:tabs>
          <w:tab w:val="num" w:pos="2160"/>
        </w:tabs>
        <w:ind w:left="2160" w:hanging="360"/>
      </w:pPr>
      <w:rPr>
        <w:rFonts w:ascii="Times New Roman" w:hAnsi="Times New Roman" w:hint="default"/>
      </w:rPr>
    </w:lvl>
    <w:lvl w:ilvl="3" w:tplc="61C06840" w:tentative="1">
      <w:start w:val="1"/>
      <w:numFmt w:val="bullet"/>
      <w:lvlText w:val="•"/>
      <w:lvlJc w:val="left"/>
      <w:pPr>
        <w:tabs>
          <w:tab w:val="num" w:pos="2880"/>
        </w:tabs>
        <w:ind w:left="2880" w:hanging="360"/>
      </w:pPr>
      <w:rPr>
        <w:rFonts w:ascii="Times New Roman" w:hAnsi="Times New Roman" w:hint="default"/>
      </w:rPr>
    </w:lvl>
    <w:lvl w:ilvl="4" w:tplc="F5880C02" w:tentative="1">
      <w:start w:val="1"/>
      <w:numFmt w:val="bullet"/>
      <w:lvlText w:val="•"/>
      <w:lvlJc w:val="left"/>
      <w:pPr>
        <w:tabs>
          <w:tab w:val="num" w:pos="3600"/>
        </w:tabs>
        <w:ind w:left="3600" w:hanging="360"/>
      </w:pPr>
      <w:rPr>
        <w:rFonts w:ascii="Times New Roman" w:hAnsi="Times New Roman" w:hint="default"/>
      </w:rPr>
    </w:lvl>
    <w:lvl w:ilvl="5" w:tplc="F9943F34" w:tentative="1">
      <w:start w:val="1"/>
      <w:numFmt w:val="bullet"/>
      <w:lvlText w:val="•"/>
      <w:lvlJc w:val="left"/>
      <w:pPr>
        <w:tabs>
          <w:tab w:val="num" w:pos="4320"/>
        </w:tabs>
        <w:ind w:left="4320" w:hanging="360"/>
      </w:pPr>
      <w:rPr>
        <w:rFonts w:ascii="Times New Roman" w:hAnsi="Times New Roman" w:hint="default"/>
      </w:rPr>
    </w:lvl>
    <w:lvl w:ilvl="6" w:tplc="F760D964" w:tentative="1">
      <w:start w:val="1"/>
      <w:numFmt w:val="bullet"/>
      <w:lvlText w:val="•"/>
      <w:lvlJc w:val="left"/>
      <w:pPr>
        <w:tabs>
          <w:tab w:val="num" w:pos="5040"/>
        </w:tabs>
        <w:ind w:left="5040" w:hanging="360"/>
      </w:pPr>
      <w:rPr>
        <w:rFonts w:ascii="Times New Roman" w:hAnsi="Times New Roman" w:hint="default"/>
      </w:rPr>
    </w:lvl>
    <w:lvl w:ilvl="7" w:tplc="4DCCDACA" w:tentative="1">
      <w:start w:val="1"/>
      <w:numFmt w:val="bullet"/>
      <w:lvlText w:val="•"/>
      <w:lvlJc w:val="left"/>
      <w:pPr>
        <w:tabs>
          <w:tab w:val="num" w:pos="5760"/>
        </w:tabs>
        <w:ind w:left="5760" w:hanging="360"/>
      </w:pPr>
      <w:rPr>
        <w:rFonts w:ascii="Times New Roman" w:hAnsi="Times New Roman" w:hint="default"/>
      </w:rPr>
    </w:lvl>
    <w:lvl w:ilvl="8" w:tplc="FA08ACB6" w:tentative="1">
      <w:start w:val="1"/>
      <w:numFmt w:val="bullet"/>
      <w:lvlText w:val="•"/>
      <w:lvlJc w:val="left"/>
      <w:pPr>
        <w:tabs>
          <w:tab w:val="num" w:pos="6480"/>
        </w:tabs>
        <w:ind w:left="6480" w:hanging="360"/>
      </w:pPr>
      <w:rPr>
        <w:rFonts w:ascii="Times New Roman" w:hAnsi="Times New Roman" w:hint="default"/>
      </w:rPr>
    </w:lvl>
  </w:abstractNum>
  <w:abstractNum w:abstractNumId="39">
    <w:nsid w:val="7CE412AE"/>
    <w:multiLevelType w:val="hybridMultilevel"/>
    <w:tmpl w:val="A062526E"/>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0">
    <w:nsid w:val="7F5527CF"/>
    <w:multiLevelType w:val="hybridMultilevel"/>
    <w:tmpl w:val="AE6AA424"/>
    <w:lvl w:ilvl="0" w:tplc="38B0415C">
      <w:start w:val="1"/>
      <w:numFmt w:val="bullet"/>
      <w:lvlText w:val=""/>
      <w:lvlJc w:val="left"/>
      <w:pPr>
        <w:ind w:left="720" w:hanging="360"/>
      </w:pPr>
      <w:rPr>
        <w:rFonts w:ascii="Symbol" w:hAnsi="Symbol" w:hint="default"/>
      </w:rPr>
    </w:lvl>
    <w:lvl w:ilvl="1" w:tplc="E546435E" w:tentative="1">
      <w:start w:val="1"/>
      <w:numFmt w:val="bullet"/>
      <w:lvlText w:val="o"/>
      <w:lvlJc w:val="left"/>
      <w:pPr>
        <w:ind w:left="1440" w:hanging="360"/>
      </w:pPr>
      <w:rPr>
        <w:rFonts w:ascii="Courier New" w:hAnsi="Courier New" w:cs="Courier New" w:hint="default"/>
      </w:rPr>
    </w:lvl>
    <w:lvl w:ilvl="2" w:tplc="D40A25C8" w:tentative="1">
      <w:start w:val="1"/>
      <w:numFmt w:val="bullet"/>
      <w:lvlText w:val=""/>
      <w:lvlJc w:val="left"/>
      <w:pPr>
        <w:ind w:left="2160" w:hanging="360"/>
      </w:pPr>
      <w:rPr>
        <w:rFonts w:ascii="Wingdings" w:hAnsi="Wingdings" w:hint="default"/>
      </w:rPr>
    </w:lvl>
    <w:lvl w:ilvl="3" w:tplc="CD22107A" w:tentative="1">
      <w:start w:val="1"/>
      <w:numFmt w:val="bullet"/>
      <w:lvlText w:val=""/>
      <w:lvlJc w:val="left"/>
      <w:pPr>
        <w:ind w:left="2880" w:hanging="360"/>
      </w:pPr>
      <w:rPr>
        <w:rFonts w:ascii="Symbol" w:hAnsi="Symbol" w:hint="default"/>
      </w:rPr>
    </w:lvl>
    <w:lvl w:ilvl="4" w:tplc="6C4ABDBC" w:tentative="1">
      <w:start w:val="1"/>
      <w:numFmt w:val="bullet"/>
      <w:lvlText w:val="o"/>
      <w:lvlJc w:val="left"/>
      <w:pPr>
        <w:ind w:left="3600" w:hanging="360"/>
      </w:pPr>
      <w:rPr>
        <w:rFonts w:ascii="Courier New" w:hAnsi="Courier New" w:cs="Courier New" w:hint="default"/>
      </w:rPr>
    </w:lvl>
    <w:lvl w:ilvl="5" w:tplc="8D8241D4" w:tentative="1">
      <w:start w:val="1"/>
      <w:numFmt w:val="bullet"/>
      <w:lvlText w:val=""/>
      <w:lvlJc w:val="left"/>
      <w:pPr>
        <w:ind w:left="4320" w:hanging="360"/>
      </w:pPr>
      <w:rPr>
        <w:rFonts w:ascii="Wingdings" w:hAnsi="Wingdings" w:hint="default"/>
      </w:rPr>
    </w:lvl>
    <w:lvl w:ilvl="6" w:tplc="B838B50A" w:tentative="1">
      <w:start w:val="1"/>
      <w:numFmt w:val="bullet"/>
      <w:lvlText w:val=""/>
      <w:lvlJc w:val="left"/>
      <w:pPr>
        <w:ind w:left="5040" w:hanging="360"/>
      </w:pPr>
      <w:rPr>
        <w:rFonts w:ascii="Symbol" w:hAnsi="Symbol" w:hint="default"/>
      </w:rPr>
    </w:lvl>
    <w:lvl w:ilvl="7" w:tplc="D6A036D8" w:tentative="1">
      <w:start w:val="1"/>
      <w:numFmt w:val="bullet"/>
      <w:lvlText w:val="o"/>
      <w:lvlJc w:val="left"/>
      <w:pPr>
        <w:ind w:left="5760" w:hanging="360"/>
      </w:pPr>
      <w:rPr>
        <w:rFonts w:ascii="Courier New" w:hAnsi="Courier New" w:cs="Courier New" w:hint="default"/>
      </w:rPr>
    </w:lvl>
    <w:lvl w:ilvl="8" w:tplc="87EE46FC" w:tentative="1">
      <w:start w:val="1"/>
      <w:numFmt w:val="bullet"/>
      <w:lvlText w:val=""/>
      <w:lvlJc w:val="left"/>
      <w:pPr>
        <w:ind w:left="6480" w:hanging="360"/>
      </w:pPr>
      <w:rPr>
        <w:rFonts w:ascii="Wingdings" w:hAnsi="Wingdings" w:hint="default"/>
      </w:rPr>
    </w:lvl>
  </w:abstractNum>
  <w:num w:numId="1">
    <w:abstractNumId w:val="27"/>
  </w:num>
  <w:num w:numId="2">
    <w:abstractNumId w:val="32"/>
  </w:num>
  <w:num w:numId="3">
    <w:abstractNumId w:val="29"/>
  </w:num>
  <w:num w:numId="4">
    <w:abstractNumId w:val="3"/>
  </w:num>
  <w:num w:numId="5">
    <w:abstractNumId w:val="11"/>
  </w:num>
  <w:num w:numId="6">
    <w:abstractNumId w:val="6"/>
  </w:num>
  <w:num w:numId="7">
    <w:abstractNumId w:val="40"/>
  </w:num>
  <w:num w:numId="8">
    <w:abstractNumId w:val="34"/>
  </w:num>
  <w:num w:numId="9">
    <w:abstractNumId w:val="13"/>
  </w:num>
  <w:num w:numId="10">
    <w:abstractNumId w:val="23"/>
  </w:num>
  <w:num w:numId="11">
    <w:abstractNumId w:val="4"/>
  </w:num>
  <w:num w:numId="12">
    <w:abstractNumId w:val="7"/>
  </w:num>
  <w:num w:numId="13">
    <w:abstractNumId w:val="14"/>
  </w:num>
  <w:num w:numId="14">
    <w:abstractNumId w:val="18"/>
  </w:num>
  <w:num w:numId="15">
    <w:abstractNumId w:val="21"/>
  </w:num>
  <w:num w:numId="16">
    <w:abstractNumId w:val="24"/>
  </w:num>
  <w:num w:numId="17">
    <w:abstractNumId w:val="25"/>
  </w:num>
  <w:num w:numId="18">
    <w:abstractNumId w:val="17"/>
  </w:num>
  <w:num w:numId="19">
    <w:abstractNumId w:val="5"/>
  </w:num>
  <w:num w:numId="20">
    <w:abstractNumId w:val="16"/>
  </w:num>
  <w:num w:numId="21">
    <w:abstractNumId w:val="2"/>
  </w:num>
  <w:num w:numId="22">
    <w:abstractNumId w:val="8"/>
  </w:num>
  <w:num w:numId="23">
    <w:abstractNumId w:val="15"/>
  </w:num>
  <w:num w:numId="24">
    <w:abstractNumId w:val="28"/>
  </w:num>
  <w:num w:numId="25">
    <w:abstractNumId w:val="39"/>
  </w:num>
  <w:num w:numId="26">
    <w:abstractNumId w:val="1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6"/>
  </w:num>
  <w:num w:numId="28">
    <w:abstractNumId w:val="2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
  </w:num>
  <w:num w:numId="30">
    <w:abstractNumId w:val="37"/>
  </w:num>
  <w:num w:numId="31">
    <w:abstractNumId w:val="33"/>
  </w:num>
  <w:num w:numId="32">
    <w:abstractNumId w:val="38"/>
  </w:num>
  <w:num w:numId="33">
    <w:abstractNumId w:val="35"/>
  </w:num>
  <w:num w:numId="34">
    <w:abstractNumId w:val="20"/>
  </w:num>
  <w:num w:numId="35">
    <w:abstractNumId w:val="26"/>
  </w:num>
  <w:num w:numId="36">
    <w:abstractNumId w:val="0"/>
  </w:num>
  <w:num w:numId="37">
    <w:abstractNumId w:val="30"/>
  </w:num>
  <w:num w:numId="38">
    <w:abstractNumId w:val="19"/>
  </w:num>
  <w:num w:numId="39">
    <w:abstractNumId w:val="12"/>
  </w:num>
  <w:num w:numId="40">
    <w:abstractNumId w:val="31"/>
  </w:num>
  <w:num w:numId="41">
    <w:abstractNumId w:val="9"/>
  </w:num>
  <w:num w:numId="42">
    <w:abstractNumId w:val="22"/>
  </w:num>
  <w:numIdMacAtCleanup w:val="2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removePersonalInformation/>
  <w:removeDateAndTime/>
  <w:embedSystemFonts/>
  <w:hideSpellingErrors/>
  <w:hideGrammaticalErrors/>
  <w:proofState w:grammar="clean"/>
  <w:stylePaneFormatFilter w:val="3F01"/>
  <w:defaultTabStop w:val="720"/>
  <w:doNotHyphenateCaps/>
  <w:drawingGridHorizontalSpacing w:val="110"/>
  <w:displayHorizontalDrawingGridEvery w:val="2"/>
  <w:characterSpacingControl w:val="doNotCompress"/>
  <w:hdrShapeDefaults>
    <o:shapedefaults v:ext="edit" spidmax="28673"/>
  </w:hdrShapeDefaults>
  <w:footnotePr>
    <w:footnote w:id="-1"/>
    <w:footnote w:id="0"/>
  </w:footnotePr>
  <w:endnotePr>
    <w:endnote w:id="-1"/>
    <w:endnote w:id="0"/>
  </w:endnotePr>
  <w:compat/>
  <w:rsids>
    <w:rsidRoot w:val="0062005C"/>
    <w:rsid w:val="00000A12"/>
    <w:rsid w:val="0000204C"/>
    <w:rsid w:val="00002BA6"/>
    <w:rsid w:val="000040E7"/>
    <w:rsid w:val="00005191"/>
    <w:rsid w:val="000068A0"/>
    <w:rsid w:val="00007D2A"/>
    <w:rsid w:val="0001001F"/>
    <w:rsid w:val="000113AA"/>
    <w:rsid w:val="00013B10"/>
    <w:rsid w:val="0001444A"/>
    <w:rsid w:val="00014AA9"/>
    <w:rsid w:val="000202D4"/>
    <w:rsid w:val="00022C38"/>
    <w:rsid w:val="00023DBD"/>
    <w:rsid w:val="000252FA"/>
    <w:rsid w:val="0002549F"/>
    <w:rsid w:val="00025757"/>
    <w:rsid w:val="00026649"/>
    <w:rsid w:val="000273F3"/>
    <w:rsid w:val="00027BD6"/>
    <w:rsid w:val="000301BC"/>
    <w:rsid w:val="00030307"/>
    <w:rsid w:val="00030AEE"/>
    <w:rsid w:val="00032487"/>
    <w:rsid w:val="00032940"/>
    <w:rsid w:val="00032CD7"/>
    <w:rsid w:val="00033D43"/>
    <w:rsid w:val="00034FEC"/>
    <w:rsid w:val="0003601F"/>
    <w:rsid w:val="000371D4"/>
    <w:rsid w:val="0004090F"/>
    <w:rsid w:val="00040DCD"/>
    <w:rsid w:val="00042DF4"/>
    <w:rsid w:val="000430FF"/>
    <w:rsid w:val="0004412B"/>
    <w:rsid w:val="00044A93"/>
    <w:rsid w:val="00046369"/>
    <w:rsid w:val="00050AFE"/>
    <w:rsid w:val="00052C5F"/>
    <w:rsid w:val="0005400F"/>
    <w:rsid w:val="00055A68"/>
    <w:rsid w:val="00055F46"/>
    <w:rsid w:val="000572B2"/>
    <w:rsid w:val="00057DC7"/>
    <w:rsid w:val="00061C7F"/>
    <w:rsid w:val="00063884"/>
    <w:rsid w:val="00063F27"/>
    <w:rsid w:val="0006413C"/>
    <w:rsid w:val="000653E1"/>
    <w:rsid w:val="00065BAE"/>
    <w:rsid w:val="0006678C"/>
    <w:rsid w:val="00066ABC"/>
    <w:rsid w:val="000670C4"/>
    <w:rsid w:val="0006798B"/>
    <w:rsid w:val="000703F7"/>
    <w:rsid w:val="00071227"/>
    <w:rsid w:val="00071899"/>
    <w:rsid w:val="000719CD"/>
    <w:rsid w:val="000767A6"/>
    <w:rsid w:val="000767D8"/>
    <w:rsid w:val="00080992"/>
    <w:rsid w:val="00082399"/>
    <w:rsid w:val="00083BCA"/>
    <w:rsid w:val="00084FB5"/>
    <w:rsid w:val="00085583"/>
    <w:rsid w:val="000908BC"/>
    <w:rsid w:val="00090D69"/>
    <w:rsid w:val="00091165"/>
    <w:rsid w:val="00092BD0"/>
    <w:rsid w:val="00092F97"/>
    <w:rsid w:val="0009605E"/>
    <w:rsid w:val="00096504"/>
    <w:rsid w:val="00096535"/>
    <w:rsid w:val="0009798F"/>
    <w:rsid w:val="00097A20"/>
    <w:rsid w:val="00097CA1"/>
    <w:rsid w:val="000A1E54"/>
    <w:rsid w:val="000A3072"/>
    <w:rsid w:val="000A44A9"/>
    <w:rsid w:val="000A4781"/>
    <w:rsid w:val="000A532F"/>
    <w:rsid w:val="000B3B03"/>
    <w:rsid w:val="000B51C4"/>
    <w:rsid w:val="000B5C21"/>
    <w:rsid w:val="000B6ED7"/>
    <w:rsid w:val="000B7853"/>
    <w:rsid w:val="000B7B46"/>
    <w:rsid w:val="000C03DC"/>
    <w:rsid w:val="000C120D"/>
    <w:rsid w:val="000C1A9F"/>
    <w:rsid w:val="000C3D7D"/>
    <w:rsid w:val="000C413A"/>
    <w:rsid w:val="000C55A8"/>
    <w:rsid w:val="000C560F"/>
    <w:rsid w:val="000D3404"/>
    <w:rsid w:val="000D3546"/>
    <w:rsid w:val="000D4863"/>
    <w:rsid w:val="000D6B28"/>
    <w:rsid w:val="000D6C4F"/>
    <w:rsid w:val="000D7D0F"/>
    <w:rsid w:val="000D7E33"/>
    <w:rsid w:val="000E0EC9"/>
    <w:rsid w:val="000E1B93"/>
    <w:rsid w:val="000E1D40"/>
    <w:rsid w:val="000E2B0B"/>
    <w:rsid w:val="000E2BA7"/>
    <w:rsid w:val="000E4EBE"/>
    <w:rsid w:val="000E52A1"/>
    <w:rsid w:val="000E5661"/>
    <w:rsid w:val="000E628C"/>
    <w:rsid w:val="000E6BE6"/>
    <w:rsid w:val="000E6F21"/>
    <w:rsid w:val="000E70FD"/>
    <w:rsid w:val="000E7384"/>
    <w:rsid w:val="000F025D"/>
    <w:rsid w:val="000F032F"/>
    <w:rsid w:val="000F0C95"/>
    <w:rsid w:val="000F3B82"/>
    <w:rsid w:val="000F7F9F"/>
    <w:rsid w:val="00100DAB"/>
    <w:rsid w:val="0010167A"/>
    <w:rsid w:val="00101FF4"/>
    <w:rsid w:val="00102650"/>
    <w:rsid w:val="0010330E"/>
    <w:rsid w:val="00111378"/>
    <w:rsid w:val="00111C8E"/>
    <w:rsid w:val="00111EC6"/>
    <w:rsid w:val="00111FA8"/>
    <w:rsid w:val="00113A5C"/>
    <w:rsid w:val="00114154"/>
    <w:rsid w:val="001154ED"/>
    <w:rsid w:val="00115BC4"/>
    <w:rsid w:val="00117771"/>
    <w:rsid w:val="00121BA0"/>
    <w:rsid w:val="001221B8"/>
    <w:rsid w:val="00123B0F"/>
    <w:rsid w:val="00124157"/>
    <w:rsid w:val="001245F9"/>
    <w:rsid w:val="00125E22"/>
    <w:rsid w:val="001262C1"/>
    <w:rsid w:val="00126BE9"/>
    <w:rsid w:val="00127271"/>
    <w:rsid w:val="00127544"/>
    <w:rsid w:val="00130AB0"/>
    <w:rsid w:val="00131D5F"/>
    <w:rsid w:val="00131FC1"/>
    <w:rsid w:val="001321AE"/>
    <w:rsid w:val="0013284D"/>
    <w:rsid w:val="00132AC3"/>
    <w:rsid w:val="00133FFF"/>
    <w:rsid w:val="0013508A"/>
    <w:rsid w:val="00137764"/>
    <w:rsid w:val="00137BF5"/>
    <w:rsid w:val="001416F2"/>
    <w:rsid w:val="00142264"/>
    <w:rsid w:val="00143F84"/>
    <w:rsid w:val="001447D9"/>
    <w:rsid w:val="0015003E"/>
    <w:rsid w:val="00150CCB"/>
    <w:rsid w:val="00152A72"/>
    <w:rsid w:val="00152FDE"/>
    <w:rsid w:val="00153750"/>
    <w:rsid w:val="00154136"/>
    <w:rsid w:val="00155560"/>
    <w:rsid w:val="00156282"/>
    <w:rsid w:val="001562C0"/>
    <w:rsid w:val="001570BB"/>
    <w:rsid w:val="0015731B"/>
    <w:rsid w:val="0016180D"/>
    <w:rsid w:val="00162CD4"/>
    <w:rsid w:val="001650AD"/>
    <w:rsid w:val="00165A8A"/>
    <w:rsid w:val="00165D0D"/>
    <w:rsid w:val="001663BE"/>
    <w:rsid w:val="001665A9"/>
    <w:rsid w:val="00167214"/>
    <w:rsid w:val="00170095"/>
    <w:rsid w:val="0017028A"/>
    <w:rsid w:val="00170570"/>
    <w:rsid w:val="001719EB"/>
    <w:rsid w:val="00173684"/>
    <w:rsid w:val="001763E3"/>
    <w:rsid w:val="00177A94"/>
    <w:rsid w:val="0018156B"/>
    <w:rsid w:val="00182C03"/>
    <w:rsid w:val="00182F57"/>
    <w:rsid w:val="001832A5"/>
    <w:rsid w:val="001836EA"/>
    <w:rsid w:val="001868E4"/>
    <w:rsid w:val="00190262"/>
    <w:rsid w:val="0019137F"/>
    <w:rsid w:val="001920F6"/>
    <w:rsid w:val="00193A96"/>
    <w:rsid w:val="0019462E"/>
    <w:rsid w:val="0019525C"/>
    <w:rsid w:val="001954D3"/>
    <w:rsid w:val="001968FA"/>
    <w:rsid w:val="00196B26"/>
    <w:rsid w:val="0019765B"/>
    <w:rsid w:val="001A0309"/>
    <w:rsid w:val="001A0CBD"/>
    <w:rsid w:val="001A140B"/>
    <w:rsid w:val="001A2335"/>
    <w:rsid w:val="001A2ABC"/>
    <w:rsid w:val="001A3E76"/>
    <w:rsid w:val="001A4E6C"/>
    <w:rsid w:val="001A5856"/>
    <w:rsid w:val="001A61A1"/>
    <w:rsid w:val="001A6D2D"/>
    <w:rsid w:val="001A71D7"/>
    <w:rsid w:val="001B18E4"/>
    <w:rsid w:val="001B3324"/>
    <w:rsid w:val="001B3998"/>
    <w:rsid w:val="001B3A69"/>
    <w:rsid w:val="001B3CFC"/>
    <w:rsid w:val="001B4AEE"/>
    <w:rsid w:val="001B5B50"/>
    <w:rsid w:val="001B64AF"/>
    <w:rsid w:val="001B6A6A"/>
    <w:rsid w:val="001C0320"/>
    <w:rsid w:val="001C077F"/>
    <w:rsid w:val="001C14B2"/>
    <w:rsid w:val="001C1631"/>
    <w:rsid w:val="001C383B"/>
    <w:rsid w:val="001C4316"/>
    <w:rsid w:val="001C4C05"/>
    <w:rsid w:val="001C4F5B"/>
    <w:rsid w:val="001C5FCD"/>
    <w:rsid w:val="001C6CAB"/>
    <w:rsid w:val="001C6F10"/>
    <w:rsid w:val="001D000A"/>
    <w:rsid w:val="001D0FEA"/>
    <w:rsid w:val="001D14F1"/>
    <w:rsid w:val="001D1F0E"/>
    <w:rsid w:val="001D22E5"/>
    <w:rsid w:val="001D404E"/>
    <w:rsid w:val="001D45EB"/>
    <w:rsid w:val="001D4BEE"/>
    <w:rsid w:val="001D50B8"/>
    <w:rsid w:val="001D50EB"/>
    <w:rsid w:val="001D5BCF"/>
    <w:rsid w:val="001D632A"/>
    <w:rsid w:val="001E055B"/>
    <w:rsid w:val="001E1B86"/>
    <w:rsid w:val="001E2B09"/>
    <w:rsid w:val="001E4959"/>
    <w:rsid w:val="001E4A0C"/>
    <w:rsid w:val="001E4C82"/>
    <w:rsid w:val="001E4E6E"/>
    <w:rsid w:val="001E5550"/>
    <w:rsid w:val="001E6330"/>
    <w:rsid w:val="001E68C7"/>
    <w:rsid w:val="001E7FB1"/>
    <w:rsid w:val="001F247B"/>
    <w:rsid w:val="001F3F93"/>
    <w:rsid w:val="001F422D"/>
    <w:rsid w:val="001F42F5"/>
    <w:rsid w:val="001F7671"/>
    <w:rsid w:val="001F7F74"/>
    <w:rsid w:val="002027CE"/>
    <w:rsid w:val="00202C9B"/>
    <w:rsid w:val="002039CA"/>
    <w:rsid w:val="00206249"/>
    <w:rsid w:val="00206EC6"/>
    <w:rsid w:val="00210371"/>
    <w:rsid w:val="00210830"/>
    <w:rsid w:val="002131C4"/>
    <w:rsid w:val="00213ED4"/>
    <w:rsid w:val="0021421E"/>
    <w:rsid w:val="00214A6A"/>
    <w:rsid w:val="002162F8"/>
    <w:rsid w:val="002202EF"/>
    <w:rsid w:val="00220732"/>
    <w:rsid w:val="00223180"/>
    <w:rsid w:val="00223A17"/>
    <w:rsid w:val="00226E01"/>
    <w:rsid w:val="00226FBB"/>
    <w:rsid w:val="0022732B"/>
    <w:rsid w:val="002274ED"/>
    <w:rsid w:val="00227926"/>
    <w:rsid w:val="00230264"/>
    <w:rsid w:val="002308B3"/>
    <w:rsid w:val="00230D6E"/>
    <w:rsid w:val="0023528D"/>
    <w:rsid w:val="00236C82"/>
    <w:rsid w:val="00237528"/>
    <w:rsid w:val="0023784C"/>
    <w:rsid w:val="00242673"/>
    <w:rsid w:val="0024431D"/>
    <w:rsid w:val="00244CD4"/>
    <w:rsid w:val="00245B99"/>
    <w:rsid w:val="00246B91"/>
    <w:rsid w:val="00247BD3"/>
    <w:rsid w:val="0025215C"/>
    <w:rsid w:val="002534CA"/>
    <w:rsid w:val="002535BC"/>
    <w:rsid w:val="00254484"/>
    <w:rsid w:val="002600B7"/>
    <w:rsid w:val="002604EA"/>
    <w:rsid w:val="00263EB6"/>
    <w:rsid w:val="0026423A"/>
    <w:rsid w:val="00265455"/>
    <w:rsid w:val="00270044"/>
    <w:rsid w:val="00270DF2"/>
    <w:rsid w:val="0027150A"/>
    <w:rsid w:val="00272B98"/>
    <w:rsid w:val="00272CE9"/>
    <w:rsid w:val="0027468C"/>
    <w:rsid w:val="002751F9"/>
    <w:rsid w:val="00280180"/>
    <w:rsid w:val="002801CA"/>
    <w:rsid w:val="00281655"/>
    <w:rsid w:val="00281B7D"/>
    <w:rsid w:val="00283583"/>
    <w:rsid w:val="0028366E"/>
    <w:rsid w:val="00284023"/>
    <w:rsid w:val="00285571"/>
    <w:rsid w:val="002857FE"/>
    <w:rsid w:val="00286110"/>
    <w:rsid w:val="002864A7"/>
    <w:rsid w:val="00290C00"/>
    <w:rsid w:val="00292541"/>
    <w:rsid w:val="00292EA5"/>
    <w:rsid w:val="00294667"/>
    <w:rsid w:val="0029486C"/>
    <w:rsid w:val="00296162"/>
    <w:rsid w:val="00297C85"/>
    <w:rsid w:val="002A0CD0"/>
    <w:rsid w:val="002A186A"/>
    <w:rsid w:val="002A1BC5"/>
    <w:rsid w:val="002A209D"/>
    <w:rsid w:val="002A3321"/>
    <w:rsid w:val="002A5A33"/>
    <w:rsid w:val="002A6C66"/>
    <w:rsid w:val="002B12E1"/>
    <w:rsid w:val="002B133F"/>
    <w:rsid w:val="002B2558"/>
    <w:rsid w:val="002B3CE4"/>
    <w:rsid w:val="002B6A43"/>
    <w:rsid w:val="002C0C44"/>
    <w:rsid w:val="002C1630"/>
    <w:rsid w:val="002C17C1"/>
    <w:rsid w:val="002C3501"/>
    <w:rsid w:val="002C4704"/>
    <w:rsid w:val="002C49C0"/>
    <w:rsid w:val="002C527D"/>
    <w:rsid w:val="002C599A"/>
    <w:rsid w:val="002C6C10"/>
    <w:rsid w:val="002C7304"/>
    <w:rsid w:val="002C7BB4"/>
    <w:rsid w:val="002D01C2"/>
    <w:rsid w:val="002D0284"/>
    <w:rsid w:val="002D0695"/>
    <w:rsid w:val="002D1479"/>
    <w:rsid w:val="002D1719"/>
    <w:rsid w:val="002D20C7"/>
    <w:rsid w:val="002D2770"/>
    <w:rsid w:val="002D3651"/>
    <w:rsid w:val="002D4428"/>
    <w:rsid w:val="002D4930"/>
    <w:rsid w:val="002D5CAD"/>
    <w:rsid w:val="002D6AFA"/>
    <w:rsid w:val="002D748B"/>
    <w:rsid w:val="002E0E21"/>
    <w:rsid w:val="002E17B4"/>
    <w:rsid w:val="002E1E27"/>
    <w:rsid w:val="002E44C9"/>
    <w:rsid w:val="002E4851"/>
    <w:rsid w:val="002E5C31"/>
    <w:rsid w:val="002F04B9"/>
    <w:rsid w:val="002F1860"/>
    <w:rsid w:val="002F1DF0"/>
    <w:rsid w:val="002F2289"/>
    <w:rsid w:val="002F2D19"/>
    <w:rsid w:val="002F3043"/>
    <w:rsid w:val="002F36D3"/>
    <w:rsid w:val="002F423A"/>
    <w:rsid w:val="002F4616"/>
    <w:rsid w:val="002F77C0"/>
    <w:rsid w:val="00300765"/>
    <w:rsid w:val="0030108A"/>
    <w:rsid w:val="0030125F"/>
    <w:rsid w:val="00301AB3"/>
    <w:rsid w:val="00302B8A"/>
    <w:rsid w:val="00303A5E"/>
    <w:rsid w:val="00305843"/>
    <w:rsid w:val="00305EB6"/>
    <w:rsid w:val="00305F95"/>
    <w:rsid w:val="00310241"/>
    <w:rsid w:val="00312903"/>
    <w:rsid w:val="00313111"/>
    <w:rsid w:val="00313F8B"/>
    <w:rsid w:val="00314164"/>
    <w:rsid w:val="00315145"/>
    <w:rsid w:val="0031598A"/>
    <w:rsid w:val="0031696D"/>
    <w:rsid w:val="003245FD"/>
    <w:rsid w:val="0032488E"/>
    <w:rsid w:val="003253B6"/>
    <w:rsid w:val="00325E64"/>
    <w:rsid w:val="00326AF2"/>
    <w:rsid w:val="00326D32"/>
    <w:rsid w:val="00327BAA"/>
    <w:rsid w:val="00327CEE"/>
    <w:rsid w:val="003313C9"/>
    <w:rsid w:val="00331601"/>
    <w:rsid w:val="003316A6"/>
    <w:rsid w:val="00331E5B"/>
    <w:rsid w:val="003338EF"/>
    <w:rsid w:val="00334CEE"/>
    <w:rsid w:val="00334D6D"/>
    <w:rsid w:val="00334E2A"/>
    <w:rsid w:val="0033556A"/>
    <w:rsid w:val="00336D2B"/>
    <w:rsid w:val="00337E7F"/>
    <w:rsid w:val="00340205"/>
    <w:rsid w:val="003416CA"/>
    <w:rsid w:val="0034178A"/>
    <w:rsid w:val="00341CCB"/>
    <w:rsid w:val="00342133"/>
    <w:rsid w:val="00343704"/>
    <w:rsid w:val="00343745"/>
    <w:rsid w:val="00345F8E"/>
    <w:rsid w:val="003468CD"/>
    <w:rsid w:val="003469EF"/>
    <w:rsid w:val="00350BFE"/>
    <w:rsid w:val="003510BE"/>
    <w:rsid w:val="0035154E"/>
    <w:rsid w:val="003519CB"/>
    <w:rsid w:val="00351A17"/>
    <w:rsid w:val="003550D6"/>
    <w:rsid w:val="0035555C"/>
    <w:rsid w:val="00360B93"/>
    <w:rsid w:val="00360CD7"/>
    <w:rsid w:val="00365377"/>
    <w:rsid w:val="003659C6"/>
    <w:rsid w:val="00365F81"/>
    <w:rsid w:val="0036739D"/>
    <w:rsid w:val="0036766C"/>
    <w:rsid w:val="00370000"/>
    <w:rsid w:val="00370BE8"/>
    <w:rsid w:val="0037515D"/>
    <w:rsid w:val="00376362"/>
    <w:rsid w:val="00376BD5"/>
    <w:rsid w:val="00377B89"/>
    <w:rsid w:val="00383648"/>
    <w:rsid w:val="00384B0C"/>
    <w:rsid w:val="00386365"/>
    <w:rsid w:val="00386FAF"/>
    <w:rsid w:val="003876B4"/>
    <w:rsid w:val="003905AA"/>
    <w:rsid w:val="00390D85"/>
    <w:rsid w:val="0039235F"/>
    <w:rsid w:val="00395D82"/>
    <w:rsid w:val="00396A47"/>
    <w:rsid w:val="00396F58"/>
    <w:rsid w:val="00397351"/>
    <w:rsid w:val="003A0A44"/>
    <w:rsid w:val="003A0C41"/>
    <w:rsid w:val="003A13B5"/>
    <w:rsid w:val="003A272D"/>
    <w:rsid w:val="003A42B5"/>
    <w:rsid w:val="003A6291"/>
    <w:rsid w:val="003B0F7E"/>
    <w:rsid w:val="003B19FF"/>
    <w:rsid w:val="003B1D0A"/>
    <w:rsid w:val="003B1E97"/>
    <w:rsid w:val="003B2E77"/>
    <w:rsid w:val="003B3597"/>
    <w:rsid w:val="003B59AF"/>
    <w:rsid w:val="003B6613"/>
    <w:rsid w:val="003B6A00"/>
    <w:rsid w:val="003B6E30"/>
    <w:rsid w:val="003C0FBD"/>
    <w:rsid w:val="003C118F"/>
    <w:rsid w:val="003C1479"/>
    <w:rsid w:val="003C329E"/>
    <w:rsid w:val="003C3AD0"/>
    <w:rsid w:val="003C4A32"/>
    <w:rsid w:val="003C60AC"/>
    <w:rsid w:val="003C69F8"/>
    <w:rsid w:val="003C720F"/>
    <w:rsid w:val="003C772F"/>
    <w:rsid w:val="003C7EEB"/>
    <w:rsid w:val="003D07D9"/>
    <w:rsid w:val="003D0A36"/>
    <w:rsid w:val="003D0DEB"/>
    <w:rsid w:val="003D1DD7"/>
    <w:rsid w:val="003D2F64"/>
    <w:rsid w:val="003D3A9F"/>
    <w:rsid w:val="003D62F0"/>
    <w:rsid w:val="003D7FC4"/>
    <w:rsid w:val="003E24CC"/>
    <w:rsid w:val="003E49BC"/>
    <w:rsid w:val="003E49E5"/>
    <w:rsid w:val="003E6F4D"/>
    <w:rsid w:val="003E728C"/>
    <w:rsid w:val="003F0C25"/>
    <w:rsid w:val="003F0C90"/>
    <w:rsid w:val="003F2A22"/>
    <w:rsid w:val="003F3D55"/>
    <w:rsid w:val="003F45D5"/>
    <w:rsid w:val="003F5C45"/>
    <w:rsid w:val="003F64DE"/>
    <w:rsid w:val="003F75F6"/>
    <w:rsid w:val="004006E4"/>
    <w:rsid w:val="00400ABC"/>
    <w:rsid w:val="004033A5"/>
    <w:rsid w:val="004046FB"/>
    <w:rsid w:val="00405629"/>
    <w:rsid w:val="00405A28"/>
    <w:rsid w:val="00407613"/>
    <w:rsid w:val="0040773A"/>
    <w:rsid w:val="00412A05"/>
    <w:rsid w:val="00413892"/>
    <w:rsid w:val="0041394B"/>
    <w:rsid w:val="00414062"/>
    <w:rsid w:val="004151E8"/>
    <w:rsid w:val="004167A1"/>
    <w:rsid w:val="00417811"/>
    <w:rsid w:val="00417AE3"/>
    <w:rsid w:val="004201BF"/>
    <w:rsid w:val="0042245B"/>
    <w:rsid w:val="00425D34"/>
    <w:rsid w:val="00425F1D"/>
    <w:rsid w:val="00427C73"/>
    <w:rsid w:val="00430033"/>
    <w:rsid w:val="004304A1"/>
    <w:rsid w:val="00431A9A"/>
    <w:rsid w:val="00432235"/>
    <w:rsid w:val="00432306"/>
    <w:rsid w:val="0043327F"/>
    <w:rsid w:val="00434924"/>
    <w:rsid w:val="00435F43"/>
    <w:rsid w:val="00436376"/>
    <w:rsid w:val="004374F7"/>
    <w:rsid w:val="004421EC"/>
    <w:rsid w:val="004421F7"/>
    <w:rsid w:val="00442D91"/>
    <w:rsid w:val="00444973"/>
    <w:rsid w:val="00445160"/>
    <w:rsid w:val="00445DBA"/>
    <w:rsid w:val="004462A6"/>
    <w:rsid w:val="004468A3"/>
    <w:rsid w:val="004470A5"/>
    <w:rsid w:val="00451081"/>
    <w:rsid w:val="004524C4"/>
    <w:rsid w:val="00452874"/>
    <w:rsid w:val="00452895"/>
    <w:rsid w:val="00453B1C"/>
    <w:rsid w:val="00454F1D"/>
    <w:rsid w:val="00455D01"/>
    <w:rsid w:val="004568A8"/>
    <w:rsid w:val="00457A4C"/>
    <w:rsid w:val="00460558"/>
    <w:rsid w:val="00462886"/>
    <w:rsid w:val="00463EB6"/>
    <w:rsid w:val="00464BFF"/>
    <w:rsid w:val="004651B9"/>
    <w:rsid w:val="00465242"/>
    <w:rsid w:val="00467FF0"/>
    <w:rsid w:val="00470252"/>
    <w:rsid w:val="0047032D"/>
    <w:rsid w:val="00470856"/>
    <w:rsid w:val="00472920"/>
    <w:rsid w:val="00477757"/>
    <w:rsid w:val="004800E8"/>
    <w:rsid w:val="004803FC"/>
    <w:rsid w:val="00480F8A"/>
    <w:rsid w:val="00481699"/>
    <w:rsid w:val="00481967"/>
    <w:rsid w:val="00481A98"/>
    <w:rsid w:val="00481F68"/>
    <w:rsid w:val="0048261C"/>
    <w:rsid w:val="0048368A"/>
    <w:rsid w:val="004838D8"/>
    <w:rsid w:val="00483A06"/>
    <w:rsid w:val="00483A8E"/>
    <w:rsid w:val="0048641B"/>
    <w:rsid w:val="0048649E"/>
    <w:rsid w:val="004865FF"/>
    <w:rsid w:val="00486AC6"/>
    <w:rsid w:val="00486EF4"/>
    <w:rsid w:val="00490057"/>
    <w:rsid w:val="00490107"/>
    <w:rsid w:val="00490120"/>
    <w:rsid w:val="00491D05"/>
    <w:rsid w:val="00493C82"/>
    <w:rsid w:val="004948CF"/>
    <w:rsid w:val="00496E75"/>
    <w:rsid w:val="00497089"/>
    <w:rsid w:val="00497BD6"/>
    <w:rsid w:val="004A0961"/>
    <w:rsid w:val="004A0AC4"/>
    <w:rsid w:val="004A1AE1"/>
    <w:rsid w:val="004A388F"/>
    <w:rsid w:val="004A54AC"/>
    <w:rsid w:val="004A5CE9"/>
    <w:rsid w:val="004B04E1"/>
    <w:rsid w:val="004B15E1"/>
    <w:rsid w:val="004B25CB"/>
    <w:rsid w:val="004B3E47"/>
    <w:rsid w:val="004B4F1B"/>
    <w:rsid w:val="004B6D23"/>
    <w:rsid w:val="004C0A42"/>
    <w:rsid w:val="004C1171"/>
    <w:rsid w:val="004C1C00"/>
    <w:rsid w:val="004C29DB"/>
    <w:rsid w:val="004C41AC"/>
    <w:rsid w:val="004C5C6E"/>
    <w:rsid w:val="004D36EC"/>
    <w:rsid w:val="004D3E48"/>
    <w:rsid w:val="004D4E44"/>
    <w:rsid w:val="004D5A10"/>
    <w:rsid w:val="004D77AC"/>
    <w:rsid w:val="004D77CC"/>
    <w:rsid w:val="004E125C"/>
    <w:rsid w:val="004E337D"/>
    <w:rsid w:val="004E46DC"/>
    <w:rsid w:val="004E49D3"/>
    <w:rsid w:val="004E5622"/>
    <w:rsid w:val="004E6BC1"/>
    <w:rsid w:val="004E6E7E"/>
    <w:rsid w:val="004F0A09"/>
    <w:rsid w:val="004F1DF6"/>
    <w:rsid w:val="004F44AD"/>
    <w:rsid w:val="004F73B2"/>
    <w:rsid w:val="004F7E40"/>
    <w:rsid w:val="0050236D"/>
    <w:rsid w:val="00503DA2"/>
    <w:rsid w:val="00504479"/>
    <w:rsid w:val="0050457D"/>
    <w:rsid w:val="00506908"/>
    <w:rsid w:val="00506916"/>
    <w:rsid w:val="00510C48"/>
    <w:rsid w:val="0051152D"/>
    <w:rsid w:val="00512F6B"/>
    <w:rsid w:val="00513491"/>
    <w:rsid w:val="00514DCA"/>
    <w:rsid w:val="005261CD"/>
    <w:rsid w:val="00526492"/>
    <w:rsid w:val="00526809"/>
    <w:rsid w:val="00527AC8"/>
    <w:rsid w:val="00530E07"/>
    <w:rsid w:val="00532D16"/>
    <w:rsid w:val="00533A9C"/>
    <w:rsid w:val="00533CE9"/>
    <w:rsid w:val="00533DA8"/>
    <w:rsid w:val="0053486B"/>
    <w:rsid w:val="00535D21"/>
    <w:rsid w:val="005360A6"/>
    <w:rsid w:val="005370C3"/>
    <w:rsid w:val="005370C8"/>
    <w:rsid w:val="005374D8"/>
    <w:rsid w:val="00540BF0"/>
    <w:rsid w:val="00541B03"/>
    <w:rsid w:val="00541DA7"/>
    <w:rsid w:val="00542BA5"/>
    <w:rsid w:val="00546698"/>
    <w:rsid w:val="00546B6E"/>
    <w:rsid w:val="00546E7F"/>
    <w:rsid w:val="00547721"/>
    <w:rsid w:val="00550560"/>
    <w:rsid w:val="0055065F"/>
    <w:rsid w:val="00550D55"/>
    <w:rsid w:val="00551036"/>
    <w:rsid w:val="00551467"/>
    <w:rsid w:val="00552782"/>
    <w:rsid w:val="00552DDF"/>
    <w:rsid w:val="00555788"/>
    <w:rsid w:val="005560C0"/>
    <w:rsid w:val="00556A0E"/>
    <w:rsid w:val="00561AA1"/>
    <w:rsid w:val="00562806"/>
    <w:rsid w:val="00562DEB"/>
    <w:rsid w:val="0056588E"/>
    <w:rsid w:val="00566AC1"/>
    <w:rsid w:val="00566FB9"/>
    <w:rsid w:val="005716F0"/>
    <w:rsid w:val="005724C3"/>
    <w:rsid w:val="0057254A"/>
    <w:rsid w:val="00572AF8"/>
    <w:rsid w:val="00574B88"/>
    <w:rsid w:val="00575CF2"/>
    <w:rsid w:val="00576A3A"/>
    <w:rsid w:val="0057787B"/>
    <w:rsid w:val="00580D97"/>
    <w:rsid w:val="0058188F"/>
    <w:rsid w:val="0058369D"/>
    <w:rsid w:val="005837D8"/>
    <w:rsid w:val="00585052"/>
    <w:rsid w:val="0058626C"/>
    <w:rsid w:val="005910B4"/>
    <w:rsid w:val="00594351"/>
    <w:rsid w:val="00595013"/>
    <w:rsid w:val="005957BD"/>
    <w:rsid w:val="005977BA"/>
    <w:rsid w:val="005A0442"/>
    <w:rsid w:val="005A05AD"/>
    <w:rsid w:val="005A1017"/>
    <w:rsid w:val="005A1D58"/>
    <w:rsid w:val="005A2325"/>
    <w:rsid w:val="005A24E6"/>
    <w:rsid w:val="005A6619"/>
    <w:rsid w:val="005A6AF7"/>
    <w:rsid w:val="005A6C66"/>
    <w:rsid w:val="005A7127"/>
    <w:rsid w:val="005A78E4"/>
    <w:rsid w:val="005B05D3"/>
    <w:rsid w:val="005B0A73"/>
    <w:rsid w:val="005B0D20"/>
    <w:rsid w:val="005B1892"/>
    <w:rsid w:val="005B28A0"/>
    <w:rsid w:val="005B3021"/>
    <w:rsid w:val="005B4484"/>
    <w:rsid w:val="005B4A79"/>
    <w:rsid w:val="005B52D7"/>
    <w:rsid w:val="005B596C"/>
    <w:rsid w:val="005B6E5F"/>
    <w:rsid w:val="005B7405"/>
    <w:rsid w:val="005B7963"/>
    <w:rsid w:val="005B7FEC"/>
    <w:rsid w:val="005C084C"/>
    <w:rsid w:val="005C27D3"/>
    <w:rsid w:val="005C313B"/>
    <w:rsid w:val="005D0294"/>
    <w:rsid w:val="005D0978"/>
    <w:rsid w:val="005D0D28"/>
    <w:rsid w:val="005D137B"/>
    <w:rsid w:val="005D2166"/>
    <w:rsid w:val="005D2EA3"/>
    <w:rsid w:val="005D4DA8"/>
    <w:rsid w:val="005D5C1C"/>
    <w:rsid w:val="005D5CDD"/>
    <w:rsid w:val="005D6BCE"/>
    <w:rsid w:val="005D6CEE"/>
    <w:rsid w:val="005E0F10"/>
    <w:rsid w:val="005E138F"/>
    <w:rsid w:val="005E2632"/>
    <w:rsid w:val="005E2B5A"/>
    <w:rsid w:val="005E5F79"/>
    <w:rsid w:val="005E6F38"/>
    <w:rsid w:val="005E7882"/>
    <w:rsid w:val="005F08E3"/>
    <w:rsid w:val="005F180F"/>
    <w:rsid w:val="005F1EDE"/>
    <w:rsid w:val="005F324F"/>
    <w:rsid w:val="005F7EF9"/>
    <w:rsid w:val="00600290"/>
    <w:rsid w:val="00603233"/>
    <w:rsid w:val="006036F0"/>
    <w:rsid w:val="00603917"/>
    <w:rsid w:val="00603972"/>
    <w:rsid w:val="006047D7"/>
    <w:rsid w:val="00605C9C"/>
    <w:rsid w:val="00606294"/>
    <w:rsid w:val="00610FD6"/>
    <w:rsid w:val="00612439"/>
    <w:rsid w:val="00612E0F"/>
    <w:rsid w:val="0061313F"/>
    <w:rsid w:val="0061349C"/>
    <w:rsid w:val="00615605"/>
    <w:rsid w:val="006172B9"/>
    <w:rsid w:val="006178FC"/>
    <w:rsid w:val="0062005C"/>
    <w:rsid w:val="006214CC"/>
    <w:rsid w:val="0062195B"/>
    <w:rsid w:val="00622100"/>
    <w:rsid w:val="006229BB"/>
    <w:rsid w:val="00624D21"/>
    <w:rsid w:val="00625463"/>
    <w:rsid w:val="00625760"/>
    <w:rsid w:val="00625E5F"/>
    <w:rsid w:val="00626136"/>
    <w:rsid w:val="006261F2"/>
    <w:rsid w:val="00627AD5"/>
    <w:rsid w:val="00631981"/>
    <w:rsid w:val="006355A0"/>
    <w:rsid w:val="0063611C"/>
    <w:rsid w:val="00636E2A"/>
    <w:rsid w:val="00637AF4"/>
    <w:rsid w:val="00640D15"/>
    <w:rsid w:val="00641824"/>
    <w:rsid w:val="0064202A"/>
    <w:rsid w:val="006433D6"/>
    <w:rsid w:val="00643E62"/>
    <w:rsid w:val="006455E5"/>
    <w:rsid w:val="00645E4C"/>
    <w:rsid w:val="00647092"/>
    <w:rsid w:val="0064735C"/>
    <w:rsid w:val="00647BC9"/>
    <w:rsid w:val="0065317A"/>
    <w:rsid w:val="006560C8"/>
    <w:rsid w:val="00657780"/>
    <w:rsid w:val="0066082C"/>
    <w:rsid w:val="00660F3A"/>
    <w:rsid w:val="00662DA3"/>
    <w:rsid w:val="0066676A"/>
    <w:rsid w:val="0066755E"/>
    <w:rsid w:val="006710EE"/>
    <w:rsid w:val="00671CC7"/>
    <w:rsid w:val="00672280"/>
    <w:rsid w:val="006725EA"/>
    <w:rsid w:val="00673B12"/>
    <w:rsid w:val="006765D3"/>
    <w:rsid w:val="0067708A"/>
    <w:rsid w:val="00681D3D"/>
    <w:rsid w:val="006820F1"/>
    <w:rsid w:val="00684E1F"/>
    <w:rsid w:val="006868CA"/>
    <w:rsid w:val="00686CEB"/>
    <w:rsid w:val="00687C39"/>
    <w:rsid w:val="00690722"/>
    <w:rsid w:val="00691542"/>
    <w:rsid w:val="00691E44"/>
    <w:rsid w:val="00693FB1"/>
    <w:rsid w:val="006957EE"/>
    <w:rsid w:val="00697262"/>
    <w:rsid w:val="00697E37"/>
    <w:rsid w:val="006A0523"/>
    <w:rsid w:val="006A0BD7"/>
    <w:rsid w:val="006A29FE"/>
    <w:rsid w:val="006A2AB3"/>
    <w:rsid w:val="006A4F6C"/>
    <w:rsid w:val="006A52BC"/>
    <w:rsid w:val="006A68AC"/>
    <w:rsid w:val="006B0509"/>
    <w:rsid w:val="006B06A3"/>
    <w:rsid w:val="006B11D1"/>
    <w:rsid w:val="006B3A42"/>
    <w:rsid w:val="006B683E"/>
    <w:rsid w:val="006C0A2D"/>
    <w:rsid w:val="006C11B9"/>
    <w:rsid w:val="006C2603"/>
    <w:rsid w:val="006C30F6"/>
    <w:rsid w:val="006C3706"/>
    <w:rsid w:val="006C3BCC"/>
    <w:rsid w:val="006C458B"/>
    <w:rsid w:val="006C5C54"/>
    <w:rsid w:val="006C5CC3"/>
    <w:rsid w:val="006C6CAC"/>
    <w:rsid w:val="006C7F2D"/>
    <w:rsid w:val="006D09B5"/>
    <w:rsid w:val="006D1602"/>
    <w:rsid w:val="006D213E"/>
    <w:rsid w:val="006D26A9"/>
    <w:rsid w:val="006D2DDC"/>
    <w:rsid w:val="006D303E"/>
    <w:rsid w:val="006D33C2"/>
    <w:rsid w:val="006D39B5"/>
    <w:rsid w:val="006D5C71"/>
    <w:rsid w:val="006D61F6"/>
    <w:rsid w:val="006D6266"/>
    <w:rsid w:val="006D7089"/>
    <w:rsid w:val="006E00EF"/>
    <w:rsid w:val="006E03B9"/>
    <w:rsid w:val="006E0735"/>
    <w:rsid w:val="006E0F8A"/>
    <w:rsid w:val="006E30CA"/>
    <w:rsid w:val="006E3E10"/>
    <w:rsid w:val="006E4362"/>
    <w:rsid w:val="006E444E"/>
    <w:rsid w:val="006E4DA2"/>
    <w:rsid w:val="006E5942"/>
    <w:rsid w:val="006E6A37"/>
    <w:rsid w:val="006F1C39"/>
    <w:rsid w:val="006F46F3"/>
    <w:rsid w:val="006F4FA4"/>
    <w:rsid w:val="006F5966"/>
    <w:rsid w:val="0070019A"/>
    <w:rsid w:val="00701103"/>
    <w:rsid w:val="00701FBE"/>
    <w:rsid w:val="007025C7"/>
    <w:rsid w:val="0070280C"/>
    <w:rsid w:val="00702899"/>
    <w:rsid w:val="00703771"/>
    <w:rsid w:val="00703AC7"/>
    <w:rsid w:val="00705851"/>
    <w:rsid w:val="00706801"/>
    <w:rsid w:val="00706C42"/>
    <w:rsid w:val="00706F1E"/>
    <w:rsid w:val="00707144"/>
    <w:rsid w:val="007103B5"/>
    <w:rsid w:val="00710F79"/>
    <w:rsid w:val="00711CED"/>
    <w:rsid w:val="00714390"/>
    <w:rsid w:val="00715630"/>
    <w:rsid w:val="00716727"/>
    <w:rsid w:val="0071761F"/>
    <w:rsid w:val="00717ADC"/>
    <w:rsid w:val="00720831"/>
    <w:rsid w:val="007227E3"/>
    <w:rsid w:val="0072307B"/>
    <w:rsid w:val="007232C6"/>
    <w:rsid w:val="0072427D"/>
    <w:rsid w:val="00724D76"/>
    <w:rsid w:val="00725AFC"/>
    <w:rsid w:val="00725B45"/>
    <w:rsid w:val="00725DA8"/>
    <w:rsid w:val="007302D4"/>
    <w:rsid w:val="007306D5"/>
    <w:rsid w:val="00731B69"/>
    <w:rsid w:val="00735AC7"/>
    <w:rsid w:val="0074092F"/>
    <w:rsid w:val="00740BE8"/>
    <w:rsid w:val="00746B4B"/>
    <w:rsid w:val="0074787D"/>
    <w:rsid w:val="00747EA7"/>
    <w:rsid w:val="00750F14"/>
    <w:rsid w:val="0075142C"/>
    <w:rsid w:val="00752263"/>
    <w:rsid w:val="00752432"/>
    <w:rsid w:val="007533EB"/>
    <w:rsid w:val="00753FDD"/>
    <w:rsid w:val="007551A1"/>
    <w:rsid w:val="007554AC"/>
    <w:rsid w:val="00756575"/>
    <w:rsid w:val="007607D2"/>
    <w:rsid w:val="00761885"/>
    <w:rsid w:val="00761D22"/>
    <w:rsid w:val="0076203E"/>
    <w:rsid w:val="00764639"/>
    <w:rsid w:val="00766185"/>
    <w:rsid w:val="00766AC4"/>
    <w:rsid w:val="00766BA4"/>
    <w:rsid w:val="00766BDF"/>
    <w:rsid w:val="00770D8F"/>
    <w:rsid w:val="0077100E"/>
    <w:rsid w:val="00772F72"/>
    <w:rsid w:val="00773873"/>
    <w:rsid w:val="00776C4B"/>
    <w:rsid w:val="0077785B"/>
    <w:rsid w:val="00782078"/>
    <w:rsid w:val="00783157"/>
    <w:rsid w:val="00783C88"/>
    <w:rsid w:val="00784187"/>
    <w:rsid w:val="007851B2"/>
    <w:rsid w:val="00785F36"/>
    <w:rsid w:val="007876E3"/>
    <w:rsid w:val="007901E5"/>
    <w:rsid w:val="00790358"/>
    <w:rsid w:val="007911A5"/>
    <w:rsid w:val="007931AA"/>
    <w:rsid w:val="007951BC"/>
    <w:rsid w:val="00795A89"/>
    <w:rsid w:val="00796FC2"/>
    <w:rsid w:val="007A225F"/>
    <w:rsid w:val="007A3291"/>
    <w:rsid w:val="007A355E"/>
    <w:rsid w:val="007A3A63"/>
    <w:rsid w:val="007A42D8"/>
    <w:rsid w:val="007A5275"/>
    <w:rsid w:val="007A5CDA"/>
    <w:rsid w:val="007A5E6A"/>
    <w:rsid w:val="007A7647"/>
    <w:rsid w:val="007B005E"/>
    <w:rsid w:val="007B1FC6"/>
    <w:rsid w:val="007B250B"/>
    <w:rsid w:val="007B49D7"/>
    <w:rsid w:val="007B5BC4"/>
    <w:rsid w:val="007B6921"/>
    <w:rsid w:val="007B7007"/>
    <w:rsid w:val="007C29D6"/>
    <w:rsid w:val="007C2ECD"/>
    <w:rsid w:val="007C3B70"/>
    <w:rsid w:val="007C3D58"/>
    <w:rsid w:val="007C3EBB"/>
    <w:rsid w:val="007C431E"/>
    <w:rsid w:val="007C4753"/>
    <w:rsid w:val="007C6A97"/>
    <w:rsid w:val="007D0761"/>
    <w:rsid w:val="007D07DA"/>
    <w:rsid w:val="007D245D"/>
    <w:rsid w:val="007D4A47"/>
    <w:rsid w:val="007D59D4"/>
    <w:rsid w:val="007D60FD"/>
    <w:rsid w:val="007D6530"/>
    <w:rsid w:val="007D7317"/>
    <w:rsid w:val="007E19A4"/>
    <w:rsid w:val="007E1AA4"/>
    <w:rsid w:val="007E1D19"/>
    <w:rsid w:val="007E294A"/>
    <w:rsid w:val="007E3BFB"/>
    <w:rsid w:val="007E3C6F"/>
    <w:rsid w:val="007E465D"/>
    <w:rsid w:val="007E5200"/>
    <w:rsid w:val="007E63FD"/>
    <w:rsid w:val="007E64A2"/>
    <w:rsid w:val="007E6844"/>
    <w:rsid w:val="007E70E1"/>
    <w:rsid w:val="007E7B0B"/>
    <w:rsid w:val="007E7FE2"/>
    <w:rsid w:val="007F087A"/>
    <w:rsid w:val="007F389D"/>
    <w:rsid w:val="007F4898"/>
    <w:rsid w:val="007F4A94"/>
    <w:rsid w:val="007F4C68"/>
    <w:rsid w:val="007F5EE7"/>
    <w:rsid w:val="007F68F8"/>
    <w:rsid w:val="007F6E28"/>
    <w:rsid w:val="00800CEB"/>
    <w:rsid w:val="00803293"/>
    <w:rsid w:val="008049D4"/>
    <w:rsid w:val="00804F44"/>
    <w:rsid w:val="008055F1"/>
    <w:rsid w:val="008056BE"/>
    <w:rsid w:val="00805CB7"/>
    <w:rsid w:val="0081002D"/>
    <w:rsid w:val="0081137C"/>
    <w:rsid w:val="0081196F"/>
    <w:rsid w:val="008122BB"/>
    <w:rsid w:val="008134E7"/>
    <w:rsid w:val="0081454E"/>
    <w:rsid w:val="008149D6"/>
    <w:rsid w:val="00814EC5"/>
    <w:rsid w:val="00814F0F"/>
    <w:rsid w:val="00815432"/>
    <w:rsid w:val="0081596B"/>
    <w:rsid w:val="00815FCD"/>
    <w:rsid w:val="0081691F"/>
    <w:rsid w:val="00817391"/>
    <w:rsid w:val="00821E15"/>
    <w:rsid w:val="00821F09"/>
    <w:rsid w:val="008221EB"/>
    <w:rsid w:val="00825B27"/>
    <w:rsid w:val="0082624D"/>
    <w:rsid w:val="00826D49"/>
    <w:rsid w:val="008300C3"/>
    <w:rsid w:val="008304C4"/>
    <w:rsid w:val="00832146"/>
    <w:rsid w:val="00832622"/>
    <w:rsid w:val="00832B39"/>
    <w:rsid w:val="0083412A"/>
    <w:rsid w:val="0083444F"/>
    <w:rsid w:val="00835BE5"/>
    <w:rsid w:val="00836354"/>
    <w:rsid w:val="00836ACA"/>
    <w:rsid w:val="00836C42"/>
    <w:rsid w:val="00837F48"/>
    <w:rsid w:val="0084263A"/>
    <w:rsid w:val="00843BCC"/>
    <w:rsid w:val="00843F95"/>
    <w:rsid w:val="008444F2"/>
    <w:rsid w:val="00846A07"/>
    <w:rsid w:val="00846BB7"/>
    <w:rsid w:val="0085055F"/>
    <w:rsid w:val="0085176C"/>
    <w:rsid w:val="008518FA"/>
    <w:rsid w:val="00852390"/>
    <w:rsid w:val="008528A0"/>
    <w:rsid w:val="00854989"/>
    <w:rsid w:val="00854C6D"/>
    <w:rsid w:val="00854CD1"/>
    <w:rsid w:val="00854F7B"/>
    <w:rsid w:val="00855755"/>
    <w:rsid w:val="00857B90"/>
    <w:rsid w:val="00862200"/>
    <w:rsid w:val="00862AD4"/>
    <w:rsid w:val="00862DA8"/>
    <w:rsid w:val="00867E21"/>
    <w:rsid w:val="00870607"/>
    <w:rsid w:val="0087118D"/>
    <w:rsid w:val="00871A01"/>
    <w:rsid w:val="008739DA"/>
    <w:rsid w:val="008766E6"/>
    <w:rsid w:val="00876D5E"/>
    <w:rsid w:val="00880C58"/>
    <w:rsid w:val="00881C89"/>
    <w:rsid w:val="00884F7E"/>
    <w:rsid w:val="00885474"/>
    <w:rsid w:val="00886EBE"/>
    <w:rsid w:val="008873E1"/>
    <w:rsid w:val="0088751C"/>
    <w:rsid w:val="0089016F"/>
    <w:rsid w:val="008903B5"/>
    <w:rsid w:val="00890BB7"/>
    <w:rsid w:val="008925E8"/>
    <w:rsid w:val="0089260E"/>
    <w:rsid w:val="008930D9"/>
    <w:rsid w:val="00893768"/>
    <w:rsid w:val="008946AD"/>
    <w:rsid w:val="00895581"/>
    <w:rsid w:val="00895903"/>
    <w:rsid w:val="00896100"/>
    <w:rsid w:val="00896C48"/>
    <w:rsid w:val="00896C4C"/>
    <w:rsid w:val="008A0944"/>
    <w:rsid w:val="008A11AB"/>
    <w:rsid w:val="008A2F52"/>
    <w:rsid w:val="008A4452"/>
    <w:rsid w:val="008A4D49"/>
    <w:rsid w:val="008A56A3"/>
    <w:rsid w:val="008A5B75"/>
    <w:rsid w:val="008B06A8"/>
    <w:rsid w:val="008B39E3"/>
    <w:rsid w:val="008B42E6"/>
    <w:rsid w:val="008B53B5"/>
    <w:rsid w:val="008B5685"/>
    <w:rsid w:val="008B5BC8"/>
    <w:rsid w:val="008B5D5D"/>
    <w:rsid w:val="008B76E1"/>
    <w:rsid w:val="008B7CAA"/>
    <w:rsid w:val="008C278B"/>
    <w:rsid w:val="008C28C4"/>
    <w:rsid w:val="008C468E"/>
    <w:rsid w:val="008C5316"/>
    <w:rsid w:val="008C721F"/>
    <w:rsid w:val="008C76B1"/>
    <w:rsid w:val="008D24BD"/>
    <w:rsid w:val="008D2550"/>
    <w:rsid w:val="008D2C7B"/>
    <w:rsid w:val="008D4CD6"/>
    <w:rsid w:val="008D51A7"/>
    <w:rsid w:val="008D529D"/>
    <w:rsid w:val="008D5F3B"/>
    <w:rsid w:val="008E12B6"/>
    <w:rsid w:val="008E1B97"/>
    <w:rsid w:val="008E2071"/>
    <w:rsid w:val="008E32FB"/>
    <w:rsid w:val="008E3B61"/>
    <w:rsid w:val="008E4232"/>
    <w:rsid w:val="008E5E7F"/>
    <w:rsid w:val="008E6810"/>
    <w:rsid w:val="008F00DF"/>
    <w:rsid w:val="008F37FC"/>
    <w:rsid w:val="008F4FFA"/>
    <w:rsid w:val="008F5CBE"/>
    <w:rsid w:val="008F5DD7"/>
    <w:rsid w:val="008F60FA"/>
    <w:rsid w:val="008F66FC"/>
    <w:rsid w:val="008F7ED2"/>
    <w:rsid w:val="008F7F1C"/>
    <w:rsid w:val="009003B5"/>
    <w:rsid w:val="009012F0"/>
    <w:rsid w:val="009026FE"/>
    <w:rsid w:val="00902767"/>
    <w:rsid w:val="0090284E"/>
    <w:rsid w:val="00903740"/>
    <w:rsid w:val="009056DD"/>
    <w:rsid w:val="0091132E"/>
    <w:rsid w:val="009136A7"/>
    <w:rsid w:val="009137E7"/>
    <w:rsid w:val="00913813"/>
    <w:rsid w:val="00915884"/>
    <w:rsid w:val="0091647A"/>
    <w:rsid w:val="00916E80"/>
    <w:rsid w:val="009176B2"/>
    <w:rsid w:val="009203A8"/>
    <w:rsid w:val="00921E3A"/>
    <w:rsid w:val="00923FB3"/>
    <w:rsid w:val="0092438C"/>
    <w:rsid w:val="00925275"/>
    <w:rsid w:val="00926280"/>
    <w:rsid w:val="00927AC8"/>
    <w:rsid w:val="00930DCB"/>
    <w:rsid w:val="0093107E"/>
    <w:rsid w:val="00931475"/>
    <w:rsid w:val="00931861"/>
    <w:rsid w:val="0093234C"/>
    <w:rsid w:val="00932DEE"/>
    <w:rsid w:val="00935B56"/>
    <w:rsid w:val="00935BB1"/>
    <w:rsid w:val="00935E03"/>
    <w:rsid w:val="009360A5"/>
    <w:rsid w:val="009360C0"/>
    <w:rsid w:val="00936403"/>
    <w:rsid w:val="0093701E"/>
    <w:rsid w:val="0094110F"/>
    <w:rsid w:val="00942043"/>
    <w:rsid w:val="009424C8"/>
    <w:rsid w:val="009425F5"/>
    <w:rsid w:val="009435B4"/>
    <w:rsid w:val="009443F1"/>
    <w:rsid w:val="00944B28"/>
    <w:rsid w:val="00946A7F"/>
    <w:rsid w:val="0095211E"/>
    <w:rsid w:val="0095327E"/>
    <w:rsid w:val="00953E20"/>
    <w:rsid w:val="00954219"/>
    <w:rsid w:val="00954533"/>
    <w:rsid w:val="00955923"/>
    <w:rsid w:val="0095664A"/>
    <w:rsid w:val="00961768"/>
    <w:rsid w:val="00961F71"/>
    <w:rsid w:val="009639E5"/>
    <w:rsid w:val="00963B53"/>
    <w:rsid w:val="00963C7A"/>
    <w:rsid w:val="00963E94"/>
    <w:rsid w:val="0096447E"/>
    <w:rsid w:val="00964514"/>
    <w:rsid w:val="00964E93"/>
    <w:rsid w:val="0096513C"/>
    <w:rsid w:val="0096551B"/>
    <w:rsid w:val="00965950"/>
    <w:rsid w:val="00965ADC"/>
    <w:rsid w:val="0096781E"/>
    <w:rsid w:val="00967D38"/>
    <w:rsid w:val="00971A93"/>
    <w:rsid w:val="00972284"/>
    <w:rsid w:val="009728AB"/>
    <w:rsid w:val="00972B43"/>
    <w:rsid w:val="00972D8E"/>
    <w:rsid w:val="009745BE"/>
    <w:rsid w:val="00974D74"/>
    <w:rsid w:val="0097515E"/>
    <w:rsid w:val="00976B92"/>
    <w:rsid w:val="00976BC9"/>
    <w:rsid w:val="0097720D"/>
    <w:rsid w:val="0097781C"/>
    <w:rsid w:val="0097787F"/>
    <w:rsid w:val="00980AB7"/>
    <w:rsid w:val="00981D3A"/>
    <w:rsid w:val="009820EE"/>
    <w:rsid w:val="00983490"/>
    <w:rsid w:val="00983CDA"/>
    <w:rsid w:val="009840DF"/>
    <w:rsid w:val="0098463D"/>
    <w:rsid w:val="00985869"/>
    <w:rsid w:val="009874FB"/>
    <w:rsid w:val="009878E1"/>
    <w:rsid w:val="00987C28"/>
    <w:rsid w:val="00990BAA"/>
    <w:rsid w:val="00990F77"/>
    <w:rsid w:val="00991B6A"/>
    <w:rsid w:val="009940C2"/>
    <w:rsid w:val="0099434C"/>
    <w:rsid w:val="00994555"/>
    <w:rsid w:val="00994937"/>
    <w:rsid w:val="00995258"/>
    <w:rsid w:val="00995290"/>
    <w:rsid w:val="00995ABE"/>
    <w:rsid w:val="0099652E"/>
    <w:rsid w:val="00996780"/>
    <w:rsid w:val="009968F4"/>
    <w:rsid w:val="00997984"/>
    <w:rsid w:val="009A454D"/>
    <w:rsid w:val="009A7375"/>
    <w:rsid w:val="009B2005"/>
    <w:rsid w:val="009B24BE"/>
    <w:rsid w:val="009B5708"/>
    <w:rsid w:val="009B5BE2"/>
    <w:rsid w:val="009B65EC"/>
    <w:rsid w:val="009B7207"/>
    <w:rsid w:val="009C0A0D"/>
    <w:rsid w:val="009C0CE5"/>
    <w:rsid w:val="009C0F21"/>
    <w:rsid w:val="009C2B91"/>
    <w:rsid w:val="009C2E28"/>
    <w:rsid w:val="009C3083"/>
    <w:rsid w:val="009C366D"/>
    <w:rsid w:val="009C3851"/>
    <w:rsid w:val="009C3AD5"/>
    <w:rsid w:val="009C3E90"/>
    <w:rsid w:val="009C447D"/>
    <w:rsid w:val="009C463C"/>
    <w:rsid w:val="009D0121"/>
    <w:rsid w:val="009D080F"/>
    <w:rsid w:val="009D0D68"/>
    <w:rsid w:val="009D0DCB"/>
    <w:rsid w:val="009D232A"/>
    <w:rsid w:val="009D5685"/>
    <w:rsid w:val="009D5988"/>
    <w:rsid w:val="009D6B69"/>
    <w:rsid w:val="009D79C4"/>
    <w:rsid w:val="009E0D05"/>
    <w:rsid w:val="009E0DC4"/>
    <w:rsid w:val="009E1152"/>
    <w:rsid w:val="009E117A"/>
    <w:rsid w:val="009E421B"/>
    <w:rsid w:val="009E5D0F"/>
    <w:rsid w:val="009E638C"/>
    <w:rsid w:val="009E6D32"/>
    <w:rsid w:val="009E74B5"/>
    <w:rsid w:val="009F26D0"/>
    <w:rsid w:val="009F2EF1"/>
    <w:rsid w:val="009F463C"/>
    <w:rsid w:val="009F4AD3"/>
    <w:rsid w:val="009F4B71"/>
    <w:rsid w:val="009F573E"/>
    <w:rsid w:val="009F6910"/>
    <w:rsid w:val="009F6928"/>
    <w:rsid w:val="009F6D91"/>
    <w:rsid w:val="009F71CD"/>
    <w:rsid w:val="00A00D09"/>
    <w:rsid w:val="00A00D9F"/>
    <w:rsid w:val="00A050A2"/>
    <w:rsid w:val="00A05A31"/>
    <w:rsid w:val="00A05DE9"/>
    <w:rsid w:val="00A05FDF"/>
    <w:rsid w:val="00A06415"/>
    <w:rsid w:val="00A11235"/>
    <w:rsid w:val="00A11C77"/>
    <w:rsid w:val="00A13064"/>
    <w:rsid w:val="00A1448F"/>
    <w:rsid w:val="00A14DEF"/>
    <w:rsid w:val="00A15255"/>
    <w:rsid w:val="00A15F7D"/>
    <w:rsid w:val="00A16A95"/>
    <w:rsid w:val="00A17A2D"/>
    <w:rsid w:val="00A220EF"/>
    <w:rsid w:val="00A2271E"/>
    <w:rsid w:val="00A23BF4"/>
    <w:rsid w:val="00A25AC3"/>
    <w:rsid w:val="00A25E84"/>
    <w:rsid w:val="00A26F26"/>
    <w:rsid w:val="00A2770F"/>
    <w:rsid w:val="00A30A85"/>
    <w:rsid w:val="00A317D1"/>
    <w:rsid w:val="00A31851"/>
    <w:rsid w:val="00A32778"/>
    <w:rsid w:val="00A32865"/>
    <w:rsid w:val="00A34BB1"/>
    <w:rsid w:val="00A34FB3"/>
    <w:rsid w:val="00A355FC"/>
    <w:rsid w:val="00A36A18"/>
    <w:rsid w:val="00A36C2B"/>
    <w:rsid w:val="00A37292"/>
    <w:rsid w:val="00A37402"/>
    <w:rsid w:val="00A37CE9"/>
    <w:rsid w:val="00A40D68"/>
    <w:rsid w:val="00A42022"/>
    <w:rsid w:val="00A42C3C"/>
    <w:rsid w:val="00A4400D"/>
    <w:rsid w:val="00A44A19"/>
    <w:rsid w:val="00A456C4"/>
    <w:rsid w:val="00A468D7"/>
    <w:rsid w:val="00A47E27"/>
    <w:rsid w:val="00A5211F"/>
    <w:rsid w:val="00A5249D"/>
    <w:rsid w:val="00A52D85"/>
    <w:rsid w:val="00A534A7"/>
    <w:rsid w:val="00A54827"/>
    <w:rsid w:val="00A5493B"/>
    <w:rsid w:val="00A56566"/>
    <w:rsid w:val="00A568DF"/>
    <w:rsid w:val="00A57AC1"/>
    <w:rsid w:val="00A57E13"/>
    <w:rsid w:val="00A60343"/>
    <w:rsid w:val="00A60957"/>
    <w:rsid w:val="00A61B71"/>
    <w:rsid w:val="00A623AA"/>
    <w:rsid w:val="00A62C22"/>
    <w:rsid w:val="00A637C6"/>
    <w:rsid w:val="00A63F2E"/>
    <w:rsid w:val="00A64EBF"/>
    <w:rsid w:val="00A6609B"/>
    <w:rsid w:val="00A6655D"/>
    <w:rsid w:val="00A70A16"/>
    <w:rsid w:val="00A70A43"/>
    <w:rsid w:val="00A70E62"/>
    <w:rsid w:val="00A712BE"/>
    <w:rsid w:val="00A72B94"/>
    <w:rsid w:val="00A73628"/>
    <w:rsid w:val="00A74FA6"/>
    <w:rsid w:val="00A7509F"/>
    <w:rsid w:val="00A750BE"/>
    <w:rsid w:val="00A75236"/>
    <w:rsid w:val="00A752D4"/>
    <w:rsid w:val="00A82768"/>
    <w:rsid w:val="00A850FB"/>
    <w:rsid w:val="00A85220"/>
    <w:rsid w:val="00A85917"/>
    <w:rsid w:val="00A90AF5"/>
    <w:rsid w:val="00A91892"/>
    <w:rsid w:val="00A91A46"/>
    <w:rsid w:val="00A92183"/>
    <w:rsid w:val="00A9311F"/>
    <w:rsid w:val="00A96618"/>
    <w:rsid w:val="00A973B6"/>
    <w:rsid w:val="00AA008C"/>
    <w:rsid w:val="00AA230C"/>
    <w:rsid w:val="00AA2399"/>
    <w:rsid w:val="00AA2A9D"/>
    <w:rsid w:val="00AA3294"/>
    <w:rsid w:val="00AA43B3"/>
    <w:rsid w:val="00AA797A"/>
    <w:rsid w:val="00AB03B0"/>
    <w:rsid w:val="00AB04DF"/>
    <w:rsid w:val="00AB0D03"/>
    <w:rsid w:val="00AB2222"/>
    <w:rsid w:val="00AB24C5"/>
    <w:rsid w:val="00AB3D7A"/>
    <w:rsid w:val="00AB43CB"/>
    <w:rsid w:val="00AB4A97"/>
    <w:rsid w:val="00AB52F3"/>
    <w:rsid w:val="00AB5D0A"/>
    <w:rsid w:val="00AB7558"/>
    <w:rsid w:val="00AB7A94"/>
    <w:rsid w:val="00AB7FB5"/>
    <w:rsid w:val="00AC0261"/>
    <w:rsid w:val="00AC09E1"/>
    <w:rsid w:val="00AC111B"/>
    <w:rsid w:val="00AC12D6"/>
    <w:rsid w:val="00AC1B7A"/>
    <w:rsid w:val="00AC1BC3"/>
    <w:rsid w:val="00AC40CA"/>
    <w:rsid w:val="00AC4422"/>
    <w:rsid w:val="00AC50C6"/>
    <w:rsid w:val="00AC606F"/>
    <w:rsid w:val="00AC74A6"/>
    <w:rsid w:val="00AD00B8"/>
    <w:rsid w:val="00AD05F1"/>
    <w:rsid w:val="00AD1835"/>
    <w:rsid w:val="00AD2B30"/>
    <w:rsid w:val="00AD4A7A"/>
    <w:rsid w:val="00AD4F03"/>
    <w:rsid w:val="00AD5067"/>
    <w:rsid w:val="00AD5C28"/>
    <w:rsid w:val="00AD625C"/>
    <w:rsid w:val="00AD6CD2"/>
    <w:rsid w:val="00AD7359"/>
    <w:rsid w:val="00AD7F3C"/>
    <w:rsid w:val="00AE64E1"/>
    <w:rsid w:val="00AF003F"/>
    <w:rsid w:val="00AF00A7"/>
    <w:rsid w:val="00AF045C"/>
    <w:rsid w:val="00AF1470"/>
    <w:rsid w:val="00AF2AC7"/>
    <w:rsid w:val="00AF62A1"/>
    <w:rsid w:val="00AF6B5F"/>
    <w:rsid w:val="00B01F87"/>
    <w:rsid w:val="00B0322C"/>
    <w:rsid w:val="00B041AA"/>
    <w:rsid w:val="00B0505A"/>
    <w:rsid w:val="00B06344"/>
    <w:rsid w:val="00B06467"/>
    <w:rsid w:val="00B06FE1"/>
    <w:rsid w:val="00B074B0"/>
    <w:rsid w:val="00B07CAF"/>
    <w:rsid w:val="00B121E7"/>
    <w:rsid w:val="00B12288"/>
    <w:rsid w:val="00B15361"/>
    <w:rsid w:val="00B15CCE"/>
    <w:rsid w:val="00B2018B"/>
    <w:rsid w:val="00B2194B"/>
    <w:rsid w:val="00B21F77"/>
    <w:rsid w:val="00B234B5"/>
    <w:rsid w:val="00B23AA0"/>
    <w:rsid w:val="00B2591A"/>
    <w:rsid w:val="00B25E9F"/>
    <w:rsid w:val="00B266E4"/>
    <w:rsid w:val="00B26D1A"/>
    <w:rsid w:val="00B278C0"/>
    <w:rsid w:val="00B27CA2"/>
    <w:rsid w:val="00B27F2A"/>
    <w:rsid w:val="00B326B3"/>
    <w:rsid w:val="00B33D1F"/>
    <w:rsid w:val="00B373B0"/>
    <w:rsid w:val="00B40F66"/>
    <w:rsid w:val="00B41989"/>
    <w:rsid w:val="00B42133"/>
    <w:rsid w:val="00B4551C"/>
    <w:rsid w:val="00B476FD"/>
    <w:rsid w:val="00B477E5"/>
    <w:rsid w:val="00B50A06"/>
    <w:rsid w:val="00B50AD1"/>
    <w:rsid w:val="00B5224E"/>
    <w:rsid w:val="00B52884"/>
    <w:rsid w:val="00B53C59"/>
    <w:rsid w:val="00B550BC"/>
    <w:rsid w:val="00B5517C"/>
    <w:rsid w:val="00B568CD"/>
    <w:rsid w:val="00B56F68"/>
    <w:rsid w:val="00B60486"/>
    <w:rsid w:val="00B60CA0"/>
    <w:rsid w:val="00B6123A"/>
    <w:rsid w:val="00B6224C"/>
    <w:rsid w:val="00B6269A"/>
    <w:rsid w:val="00B63AED"/>
    <w:rsid w:val="00B6798E"/>
    <w:rsid w:val="00B67C6E"/>
    <w:rsid w:val="00B70052"/>
    <w:rsid w:val="00B706E7"/>
    <w:rsid w:val="00B7146B"/>
    <w:rsid w:val="00B71941"/>
    <w:rsid w:val="00B71BF9"/>
    <w:rsid w:val="00B725F8"/>
    <w:rsid w:val="00B7431C"/>
    <w:rsid w:val="00B7451E"/>
    <w:rsid w:val="00B7499B"/>
    <w:rsid w:val="00B765C9"/>
    <w:rsid w:val="00B767AE"/>
    <w:rsid w:val="00B767AF"/>
    <w:rsid w:val="00B76B54"/>
    <w:rsid w:val="00B77D03"/>
    <w:rsid w:val="00B80709"/>
    <w:rsid w:val="00B824D7"/>
    <w:rsid w:val="00B828CF"/>
    <w:rsid w:val="00B83B45"/>
    <w:rsid w:val="00B8556D"/>
    <w:rsid w:val="00B85D8A"/>
    <w:rsid w:val="00B92892"/>
    <w:rsid w:val="00B928E7"/>
    <w:rsid w:val="00B92B82"/>
    <w:rsid w:val="00B937BF"/>
    <w:rsid w:val="00B94DF7"/>
    <w:rsid w:val="00B950EC"/>
    <w:rsid w:val="00B9578A"/>
    <w:rsid w:val="00B962D8"/>
    <w:rsid w:val="00B966D3"/>
    <w:rsid w:val="00BA0BA4"/>
    <w:rsid w:val="00BA0BD6"/>
    <w:rsid w:val="00BA3763"/>
    <w:rsid w:val="00BA4E09"/>
    <w:rsid w:val="00BA65CB"/>
    <w:rsid w:val="00BA6C9F"/>
    <w:rsid w:val="00BA77D6"/>
    <w:rsid w:val="00BB177A"/>
    <w:rsid w:val="00BB18CB"/>
    <w:rsid w:val="00BB1A31"/>
    <w:rsid w:val="00BB3765"/>
    <w:rsid w:val="00BB424E"/>
    <w:rsid w:val="00BB431E"/>
    <w:rsid w:val="00BB435D"/>
    <w:rsid w:val="00BC030C"/>
    <w:rsid w:val="00BC2B6B"/>
    <w:rsid w:val="00BC3E05"/>
    <w:rsid w:val="00BC3E61"/>
    <w:rsid w:val="00BC3FFC"/>
    <w:rsid w:val="00BC6FDA"/>
    <w:rsid w:val="00BC7AF9"/>
    <w:rsid w:val="00BD0377"/>
    <w:rsid w:val="00BD115D"/>
    <w:rsid w:val="00BD2605"/>
    <w:rsid w:val="00BD39D5"/>
    <w:rsid w:val="00BD426C"/>
    <w:rsid w:val="00BD456F"/>
    <w:rsid w:val="00BD4F62"/>
    <w:rsid w:val="00BD64F7"/>
    <w:rsid w:val="00BD6741"/>
    <w:rsid w:val="00BD6AB5"/>
    <w:rsid w:val="00BD789F"/>
    <w:rsid w:val="00BE0EF0"/>
    <w:rsid w:val="00BE1739"/>
    <w:rsid w:val="00BE2F21"/>
    <w:rsid w:val="00BE51B0"/>
    <w:rsid w:val="00BE5FBD"/>
    <w:rsid w:val="00BE6847"/>
    <w:rsid w:val="00BE7DEC"/>
    <w:rsid w:val="00BF00AD"/>
    <w:rsid w:val="00BF0949"/>
    <w:rsid w:val="00BF117E"/>
    <w:rsid w:val="00BF559E"/>
    <w:rsid w:val="00BF69EE"/>
    <w:rsid w:val="00BF7831"/>
    <w:rsid w:val="00C000EC"/>
    <w:rsid w:val="00C00B24"/>
    <w:rsid w:val="00C00B93"/>
    <w:rsid w:val="00C00CB9"/>
    <w:rsid w:val="00C016F7"/>
    <w:rsid w:val="00C01922"/>
    <w:rsid w:val="00C01A26"/>
    <w:rsid w:val="00C01AE9"/>
    <w:rsid w:val="00C027B8"/>
    <w:rsid w:val="00C04B03"/>
    <w:rsid w:val="00C07F9B"/>
    <w:rsid w:val="00C12857"/>
    <w:rsid w:val="00C130D1"/>
    <w:rsid w:val="00C1326F"/>
    <w:rsid w:val="00C13AE3"/>
    <w:rsid w:val="00C1418D"/>
    <w:rsid w:val="00C16033"/>
    <w:rsid w:val="00C218FA"/>
    <w:rsid w:val="00C21D86"/>
    <w:rsid w:val="00C228C0"/>
    <w:rsid w:val="00C2318B"/>
    <w:rsid w:val="00C23BB6"/>
    <w:rsid w:val="00C2596B"/>
    <w:rsid w:val="00C261F3"/>
    <w:rsid w:val="00C26C87"/>
    <w:rsid w:val="00C308C7"/>
    <w:rsid w:val="00C30976"/>
    <w:rsid w:val="00C30EC4"/>
    <w:rsid w:val="00C333CC"/>
    <w:rsid w:val="00C338EF"/>
    <w:rsid w:val="00C33A4E"/>
    <w:rsid w:val="00C35BE9"/>
    <w:rsid w:val="00C368A4"/>
    <w:rsid w:val="00C4017E"/>
    <w:rsid w:val="00C40FF2"/>
    <w:rsid w:val="00C411E2"/>
    <w:rsid w:val="00C41536"/>
    <w:rsid w:val="00C41555"/>
    <w:rsid w:val="00C42430"/>
    <w:rsid w:val="00C448EF"/>
    <w:rsid w:val="00C44B67"/>
    <w:rsid w:val="00C453D0"/>
    <w:rsid w:val="00C52925"/>
    <w:rsid w:val="00C52B41"/>
    <w:rsid w:val="00C53505"/>
    <w:rsid w:val="00C53C9F"/>
    <w:rsid w:val="00C542D0"/>
    <w:rsid w:val="00C54A36"/>
    <w:rsid w:val="00C55E44"/>
    <w:rsid w:val="00C567A8"/>
    <w:rsid w:val="00C57A81"/>
    <w:rsid w:val="00C635EA"/>
    <w:rsid w:val="00C64B21"/>
    <w:rsid w:val="00C64D5D"/>
    <w:rsid w:val="00C650CE"/>
    <w:rsid w:val="00C6612E"/>
    <w:rsid w:val="00C678A0"/>
    <w:rsid w:val="00C70454"/>
    <w:rsid w:val="00C70970"/>
    <w:rsid w:val="00C70AFF"/>
    <w:rsid w:val="00C70DA6"/>
    <w:rsid w:val="00C7195C"/>
    <w:rsid w:val="00C71CC6"/>
    <w:rsid w:val="00C729F1"/>
    <w:rsid w:val="00C72C78"/>
    <w:rsid w:val="00C72E47"/>
    <w:rsid w:val="00C72EE5"/>
    <w:rsid w:val="00C72F83"/>
    <w:rsid w:val="00C73355"/>
    <w:rsid w:val="00C74E48"/>
    <w:rsid w:val="00C76EAA"/>
    <w:rsid w:val="00C82751"/>
    <w:rsid w:val="00C82A36"/>
    <w:rsid w:val="00C83182"/>
    <w:rsid w:val="00C86261"/>
    <w:rsid w:val="00C8799D"/>
    <w:rsid w:val="00C9115E"/>
    <w:rsid w:val="00C9173B"/>
    <w:rsid w:val="00C917B4"/>
    <w:rsid w:val="00C928A2"/>
    <w:rsid w:val="00C92B3C"/>
    <w:rsid w:val="00C94E4C"/>
    <w:rsid w:val="00C9515D"/>
    <w:rsid w:val="00C962EA"/>
    <w:rsid w:val="00C963DD"/>
    <w:rsid w:val="00C979AB"/>
    <w:rsid w:val="00CA0445"/>
    <w:rsid w:val="00CA0CB3"/>
    <w:rsid w:val="00CA0D09"/>
    <w:rsid w:val="00CA3498"/>
    <w:rsid w:val="00CA3E24"/>
    <w:rsid w:val="00CA4B6A"/>
    <w:rsid w:val="00CA4D1F"/>
    <w:rsid w:val="00CA546E"/>
    <w:rsid w:val="00CA62A9"/>
    <w:rsid w:val="00CA667D"/>
    <w:rsid w:val="00CA7021"/>
    <w:rsid w:val="00CA70A3"/>
    <w:rsid w:val="00CA7A88"/>
    <w:rsid w:val="00CA7AA0"/>
    <w:rsid w:val="00CA7B04"/>
    <w:rsid w:val="00CA7D01"/>
    <w:rsid w:val="00CB05E3"/>
    <w:rsid w:val="00CB1C4D"/>
    <w:rsid w:val="00CB4054"/>
    <w:rsid w:val="00CB5462"/>
    <w:rsid w:val="00CB673F"/>
    <w:rsid w:val="00CC06CF"/>
    <w:rsid w:val="00CC09D4"/>
    <w:rsid w:val="00CC0EA2"/>
    <w:rsid w:val="00CC26B4"/>
    <w:rsid w:val="00CC2FCE"/>
    <w:rsid w:val="00CC3B67"/>
    <w:rsid w:val="00CC3EE8"/>
    <w:rsid w:val="00CC4B4E"/>
    <w:rsid w:val="00CC523A"/>
    <w:rsid w:val="00CC5314"/>
    <w:rsid w:val="00CD348F"/>
    <w:rsid w:val="00CD4050"/>
    <w:rsid w:val="00CD5487"/>
    <w:rsid w:val="00CD5802"/>
    <w:rsid w:val="00CD6300"/>
    <w:rsid w:val="00CD67D5"/>
    <w:rsid w:val="00CE1299"/>
    <w:rsid w:val="00CE2D8A"/>
    <w:rsid w:val="00CE4312"/>
    <w:rsid w:val="00CE46F6"/>
    <w:rsid w:val="00CE4731"/>
    <w:rsid w:val="00CE4A68"/>
    <w:rsid w:val="00CE5681"/>
    <w:rsid w:val="00CE6895"/>
    <w:rsid w:val="00CE6CC5"/>
    <w:rsid w:val="00CF600B"/>
    <w:rsid w:val="00CF6CA8"/>
    <w:rsid w:val="00CF73E3"/>
    <w:rsid w:val="00CF7449"/>
    <w:rsid w:val="00D005E0"/>
    <w:rsid w:val="00D008E7"/>
    <w:rsid w:val="00D00DCF"/>
    <w:rsid w:val="00D024C0"/>
    <w:rsid w:val="00D10D38"/>
    <w:rsid w:val="00D12967"/>
    <w:rsid w:val="00D142A9"/>
    <w:rsid w:val="00D15242"/>
    <w:rsid w:val="00D1563B"/>
    <w:rsid w:val="00D17383"/>
    <w:rsid w:val="00D219A7"/>
    <w:rsid w:val="00D220AC"/>
    <w:rsid w:val="00D22181"/>
    <w:rsid w:val="00D23FD9"/>
    <w:rsid w:val="00D24037"/>
    <w:rsid w:val="00D24D9B"/>
    <w:rsid w:val="00D273D5"/>
    <w:rsid w:val="00D277EA"/>
    <w:rsid w:val="00D30A72"/>
    <w:rsid w:val="00D314B6"/>
    <w:rsid w:val="00D31797"/>
    <w:rsid w:val="00D328C4"/>
    <w:rsid w:val="00D328D4"/>
    <w:rsid w:val="00D338A7"/>
    <w:rsid w:val="00D33AFC"/>
    <w:rsid w:val="00D3505C"/>
    <w:rsid w:val="00D352DE"/>
    <w:rsid w:val="00D35CD7"/>
    <w:rsid w:val="00D36011"/>
    <w:rsid w:val="00D364F2"/>
    <w:rsid w:val="00D40074"/>
    <w:rsid w:val="00D4133A"/>
    <w:rsid w:val="00D43070"/>
    <w:rsid w:val="00D45B54"/>
    <w:rsid w:val="00D46460"/>
    <w:rsid w:val="00D47434"/>
    <w:rsid w:val="00D509F2"/>
    <w:rsid w:val="00D50E81"/>
    <w:rsid w:val="00D513A4"/>
    <w:rsid w:val="00D5150E"/>
    <w:rsid w:val="00D52B29"/>
    <w:rsid w:val="00D52F5D"/>
    <w:rsid w:val="00D53333"/>
    <w:rsid w:val="00D53912"/>
    <w:rsid w:val="00D54D4D"/>
    <w:rsid w:val="00D567CD"/>
    <w:rsid w:val="00D6038F"/>
    <w:rsid w:val="00D63801"/>
    <w:rsid w:val="00D647E5"/>
    <w:rsid w:val="00D65AF5"/>
    <w:rsid w:val="00D66D62"/>
    <w:rsid w:val="00D70D42"/>
    <w:rsid w:val="00D71A6B"/>
    <w:rsid w:val="00D728A2"/>
    <w:rsid w:val="00D73777"/>
    <w:rsid w:val="00D739D4"/>
    <w:rsid w:val="00D756B9"/>
    <w:rsid w:val="00D75D0C"/>
    <w:rsid w:val="00D760B5"/>
    <w:rsid w:val="00D763FD"/>
    <w:rsid w:val="00D7645F"/>
    <w:rsid w:val="00D8081B"/>
    <w:rsid w:val="00D837DC"/>
    <w:rsid w:val="00D84868"/>
    <w:rsid w:val="00D8587E"/>
    <w:rsid w:val="00D86B04"/>
    <w:rsid w:val="00D87630"/>
    <w:rsid w:val="00D87E97"/>
    <w:rsid w:val="00D90321"/>
    <w:rsid w:val="00D9060B"/>
    <w:rsid w:val="00D907DD"/>
    <w:rsid w:val="00D90B9A"/>
    <w:rsid w:val="00D90D87"/>
    <w:rsid w:val="00D9132E"/>
    <w:rsid w:val="00D91F3B"/>
    <w:rsid w:val="00D92975"/>
    <w:rsid w:val="00D929C6"/>
    <w:rsid w:val="00D933AC"/>
    <w:rsid w:val="00D940D4"/>
    <w:rsid w:val="00D94100"/>
    <w:rsid w:val="00D9645B"/>
    <w:rsid w:val="00D9768B"/>
    <w:rsid w:val="00D97EC3"/>
    <w:rsid w:val="00DA0127"/>
    <w:rsid w:val="00DA1C1C"/>
    <w:rsid w:val="00DA2231"/>
    <w:rsid w:val="00DA2334"/>
    <w:rsid w:val="00DA31B6"/>
    <w:rsid w:val="00DA4DBE"/>
    <w:rsid w:val="00DA59AE"/>
    <w:rsid w:val="00DA5DA1"/>
    <w:rsid w:val="00DA6598"/>
    <w:rsid w:val="00DB06ED"/>
    <w:rsid w:val="00DB0E92"/>
    <w:rsid w:val="00DB11E7"/>
    <w:rsid w:val="00DB15DC"/>
    <w:rsid w:val="00DB1F0C"/>
    <w:rsid w:val="00DB24E5"/>
    <w:rsid w:val="00DB2963"/>
    <w:rsid w:val="00DB302F"/>
    <w:rsid w:val="00DB3E3C"/>
    <w:rsid w:val="00DB3FF0"/>
    <w:rsid w:val="00DB486E"/>
    <w:rsid w:val="00DB72DE"/>
    <w:rsid w:val="00DB7F75"/>
    <w:rsid w:val="00DC1471"/>
    <w:rsid w:val="00DC1E5A"/>
    <w:rsid w:val="00DC24E6"/>
    <w:rsid w:val="00DC2718"/>
    <w:rsid w:val="00DC299F"/>
    <w:rsid w:val="00DC3153"/>
    <w:rsid w:val="00DC6112"/>
    <w:rsid w:val="00DC7641"/>
    <w:rsid w:val="00DD02D3"/>
    <w:rsid w:val="00DD0517"/>
    <w:rsid w:val="00DD0CE3"/>
    <w:rsid w:val="00DD1F4B"/>
    <w:rsid w:val="00DD22D1"/>
    <w:rsid w:val="00DD2A0B"/>
    <w:rsid w:val="00DD3132"/>
    <w:rsid w:val="00DD4D5E"/>
    <w:rsid w:val="00DD52C4"/>
    <w:rsid w:val="00DD55B8"/>
    <w:rsid w:val="00DD6534"/>
    <w:rsid w:val="00DD6B0D"/>
    <w:rsid w:val="00DE073A"/>
    <w:rsid w:val="00DE0806"/>
    <w:rsid w:val="00DE1426"/>
    <w:rsid w:val="00DE2D56"/>
    <w:rsid w:val="00DE637D"/>
    <w:rsid w:val="00DE68B5"/>
    <w:rsid w:val="00DF119C"/>
    <w:rsid w:val="00DF46AB"/>
    <w:rsid w:val="00DF4DCB"/>
    <w:rsid w:val="00DF6C63"/>
    <w:rsid w:val="00E000C8"/>
    <w:rsid w:val="00E00915"/>
    <w:rsid w:val="00E00A34"/>
    <w:rsid w:val="00E01048"/>
    <w:rsid w:val="00E01899"/>
    <w:rsid w:val="00E021A8"/>
    <w:rsid w:val="00E02317"/>
    <w:rsid w:val="00E03843"/>
    <w:rsid w:val="00E05ED3"/>
    <w:rsid w:val="00E066DE"/>
    <w:rsid w:val="00E06F40"/>
    <w:rsid w:val="00E07104"/>
    <w:rsid w:val="00E075D2"/>
    <w:rsid w:val="00E077D0"/>
    <w:rsid w:val="00E107BE"/>
    <w:rsid w:val="00E11094"/>
    <w:rsid w:val="00E1387B"/>
    <w:rsid w:val="00E138BA"/>
    <w:rsid w:val="00E145EA"/>
    <w:rsid w:val="00E16F37"/>
    <w:rsid w:val="00E17FDD"/>
    <w:rsid w:val="00E215B5"/>
    <w:rsid w:val="00E222F0"/>
    <w:rsid w:val="00E23BF3"/>
    <w:rsid w:val="00E24A5E"/>
    <w:rsid w:val="00E24DCD"/>
    <w:rsid w:val="00E25A72"/>
    <w:rsid w:val="00E2622E"/>
    <w:rsid w:val="00E279DC"/>
    <w:rsid w:val="00E30E09"/>
    <w:rsid w:val="00E32AD6"/>
    <w:rsid w:val="00E343F7"/>
    <w:rsid w:val="00E34F90"/>
    <w:rsid w:val="00E35002"/>
    <w:rsid w:val="00E350A9"/>
    <w:rsid w:val="00E356A9"/>
    <w:rsid w:val="00E35DB6"/>
    <w:rsid w:val="00E368EF"/>
    <w:rsid w:val="00E377C9"/>
    <w:rsid w:val="00E37E61"/>
    <w:rsid w:val="00E37F0E"/>
    <w:rsid w:val="00E40535"/>
    <w:rsid w:val="00E419DF"/>
    <w:rsid w:val="00E4291A"/>
    <w:rsid w:val="00E433DE"/>
    <w:rsid w:val="00E437D5"/>
    <w:rsid w:val="00E44DAF"/>
    <w:rsid w:val="00E45DE0"/>
    <w:rsid w:val="00E4618F"/>
    <w:rsid w:val="00E501E0"/>
    <w:rsid w:val="00E53AC1"/>
    <w:rsid w:val="00E54085"/>
    <w:rsid w:val="00E5425B"/>
    <w:rsid w:val="00E54AC5"/>
    <w:rsid w:val="00E54F4E"/>
    <w:rsid w:val="00E558FE"/>
    <w:rsid w:val="00E619E9"/>
    <w:rsid w:val="00E61E4D"/>
    <w:rsid w:val="00E62254"/>
    <w:rsid w:val="00E66B61"/>
    <w:rsid w:val="00E6776F"/>
    <w:rsid w:val="00E70CC6"/>
    <w:rsid w:val="00E717A8"/>
    <w:rsid w:val="00E71AE4"/>
    <w:rsid w:val="00E738FB"/>
    <w:rsid w:val="00E73C71"/>
    <w:rsid w:val="00E753B1"/>
    <w:rsid w:val="00E75F65"/>
    <w:rsid w:val="00E76695"/>
    <w:rsid w:val="00E76B90"/>
    <w:rsid w:val="00E76BD1"/>
    <w:rsid w:val="00E80378"/>
    <w:rsid w:val="00E806D2"/>
    <w:rsid w:val="00E81EDF"/>
    <w:rsid w:val="00E82652"/>
    <w:rsid w:val="00E82A00"/>
    <w:rsid w:val="00E83293"/>
    <w:rsid w:val="00E83809"/>
    <w:rsid w:val="00E838A1"/>
    <w:rsid w:val="00E83945"/>
    <w:rsid w:val="00E8571D"/>
    <w:rsid w:val="00E8579F"/>
    <w:rsid w:val="00E875B2"/>
    <w:rsid w:val="00E87B8E"/>
    <w:rsid w:val="00E87DFB"/>
    <w:rsid w:val="00E90E4E"/>
    <w:rsid w:val="00E90FE8"/>
    <w:rsid w:val="00E938C5"/>
    <w:rsid w:val="00E93FDA"/>
    <w:rsid w:val="00E9409A"/>
    <w:rsid w:val="00E949D4"/>
    <w:rsid w:val="00E94F39"/>
    <w:rsid w:val="00E95B7C"/>
    <w:rsid w:val="00EA0103"/>
    <w:rsid w:val="00EA01D5"/>
    <w:rsid w:val="00EA055B"/>
    <w:rsid w:val="00EA16F5"/>
    <w:rsid w:val="00EA1711"/>
    <w:rsid w:val="00EA2314"/>
    <w:rsid w:val="00EA2B8D"/>
    <w:rsid w:val="00EA4B45"/>
    <w:rsid w:val="00EA4DEA"/>
    <w:rsid w:val="00EA64EA"/>
    <w:rsid w:val="00EA6F4C"/>
    <w:rsid w:val="00EA76C1"/>
    <w:rsid w:val="00EB0111"/>
    <w:rsid w:val="00EB0AB0"/>
    <w:rsid w:val="00EB0EAF"/>
    <w:rsid w:val="00EB1D69"/>
    <w:rsid w:val="00EB34A4"/>
    <w:rsid w:val="00EB37B4"/>
    <w:rsid w:val="00EB3AD4"/>
    <w:rsid w:val="00EB3DB8"/>
    <w:rsid w:val="00EB3DE1"/>
    <w:rsid w:val="00EB418E"/>
    <w:rsid w:val="00EB4B11"/>
    <w:rsid w:val="00EB53CD"/>
    <w:rsid w:val="00EB592B"/>
    <w:rsid w:val="00EB6850"/>
    <w:rsid w:val="00EB6AD4"/>
    <w:rsid w:val="00EB7675"/>
    <w:rsid w:val="00EB781A"/>
    <w:rsid w:val="00EB7D96"/>
    <w:rsid w:val="00EC1103"/>
    <w:rsid w:val="00EC1E89"/>
    <w:rsid w:val="00EC21BB"/>
    <w:rsid w:val="00EC24B6"/>
    <w:rsid w:val="00EC35B8"/>
    <w:rsid w:val="00EC3E67"/>
    <w:rsid w:val="00EC65CF"/>
    <w:rsid w:val="00EC6674"/>
    <w:rsid w:val="00EC7D7D"/>
    <w:rsid w:val="00ED0A9D"/>
    <w:rsid w:val="00ED0EBC"/>
    <w:rsid w:val="00ED1DB6"/>
    <w:rsid w:val="00ED2968"/>
    <w:rsid w:val="00ED2B14"/>
    <w:rsid w:val="00ED3F91"/>
    <w:rsid w:val="00ED4530"/>
    <w:rsid w:val="00ED51E8"/>
    <w:rsid w:val="00ED578A"/>
    <w:rsid w:val="00ED61FB"/>
    <w:rsid w:val="00ED6AC9"/>
    <w:rsid w:val="00ED7E20"/>
    <w:rsid w:val="00EE0E05"/>
    <w:rsid w:val="00EE131F"/>
    <w:rsid w:val="00EE25D1"/>
    <w:rsid w:val="00EE3A63"/>
    <w:rsid w:val="00EE3AA5"/>
    <w:rsid w:val="00EE3CEE"/>
    <w:rsid w:val="00EE59DC"/>
    <w:rsid w:val="00EE6846"/>
    <w:rsid w:val="00EE7094"/>
    <w:rsid w:val="00EE719E"/>
    <w:rsid w:val="00EF3B16"/>
    <w:rsid w:val="00EF3B7B"/>
    <w:rsid w:val="00EF3D02"/>
    <w:rsid w:val="00EF5A56"/>
    <w:rsid w:val="00EF5BDC"/>
    <w:rsid w:val="00EF7824"/>
    <w:rsid w:val="00EF7C96"/>
    <w:rsid w:val="00F006D7"/>
    <w:rsid w:val="00F0116E"/>
    <w:rsid w:val="00F02DC2"/>
    <w:rsid w:val="00F02FFC"/>
    <w:rsid w:val="00F03B73"/>
    <w:rsid w:val="00F043D1"/>
    <w:rsid w:val="00F046C7"/>
    <w:rsid w:val="00F067C1"/>
    <w:rsid w:val="00F06939"/>
    <w:rsid w:val="00F0716F"/>
    <w:rsid w:val="00F1014C"/>
    <w:rsid w:val="00F16E90"/>
    <w:rsid w:val="00F20384"/>
    <w:rsid w:val="00F2208A"/>
    <w:rsid w:val="00F23287"/>
    <w:rsid w:val="00F23EF1"/>
    <w:rsid w:val="00F26117"/>
    <w:rsid w:val="00F261C4"/>
    <w:rsid w:val="00F26B58"/>
    <w:rsid w:val="00F2712C"/>
    <w:rsid w:val="00F30B08"/>
    <w:rsid w:val="00F30D2D"/>
    <w:rsid w:val="00F30E62"/>
    <w:rsid w:val="00F31CEA"/>
    <w:rsid w:val="00F33F15"/>
    <w:rsid w:val="00F36A74"/>
    <w:rsid w:val="00F4025B"/>
    <w:rsid w:val="00F40B6F"/>
    <w:rsid w:val="00F415DA"/>
    <w:rsid w:val="00F43276"/>
    <w:rsid w:val="00F44229"/>
    <w:rsid w:val="00F44E70"/>
    <w:rsid w:val="00F44F7E"/>
    <w:rsid w:val="00F45066"/>
    <w:rsid w:val="00F45D8B"/>
    <w:rsid w:val="00F53EC1"/>
    <w:rsid w:val="00F53EE8"/>
    <w:rsid w:val="00F54D1B"/>
    <w:rsid w:val="00F5602B"/>
    <w:rsid w:val="00F56B1D"/>
    <w:rsid w:val="00F56D90"/>
    <w:rsid w:val="00F56F42"/>
    <w:rsid w:val="00F60295"/>
    <w:rsid w:val="00F62287"/>
    <w:rsid w:val="00F6329D"/>
    <w:rsid w:val="00F6353E"/>
    <w:rsid w:val="00F63A9A"/>
    <w:rsid w:val="00F647D7"/>
    <w:rsid w:val="00F65F27"/>
    <w:rsid w:val="00F709DE"/>
    <w:rsid w:val="00F70EB9"/>
    <w:rsid w:val="00F719E4"/>
    <w:rsid w:val="00F72F7C"/>
    <w:rsid w:val="00F7335C"/>
    <w:rsid w:val="00F73D20"/>
    <w:rsid w:val="00F75125"/>
    <w:rsid w:val="00F75566"/>
    <w:rsid w:val="00F759EC"/>
    <w:rsid w:val="00F81AE6"/>
    <w:rsid w:val="00F81CB9"/>
    <w:rsid w:val="00F8272B"/>
    <w:rsid w:val="00F82CF4"/>
    <w:rsid w:val="00F831C4"/>
    <w:rsid w:val="00F86E72"/>
    <w:rsid w:val="00F87D27"/>
    <w:rsid w:val="00F87F5E"/>
    <w:rsid w:val="00F94BC8"/>
    <w:rsid w:val="00F95734"/>
    <w:rsid w:val="00F973C6"/>
    <w:rsid w:val="00F97B65"/>
    <w:rsid w:val="00F97D0F"/>
    <w:rsid w:val="00FA03C0"/>
    <w:rsid w:val="00FA241B"/>
    <w:rsid w:val="00FA2C9C"/>
    <w:rsid w:val="00FA452E"/>
    <w:rsid w:val="00FA45F7"/>
    <w:rsid w:val="00FA4ACA"/>
    <w:rsid w:val="00FA4B92"/>
    <w:rsid w:val="00FA4BC9"/>
    <w:rsid w:val="00FA7A1D"/>
    <w:rsid w:val="00FB0803"/>
    <w:rsid w:val="00FB22D1"/>
    <w:rsid w:val="00FB42E0"/>
    <w:rsid w:val="00FB6018"/>
    <w:rsid w:val="00FB6720"/>
    <w:rsid w:val="00FB6BE7"/>
    <w:rsid w:val="00FB7256"/>
    <w:rsid w:val="00FB7656"/>
    <w:rsid w:val="00FC1156"/>
    <w:rsid w:val="00FC18C3"/>
    <w:rsid w:val="00FC1EB7"/>
    <w:rsid w:val="00FC322F"/>
    <w:rsid w:val="00FC45A5"/>
    <w:rsid w:val="00FC4A39"/>
    <w:rsid w:val="00FC55C8"/>
    <w:rsid w:val="00FC5BD8"/>
    <w:rsid w:val="00FC67F9"/>
    <w:rsid w:val="00FD0694"/>
    <w:rsid w:val="00FD08F5"/>
    <w:rsid w:val="00FD1F5C"/>
    <w:rsid w:val="00FD2667"/>
    <w:rsid w:val="00FD3B08"/>
    <w:rsid w:val="00FD53E6"/>
    <w:rsid w:val="00FD59A6"/>
    <w:rsid w:val="00FD5C0C"/>
    <w:rsid w:val="00FD6092"/>
    <w:rsid w:val="00FD6473"/>
    <w:rsid w:val="00FD68FE"/>
    <w:rsid w:val="00FD6A88"/>
    <w:rsid w:val="00FD79D5"/>
    <w:rsid w:val="00FE2A47"/>
    <w:rsid w:val="00FE44D2"/>
    <w:rsid w:val="00FE4860"/>
    <w:rsid w:val="00FE59AD"/>
    <w:rsid w:val="00FF0E88"/>
    <w:rsid w:val="00FF2216"/>
    <w:rsid w:val="00FF2D31"/>
    <w:rsid w:val="00FF2D85"/>
    <w:rsid w:val="00FF52F9"/>
    <w:rsid w:val="00FF5FAC"/>
    <w:rsid w:val="00FF6184"/>
    <w:rsid w:val="00FF7A8D"/>
    <w:rsid w:val="00FF7CBB"/>
  </w:rsids>
  <m:mathPr>
    <m:mathFont m:val="Cambria Math"/>
    <m:brkBin m:val="before"/>
    <m:brkBinSub m:val="--"/>
    <m:smallFrac m:val="off"/>
    <m:dispDef/>
    <m:lMargin m:val="0"/>
    <m:rMargin m:val="0"/>
    <m:defJc m:val="centerGroup"/>
    <m:wrapIndent m:val="1440"/>
    <m:intLim m:val="subSup"/>
    <m:naryLim m:val="undOvr"/>
  </m:mathPr>
  <w:attachedSchema w:val="urn-legalmacpac-data/10"/>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3"/>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iPriority="0" w:unhideWhenUsed="0" w:qFormat="1"/>
    <w:lsdException w:name="heading 8" w:semiHidden="0" w:unhideWhenUsed="0" w:qFormat="1"/>
    <w:lsdException w:name="heading 9" w:semiHidden="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nhideWhenUsed="0" w:qFormat="1"/>
    <w:lsdException w:name="Default Paragraph Font" w:uiPriority="1"/>
    <w:lsdException w:name="Subtitle" w:semiHidden="0"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C53505"/>
    <w:pPr>
      <w:spacing w:after="200" w:line="276" w:lineRule="auto"/>
    </w:pPr>
    <w:rPr>
      <w:rFonts w:eastAsia="Times New Roman"/>
      <w:sz w:val="22"/>
      <w:szCs w:val="22"/>
    </w:rPr>
  </w:style>
  <w:style w:type="paragraph" w:styleId="Heading1">
    <w:name w:val="heading 1"/>
    <w:basedOn w:val="Normal"/>
    <w:next w:val="BodyText"/>
    <w:link w:val="Heading1Char"/>
    <w:uiPriority w:val="99"/>
    <w:qFormat/>
    <w:rsid w:val="0062005C"/>
    <w:pPr>
      <w:numPr>
        <w:numId w:val="1"/>
      </w:numPr>
      <w:spacing w:before="240" w:after="0" w:line="480" w:lineRule="auto"/>
      <w:outlineLvl w:val="0"/>
    </w:pPr>
    <w:rPr>
      <w:rFonts w:ascii="Times New Roman Bold" w:eastAsia="Calibri" w:hAnsi="Times New Roman Bold" w:cs="Arial"/>
      <w:b/>
      <w:sz w:val="28"/>
      <w:szCs w:val="28"/>
      <w:u w:val="single"/>
    </w:rPr>
  </w:style>
  <w:style w:type="paragraph" w:styleId="Heading2">
    <w:name w:val="heading 2"/>
    <w:basedOn w:val="BodyText"/>
    <w:next w:val="BodyText"/>
    <w:link w:val="Heading2Char"/>
    <w:uiPriority w:val="99"/>
    <w:qFormat/>
    <w:rsid w:val="0062005C"/>
    <w:pPr>
      <w:numPr>
        <w:ilvl w:val="1"/>
        <w:numId w:val="1"/>
      </w:numPr>
      <w:tabs>
        <w:tab w:val="num" w:pos="1530"/>
      </w:tabs>
      <w:spacing w:after="0" w:line="360" w:lineRule="auto"/>
      <w:ind w:left="2250"/>
      <w:jc w:val="both"/>
      <w:outlineLvl w:val="1"/>
    </w:pPr>
    <w:rPr>
      <w:rFonts w:ascii="Times New Roman" w:eastAsia="Calibri" w:hAnsi="Times New Roman" w:cs="Arial"/>
      <w:b/>
      <w:sz w:val="28"/>
      <w:szCs w:val="24"/>
    </w:rPr>
  </w:style>
  <w:style w:type="paragraph" w:styleId="Heading3">
    <w:name w:val="heading 3"/>
    <w:basedOn w:val="Normal"/>
    <w:next w:val="BodyText"/>
    <w:link w:val="Heading3Char"/>
    <w:uiPriority w:val="99"/>
    <w:qFormat/>
    <w:rsid w:val="0062005C"/>
    <w:pPr>
      <w:keepNext/>
      <w:numPr>
        <w:ilvl w:val="2"/>
        <w:numId w:val="1"/>
      </w:numPr>
      <w:tabs>
        <w:tab w:val="clear" w:pos="-108"/>
        <w:tab w:val="num" w:pos="882"/>
      </w:tabs>
      <w:spacing w:after="0" w:line="360" w:lineRule="auto"/>
      <w:ind w:left="5058"/>
      <w:jc w:val="both"/>
      <w:outlineLvl w:val="2"/>
    </w:pPr>
    <w:rPr>
      <w:rFonts w:ascii="Times New Roman Bold" w:eastAsia="Calibri" w:hAnsi="Times New Roman Bold" w:cs="Arial"/>
      <w:b/>
      <w:sz w:val="28"/>
      <w:szCs w:val="28"/>
    </w:rPr>
  </w:style>
  <w:style w:type="paragraph" w:styleId="Heading4">
    <w:name w:val="heading 4"/>
    <w:basedOn w:val="Heading3"/>
    <w:next w:val="BodyText"/>
    <w:link w:val="Heading4Char"/>
    <w:uiPriority w:val="99"/>
    <w:qFormat/>
    <w:rsid w:val="0062005C"/>
    <w:pPr>
      <w:numPr>
        <w:ilvl w:val="3"/>
      </w:numPr>
      <w:tabs>
        <w:tab w:val="num" w:pos="702"/>
      </w:tabs>
      <w:ind w:left="4374"/>
      <w:outlineLvl w:val="3"/>
    </w:pPr>
  </w:style>
  <w:style w:type="paragraph" w:styleId="Heading5">
    <w:name w:val="heading 5"/>
    <w:basedOn w:val="Normal"/>
    <w:next w:val="BodyText"/>
    <w:link w:val="Heading5Char"/>
    <w:uiPriority w:val="99"/>
    <w:qFormat/>
    <w:rsid w:val="0062005C"/>
    <w:pPr>
      <w:keepNext/>
      <w:numPr>
        <w:ilvl w:val="4"/>
        <w:numId w:val="1"/>
      </w:numPr>
      <w:spacing w:after="0" w:line="240" w:lineRule="auto"/>
      <w:outlineLvl w:val="4"/>
    </w:pPr>
    <w:rPr>
      <w:rFonts w:ascii="Times New Roman" w:eastAsia="Calibri" w:hAnsi="Times New Roman"/>
      <w:b/>
      <w:sz w:val="28"/>
      <w:szCs w:val="20"/>
    </w:rPr>
  </w:style>
  <w:style w:type="paragraph" w:styleId="Heading6">
    <w:name w:val="heading 6"/>
    <w:basedOn w:val="Normal"/>
    <w:next w:val="BodyText"/>
    <w:link w:val="Heading6Char"/>
    <w:uiPriority w:val="99"/>
    <w:qFormat/>
    <w:rsid w:val="0062005C"/>
    <w:pPr>
      <w:keepNext/>
      <w:numPr>
        <w:ilvl w:val="5"/>
        <w:numId w:val="1"/>
      </w:numPr>
      <w:spacing w:after="0" w:line="240" w:lineRule="auto"/>
      <w:jc w:val="center"/>
      <w:outlineLvl w:val="5"/>
    </w:pPr>
    <w:rPr>
      <w:rFonts w:ascii="Times New Roman" w:eastAsia="Calibri" w:hAnsi="Times New Roman"/>
      <w:b/>
      <w:sz w:val="28"/>
      <w:szCs w:val="20"/>
    </w:rPr>
  </w:style>
  <w:style w:type="paragraph" w:styleId="Heading7">
    <w:name w:val="heading 7"/>
    <w:basedOn w:val="Normal"/>
    <w:next w:val="BodyText"/>
    <w:link w:val="Heading7Char"/>
    <w:qFormat/>
    <w:rsid w:val="0062005C"/>
    <w:pPr>
      <w:keepNext/>
      <w:numPr>
        <w:ilvl w:val="6"/>
        <w:numId w:val="1"/>
      </w:numPr>
      <w:spacing w:after="0" w:line="240" w:lineRule="auto"/>
      <w:outlineLvl w:val="6"/>
    </w:pPr>
    <w:rPr>
      <w:rFonts w:ascii="Times New Roman" w:eastAsia="Calibri" w:hAnsi="Times New Roman"/>
      <w:b/>
      <w:sz w:val="24"/>
      <w:szCs w:val="20"/>
    </w:rPr>
  </w:style>
  <w:style w:type="paragraph" w:styleId="Heading8">
    <w:name w:val="heading 8"/>
    <w:basedOn w:val="Normal"/>
    <w:next w:val="BodyText"/>
    <w:link w:val="Heading8Char"/>
    <w:uiPriority w:val="99"/>
    <w:qFormat/>
    <w:rsid w:val="0062005C"/>
    <w:pPr>
      <w:keepNext/>
      <w:numPr>
        <w:ilvl w:val="7"/>
        <w:numId w:val="1"/>
      </w:numPr>
      <w:spacing w:after="0" w:line="240" w:lineRule="auto"/>
      <w:outlineLvl w:val="7"/>
    </w:pPr>
    <w:rPr>
      <w:rFonts w:ascii="Times New Roman" w:eastAsia="Calibri" w:hAnsi="Times New Roman"/>
      <w:b/>
      <w:color w:val="000000"/>
      <w:sz w:val="24"/>
      <w:szCs w:val="20"/>
    </w:rPr>
  </w:style>
  <w:style w:type="paragraph" w:styleId="Heading9">
    <w:name w:val="heading 9"/>
    <w:basedOn w:val="Normal"/>
    <w:next w:val="BodyText"/>
    <w:link w:val="Heading9Char"/>
    <w:uiPriority w:val="99"/>
    <w:qFormat/>
    <w:rsid w:val="0062005C"/>
    <w:pPr>
      <w:keepNext/>
      <w:numPr>
        <w:ilvl w:val="8"/>
        <w:numId w:val="1"/>
      </w:numPr>
      <w:spacing w:after="0" w:line="240" w:lineRule="auto"/>
      <w:outlineLvl w:val="8"/>
    </w:pPr>
    <w:rPr>
      <w:rFonts w:ascii="Times New Roman" w:eastAsia="Calibri" w:hAnsi="Times New Roman"/>
      <w:b/>
      <w:sz w:val="24"/>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62005C"/>
    <w:rPr>
      <w:rFonts w:ascii="Times New Roman Bold" w:hAnsi="Times New Roman Bold" w:cs="Arial"/>
      <w:b/>
      <w:sz w:val="28"/>
      <w:szCs w:val="28"/>
      <w:u w:val="single"/>
    </w:rPr>
  </w:style>
  <w:style w:type="character" w:customStyle="1" w:styleId="Heading2Char">
    <w:name w:val="Heading 2 Char"/>
    <w:basedOn w:val="DefaultParagraphFont"/>
    <w:link w:val="Heading2"/>
    <w:uiPriority w:val="99"/>
    <w:rsid w:val="0062005C"/>
    <w:rPr>
      <w:rFonts w:ascii="Times New Roman" w:hAnsi="Times New Roman" w:cs="Arial"/>
      <w:b/>
      <w:sz w:val="28"/>
      <w:szCs w:val="24"/>
    </w:rPr>
  </w:style>
  <w:style w:type="character" w:customStyle="1" w:styleId="Heading3Char">
    <w:name w:val="Heading 3 Char"/>
    <w:basedOn w:val="DefaultParagraphFont"/>
    <w:link w:val="Heading3"/>
    <w:uiPriority w:val="99"/>
    <w:rsid w:val="0062005C"/>
    <w:rPr>
      <w:rFonts w:ascii="Times New Roman Bold" w:hAnsi="Times New Roman Bold" w:cs="Arial"/>
      <w:b/>
      <w:sz w:val="28"/>
      <w:szCs w:val="28"/>
    </w:rPr>
  </w:style>
  <w:style w:type="character" w:customStyle="1" w:styleId="Heading4Char">
    <w:name w:val="Heading 4 Char"/>
    <w:basedOn w:val="DefaultParagraphFont"/>
    <w:link w:val="Heading4"/>
    <w:uiPriority w:val="99"/>
    <w:rsid w:val="0062005C"/>
    <w:rPr>
      <w:rFonts w:ascii="Times New Roman Bold" w:hAnsi="Times New Roman Bold" w:cs="Arial"/>
      <w:b/>
      <w:sz w:val="28"/>
      <w:szCs w:val="28"/>
    </w:rPr>
  </w:style>
  <w:style w:type="character" w:customStyle="1" w:styleId="Heading5Char">
    <w:name w:val="Heading 5 Char"/>
    <w:basedOn w:val="DefaultParagraphFont"/>
    <w:link w:val="Heading5"/>
    <w:uiPriority w:val="99"/>
    <w:rsid w:val="0062005C"/>
    <w:rPr>
      <w:rFonts w:ascii="Times New Roman" w:hAnsi="Times New Roman"/>
      <w:b/>
      <w:sz w:val="28"/>
    </w:rPr>
  </w:style>
  <w:style w:type="character" w:customStyle="1" w:styleId="Heading6Char">
    <w:name w:val="Heading 6 Char"/>
    <w:basedOn w:val="DefaultParagraphFont"/>
    <w:link w:val="Heading6"/>
    <w:uiPriority w:val="99"/>
    <w:rsid w:val="0062005C"/>
    <w:rPr>
      <w:rFonts w:ascii="Times New Roman" w:hAnsi="Times New Roman"/>
      <w:b/>
      <w:sz w:val="28"/>
    </w:rPr>
  </w:style>
  <w:style w:type="character" w:customStyle="1" w:styleId="Heading7Char">
    <w:name w:val="Heading 7 Char"/>
    <w:basedOn w:val="DefaultParagraphFont"/>
    <w:link w:val="Heading7"/>
    <w:rsid w:val="0062005C"/>
    <w:rPr>
      <w:rFonts w:ascii="Times New Roman" w:hAnsi="Times New Roman"/>
      <w:b/>
      <w:sz w:val="24"/>
    </w:rPr>
  </w:style>
  <w:style w:type="character" w:customStyle="1" w:styleId="Heading8Char">
    <w:name w:val="Heading 8 Char"/>
    <w:basedOn w:val="DefaultParagraphFont"/>
    <w:link w:val="Heading8"/>
    <w:uiPriority w:val="99"/>
    <w:rsid w:val="0062005C"/>
    <w:rPr>
      <w:rFonts w:ascii="Times New Roman" w:hAnsi="Times New Roman"/>
      <w:b/>
      <w:color w:val="000000"/>
      <w:sz w:val="24"/>
    </w:rPr>
  </w:style>
  <w:style w:type="character" w:customStyle="1" w:styleId="Heading9Char">
    <w:name w:val="Heading 9 Char"/>
    <w:basedOn w:val="DefaultParagraphFont"/>
    <w:link w:val="Heading9"/>
    <w:uiPriority w:val="99"/>
    <w:rsid w:val="0062005C"/>
    <w:rPr>
      <w:rFonts w:ascii="Times New Roman" w:hAnsi="Times New Roman"/>
      <w:b/>
      <w:sz w:val="24"/>
    </w:rPr>
  </w:style>
  <w:style w:type="paragraph" w:styleId="BodyText">
    <w:name w:val="Body Text"/>
    <w:basedOn w:val="Normal"/>
    <w:link w:val="BodyTextChar"/>
    <w:uiPriority w:val="99"/>
    <w:rsid w:val="0062005C"/>
    <w:pPr>
      <w:spacing w:after="120"/>
    </w:pPr>
  </w:style>
  <w:style w:type="character" w:customStyle="1" w:styleId="BodyTextChar">
    <w:name w:val="Body Text Char"/>
    <w:basedOn w:val="DefaultParagraphFont"/>
    <w:link w:val="BodyText"/>
    <w:uiPriority w:val="99"/>
    <w:rsid w:val="0062005C"/>
    <w:rPr>
      <w:rFonts w:cs="Times New Roman"/>
    </w:rPr>
  </w:style>
  <w:style w:type="paragraph" w:styleId="TOCHeading">
    <w:name w:val="TOC Heading"/>
    <w:basedOn w:val="Heading1"/>
    <w:next w:val="Normal"/>
    <w:uiPriority w:val="39"/>
    <w:qFormat/>
    <w:rsid w:val="00691542"/>
    <w:pPr>
      <w:keepNext/>
      <w:keepLines/>
      <w:numPr>
        <w:numId w:val="0"/>
      </w:numPr>
      <w:spacing w:before="480" w:line="276" w:lineRule="auto"/>
      <w:outlineLvl w:val="9"/>
    </w:pPr>
    <w:rPr>
      <w:rFonts w:ascii="Cambria" w:hAnsi="Cambria" w:cs="Times New Roman"/>
      <w:bCs/>
      <w:color w:val="365F91"/>
      <w:u w:val="none"/>
    </w:rPr>
  </w:style>
  <w:style w:type="paragraph" w:styleId="TOC2">
    <w:name w:val="toc 2"/>
    <w:basedOn w:val="Normal"/>
    <w:next w:val="Normal"/>
    <w:autoRedefine/>
    <w:uiPriority w:val="39"/>
    <w:rsid w:val="00111EC6"/>
    <w:pPr>
      <w:tabs>
        <w:tab w:val="left" w:pos="1353"/>
        <w:tab w:val="right" w:leader="dot" w:pos="9350"/>
      </w:tabs>
      <w:spacing w:after="0" w:line="240" w:lineRule="auto"/>
      <w:ind w:left="216"/>
    </w:pPr>
    <w:rPr>
      <w:rFonts w:ascii="Times New Roman" w:hAnsi="Times New Roman"/>
    </w:rPr>
  </w:style>
  <w:style w:type="character" w:styleId="Hyperlink">
    <w:name w:val="Hyperlink"/>
    <w:basedOn w:val="DefaultParagraphFont"/>
    <w:uiPriority w:val="99"/>
    <w:rsid w:val="00691542"/>
    <w:rPr>
      <w:rFonts w:cs="Times New Roman"/>
      <w:color w:val="0000FF"/>
      <w:u w:val="single"/>
    </w:rPr>
  </w:style>
  <w:style w:type="paragraph" w:styleId="ListParagraph">
    <w:name w:val="List Paragraph"/>
    <w:basedOn w:val="Normal"/>
    <w:uiPriority w:val="34"/>
    <w:qFormat/>
    <w:rsid w:val="00AC09E1"/>
    <w:pPr>
      <w:spacing w:after="0" w:line="240" w:lineRule="auto"/>
      <w:ind w:left="720"/>
    </w:pPr>
    <w:rPr>
      <w:rFonts w:ascii="Times New Roman" w:eastAsia="Calibri" w:hAnsi="Times New Roman"/>
      <w:sz w:val="24"/>
      <w:szCs w:val="24"/>
    </w:rPr>
  </w:style>
  <w:style w:type="paragraph" w:customStyle="1" w:styleId="Style5">
    <w:name w:val="Style5"/>
    <w:basedOn w:val="NormalWeb"/>
    <w:link w:val="Style5Char"/>
    <w:qFormat/>
    <w:rsid w:val="00AC09E1"/>
    <w:pPr>
      <w:spacing w:before="100" w:beforeAutospacing="1" w:after="100" w:afterAutospacing="1" w:line="240" w:lineRule="auto"/>
    </w:pPr>
    <w:rPr>
      <w:rFonts w:eastAsia="Calibri"/>
    </w:rPr>
  </w:style>
  <w:style w:type="character" w:customStyle="1" w:styleId="Style5Char">
    <w:name w:val="Style5 Char"/>
    <w:basedOn w:val="DefaultParagraphFont"/>
    <w:link w:val="Style5"/>
    <w:rsid w:val="00AC09E1"/>
    <w:rPr>
      <w:rFonts w:ascii="Times New Roman" w:hAnsi="Times New Roman" w:cs="Times New Roman"/>
      <w:sz w:val="24"/>
      <w:szCs w:val="24"/>
    </w:rPr>
  </w:style>
  <w:style w:type="paragraph" w:styleId="NormalWeb">
    <w:name w:val="Normal (Web)"/>
    <w:aliases w:val="Normal (Web) Char1,Normal (Web) Char Char"/>
    <w:basedOn w:val="Normal"/>
    <w:link w:val="NormalWebChar"/>
    <w:uiPriority w:val="99"/>
    <w:rsid w:val="00AC09E1"/>
    <w:rPr>
      <w:rFonts w:ascii="Times New Roman" w:hAnsi="Times New Roman"/>
      <w:sz w:val="24"/>
      <w:szCs w:val="24"/>
    </w:rPr>
  </w:style>
  <w:style w:type="table" w:styleId="TableGrid">
    <w:name w:val="Table Grid"/>
    <w:basedOn w:val="TableNormal"/>
    <w:rsid w:val="00E368E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uiPriority w:val="99"/>
    <w:rsid w:val="00E368EF"/>
    <w:rPr>
      <w:rFonts w:cs="Times New Roman"/>
      <w:sz w:val="16"/>
      <w:szCs w:val="16"/>
    </w:rPr>
  </w:style>
  <w:style w:type="paragraph" w:styleId="CommentText">
    <w:name w:val="annotation text"/>
    <w:basedOn w:val="Normal"/>
    <w:link w:val="CommentTextChar"/>
    <w:uiPriority w:val="99"/>
    <w:rsid w:val="00E368EF"/>
    <w:pPr>
      <w:spacing w:line="240" w:lineRule="auto"/>
    </w:pPr>
    <w:rPr>
      <w:sz w:val="20"/>
      <w:szCs w:val="20"/>
    </w:rPr>
  </w:style>
  <w:style w:type="character" w:customStyle="1" w:styleId="CommentTextChar">
    <w:name w:val="Comment Text Char"/>
    <w:basedOn w:val="DefaultParagraphFont"/>
    <w:link w:val="CommentText"/>
    <w:uiPriority w:val="99"/>
    <w:rsid w:val="00E368EF"/>
    <w:rPr>
      <w:rFonts w:ascii="Calibri" w:eastAsia="Times New Roman" w:hAnsi="Calibri" w:cs="Times New Roman"/>
    </w:rPr>
  </w:style>
  <w:style w:type="paragraph" w:styleId="NoSpacing">
    <w:name w:val="No Spacing"/>
    <w:link w:val="NoSpacingChar"/>
    <w:uiPriority w:val="1"/>
    <w:qFormat/>
    <w:rsid w:val="00E368EF"/>
    <w:rPr>
      <w:rFonts w:eastAsia="Times New Roman"/>
      <w:sz w:val="22"/>
      <w:szCs w:val="22"/>
    </w:rPr>
  </w:style>
  <w:style w:type="paragraph" w:styleId="BalloonText">
    <w:name w:val="Balloon Text"/>
    <w:basedOn w:val="Normal"/>
    <w:link w:val="BalloonTextChar"/>
    <w:uiPriority w:val="99"/>
    <w:rsid w:val="00E368E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E368EF"/>
    <w:rPr>
      <w:rFonts w:ascii="Tahoma" w:hAnsi="Tahoma" w:cs="Tahoma"/>
      <w:sz w:val="16"/>
      <w:szCs w:val="16"/>
    </w:rPr>
  </w:style>
  <w:style w:type="paragraph" w:styleId="CommentSubject">
    <w:name w:val="annotation subject"/>
    <w:basedOn w:val="CommentText"/>
    <w:next w:val="CommentText"/>
    <w:link w:val="CommentSubjectChar"/>
    <w:uiPriority w:val="99"/>
    <w:rsid w:val="00E368EF"/>
    <w:pPr>
      <w:spacing w:line="276" w:lineRule="auto"/>
    </w:pPr>
    <w:rPr>
      <w:b/>
      <w:bCs/>
    </w:rPr>
  </w:style>
  <w:style w:type="character" w:customStyle="1" w:styleId="CommentSubjectChar">
    <w:name w:val="Comment Subject Char"/>
    <w:basedOn w:val="CommentTextChar"/>
    <w:link w:val="CommentSubject"/>
    <w:uiPriority w:val="99"/>
    <w:rsid w:val="00E368EF"/>
    <w:rPr>
      <w:b/>
      <w:bCs/>
    </w:rPr>
  </w:style>
  <w:style w:type="paragraph" w:styleId="Header">
    <w:name w:val="header"/>
    <w:basedOn w:val="Normal"/>
    <w:link w:val="HeaderChar"/>
    <w:uiPriority w:val="99"/>
    <w:rsid w:val="00926280"/>
    <w:pPr>
      <w:tabs>
        <w:tab w:val="center" w:pos="4320"/>
        <w:tab w:val="right" w:pos="8640"/>
      </w:tabs>
    </w:pPr>
  </w:style>
  <w:style w:type="paragraph" w:styleId="Footer">
    <w:name w:val="footer"/>
    <w:basedOn w:val="Normal"/>
    <w:link w:val="FooterChar"/>
    <w:uiPriority w:val="99"/>
    <w:rsid w:val="00926280"/>
    <w:pPr>
      <w:tabs>
        <w:tab w:val="center" w:pos="4320"/>
        <w:tab w:val="right" w:pos="8640"/>
      </w:tabs>
    </w:pPr>
  </w:style>
  <w:style w:type="paragraph" w:styleId="Revision">
    <w:name w:val="Revision"/>
    <w:hidden/>
    <w:uiPriority w:val="99"/>
    <w:semiHidden/>
    <w:rsid w:val="00DF46AB"/>
    <w:rPr>
      <w:rFonts w:eastAsia="Times New Roman"/>
      <w:sz w:val="22"/>
      <w:szCs w:val="22"/>
    </w:rPr>
  </w:style>
  <w:style w:type="character" w:customStyle="1" w:styleId="FooterChar">
    <w:name w:val="Footer Char"/>
    <w:basedOn w:val="DefaultParagraphFont"/>
    <w:link w:val="Footer"/>
    <w:uiPriority w:val="99"/>
    <w:rsid w:val="00DD0CE3"/>
    <w:rPr>
      <w:rFonts w:eastAsia="Times New Roman"/>
      <w:sz w:val="22"/>
      <w:szCs w:val="22"/>
    </w:rPr>
  </w:style>
  <w:style w:type="paragraph" w:customStyle="1" w:styleId="MacPacTrailer">
    <w:name w:val="MacPac Trailer"/>
    <w:rsid w:val="00DD0CE3"/>
    <w:pPr>
      <w:widowControl w:val="0"/>
      <w:spacing w:line="200" w:lineRule="exact"/>
    </w:pPr>
    <w:rPr>
      <w:rFonts w:ascii="Times New Roman" w:eastAsia="Times New Roman" w:hAnsi="Times New Roman"/>
      <w:sz w:val="16"/>
      <w:szCs w:val="22"/>
    </w:rPr>
  </w:style>
  <w:style w:type="character" w:customStyle="1" w:styleId="HeaderChar">
    <w:name w:val="Header Char"/>
    <w:basedOn w:val="DefaultParagraphFont"/>
    <w:link w:val="Header"/>
    <w:uiPriority w:val="99"/>
    <w:rsid w:val="00E949D4"/>
    <w:rPr>
      <w:rFonts w:eastAsia="Times New Roman"/>
      <w:sz w:val="22"/>
      <w:szCs w:val="22"/>
    </w:rPr>
  </w:style>
  <w:style w:type="paragraph" w:styleId="FootnoteText">
    <w:name w:val="footnote text"/>
    <w:basedOn w:val="Normal"/>
    <w:link w:val="FootnoteTextChar"/>
    <w:uiPriority w:val="99"/>
    <w:semiHidden/>
    <w:unhideWhenUsed/>
    <w:rsid w:val="00027BD6"/>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027BD6"/>
    <w:rPr>
      <w:rFonts w:eastAsia="Times New Roman"/>
    </w:rPr>
  </w:style>
  <w:style w:type="character" w:styleId="FootnoteReference">
    <w:name w:val="footnote reference"/>
    <w:basedOn w:val="DefaultParagraphFont"/>
    <w:uiPriority w:val="99"/>
    <w:semiHidden/>
    <w:unhideWhenUsed/>
    <w:rsid w:val="00027BD6"/>
    <w:rPr>
      <w:vertAlign w:val="superscript"/>
    </w:rPr>
  </w:style>
  <w:style w:type="paragraph" w:styleId="BodyText3">
    <w:name w:val="Body Text 3"/>
    <w:basedOn w:val="Normal"/>
    <w:link w:val="BodyText3Char"/>
    <w:uiPriority w:val="99"/>
    <w:rsid w:val="00432306"/>
    <w:pPr>
      <w:tabs>
        <w:tab w:val="left" w:pos="720"/>
        <w:tab w:val="left" w:pos="1428"/>
        <w:tab w:val="left" w:pos="4716"/>
        <w:tab w:val="left" w:pos="4896"/>
        <w:tab w:val="left" w:pos="6718"/>
      </w:tabs>
      <w:suppressAutoHyphens/>
      <w:spacing w:after="0" w:line="240" w:lineRule="auto"/>
    </w:pPr>
    <w:rPr>
      <w:rFonts w:ascii="Times New Roman" w:hAnsi="Times New Roman"/>
      <w:sz w:val="24"/>
      <w:szCs w:val="20"/>
    </w:rPr>
  </w:style>
  <w:style w:type="character" w:customStyle="1" w:styleId="BodyText3Char">
    <w:name w:val="Body Text 3 Char"/>
    <w:basedOn w:val="DefaultParagraphFont"/>
    <w:link w:val="BodyText3"/>
    <w:uiPriority w:val="99"/>
    <w:rsid w:val="00432306"/>
    <w:rPr>
      <w:rFonts w:ascii="Times New Roman" w:eastAsia="Times New Roman" w:hAnsi="Times New Roman"/>
      <w:sz w:val="24"/>
    </w:rPr>
  </w:style>
  <w:style w:type="paragraph" w:styleId="TOC1">
    <w:name w:val="toc 1"/>
    <w:basedOn w:val="Normal"/>
    <w:next w:val="Normal"/>
    <w:autoRedefine/>
    <w:uiPriority w:val="39"/>
    <w:unhideWhenUsed/>
    <w:rsid w:val="001E4C82"/>
    <w:pPr>
      <w:tabs>
        <w:tab w:val="right" w:leader="dot" w:pos="9350"/>
      </w:tabs>
      <w:spacing w:before="120" w:after="0" w:line="240" w:lineRule="auto"/>
      <w:outlineLvl w:val="0"/>
    </w:pPr>
    <w:rPr>
      <w:rFonts w:ascii="Times New Roman" w:hAnsi="Times New Roman"/>
    </w:rPr>
  </w:style>
  <w:style w:type="paragraph" w:styleId="TOC3">
    <w:name w:val="toc 3"/>
    <w:basedOn w:val="Normal"/>
    <w:next w:val="Normal"/>
    <w:autoRedefine/>
    <w:uiPriority w:val="39"/>
    <w:unhideWhenUsed/>
    <w:rsid w:val="00D94100"/>
    <w:pPr>
      <w:tabs>
        <w:tab w:val="left" w:pos="1320"/>
        <w:tab w:val="right" w:leader="dot" w:pos="9350"/>
      </w:tabs>
      <w:spacing w:after="100" w:line="240" w:lineRule="auto"/>
      <w:ind w:left="1353" w:right="1008" w:hanging="907"/>
    </w:pPr>
    <w:rPr>
      <w:rFonts w:ascii="Times New Roman" w:hAnsi="Times New Roman"/>
    </w:rPr>
  </w:style>
  <w:style w:type="character" w:customStyle="1" w:styleId="NoSpacingChar">
    <w:name w:val="No Spacing Char"/>
    <w:basedOn w:val="DefaultParagraphFont"/>
    <w:link w:val="NoSpacing"/>
    <w:uiPriority w:val="1"/>
    <w:rsid w:val="007A3A63"/>
    <w:rPr>
      <w:rFonts w:eastAsia="Times New Roman"/>
      <w:sz w:val="22"/>
      <w:szCs w:val="22"/>
      <w:lang w:val="en-US" w:eastAsia="en-US" w:bidi="ar-SA"/>
    </w:rPr>
  </w:style>
  <w:style w:type="numbering" w:customStyle="1" w:styleId="NoList1">
    <w:name w:val="No List1"/>
    <w:next w:val="NoList"/>
    <w:uiPriority w:val="99"/>
    <w:semiHidden/>
    <w:unhideWhenUsed/>
    <w:rsid w:val="00ED7E20"/>
  </w:style>
  <w:style w:type="character" w:styleId="PageNumber">
    <w:name w:val="page number"/>
    <w:basedOn w:val="DefaultParagraphFont"/>
    <w:rsid w:val="00ED7E20"/>
    <w:rPr>
      <w:rFonts w:cs="Times New Roman"/>
    </w:rPr>
  </w:style>
  <w:style w:type="character" w:customStyle="1" w:styleId="NormalWebChar">
    <w:name w:val="Normal (Web) Char"/>
    <w:aliases w:val="Normal (Web) Char1 Char,Normal (Web) Char Char Char"/>
    <w:basedOn w:val="DefaultParagraphFont"/>
    <w:link w:val="NormalWeb"/>
    <w:uiPriority w:val="99"/>
    <w:locked/>
    <w:rsid w:val="00ED7E20"/>
    <w:rPr>
      <w:rFonts w:ascii="Times New Roman" w:eastAsia="Times New Roman" w:hAnsi="Times New Roman"/>
      <w:sz w:val="24"/>
      <w:szCs w:val="24"/>
    </w:rPr>
  </w:style>
  <w:style w:type="paragraph" w:styleId="PlainText">
    <w:name w:val="Plain Text"/>
    <w:basedOn w:val="Normal"/>
    <w:link w:val="PlainTextChar"/>
    <w:uiPriority w:val="99"/>
    <w:rsid w:val="00ED7E20"/>
    <w:pPr>
      <w:spacing w:after="0" w:line="240" w:lineRule="auto"/>
    </w:pPr>
    <w:rPr>
      <w:rFonts w:ascii="Courier" w:hAnsi="Courier"/>
      <w:sz w:val="24"/>
      <w:szCs w:val="20"/>
    </w:rPr>
  </w:style>
  <w:style w:type="character" w:customStyle="1" w:styleId="PlainTextChar">
    <w:name w:val="Plain Text Char"/>
    <w:basedOn w:val="DefaultParagraphFont"/>
    <w:link w:val="PlainText"/>
    <w:uiPriority w:val="99"/>
    <w:rsid w:val="00ED7E20"/>
    <w:rPr>
      <w:rFonts w:ascii="Courier" w:eastAsia="Times New Roman" w:hAnsi="Courier"/>
      <w:sz w:val="24"/>
    </w:rPr>
  </w:style>
  <w:style w:type="table" w:customStyle="1" w:styleId="TableGrid1">
    <w:name w:val="Table Grid1"/>
    <w:basedOn w:val="TableNormal"/>
    <w:next w:val="TableGrid"/>
    <w:uiPriority w:val="99"/>
    <w:rsid w:val="00ED7E20"/>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basedOn w:val="DefaultParagraphFont"/>
    <w:uiPriority w:val="99"/>
    <w:rsid w:val="00ED7E20"/>
    <w:rPr>
      <w:rFonts w:cs="Times New Roman"/>
      <w:color w:val="606420"/>
      <w:u w:val="single"/>
    </w:rPr>
  </w:style>
  <w:style w:type="paragraph" w:styleId="BlockText">
    <w:name w:val="Block Text"/>
    <w:basedOn w:val="Normal"/>
    <w:uiPriority w:val="99"/>
    <w:rsid w:val="00ED7E20"/>
    <w:pPr>
      <w:spacing w:after="0" w:line="240" w:lineRule="auto"/>
      <w:ind w:left="720" w:right="72"/>
    </w:pPr>
    <w:rPr>
      <w:rFonts w:ascii="Times New Roman" w:hAnsi="Times New Roman"/>
      <w:sz w:val="24"/>
      <w:szCs w:val="20"/>
    </w:rPr>
  </w:style>
  <w:style w:type="paragraph" w:styleId="EnvelopeReturn">
    <w:name w:val="envelope return"/>
    <w:basedOn w:val="Normal"/>
    <w:uiPriority w:val="99"/>
    <w:rsid w:val="00ED7E20"/>
    <w:pPr>
      <w:spacing w:after="0" w:line="240" w:lineRule="auto"/>
    </w:pPr>
    <w:rPr>
      <w:rFonts w:ascii="Arial" w:hAnsi="Arial"/>
      <w:sz w:val="24"/>
      <w:szCs w:val="20"/>
    </w:rPr>
  </w:style>
  <w:style w:type="paragraph" w:styleId="Date">
    <w:name w:val="Date"/>
    <w:basedOn w:val="Normal"/>
    <w:link w:val="DateChar"/>
    <w:uiPriority w:val="99"/>
    <w:rsid w:val="00ED7E20"/>
    <w:pPr>
      <w:widowControl w:val="0"/>
      <w:spacing w:after="0" w:line="240" w:lineRule="auto"/>
    </w:pPr>
    <w:rPr>
      <w:rFonts w:ascii="Times New Roman" w:hAnsi="Times New Roman"/>
      <w:sz w:val="24"/>
      <w:szCs w:val="24"/>
    </w:rPr>
  </w:style>
  <w:style w:type="character" w:customStyle="1" w:styleId="DateChar">
    <w:name w:val="Date Char"/>
    <w:basedOn w:val="DefaultParagraphFont"/>
    <w:link w:val="Date"/>
    <w:uiPriority w:val="99"/>
    <w:rsid w:val="00ED7E20"/>
    <w:rPr>
      <w:rFonts w:ascii="Times New Roman" w:eastAsia="Times New Roman" w:hAnsi="Times New Roman"/>
      <w:sz w:val="24"/>
      <w:szCs w:val="24"/>
    </w:rPr>
  </w:style>
  <w:style w:type="paragraph" w:styleId="Title">
    <w:name w:val="Title"/>
    <w:basedOn w:val="Normal"/>
    <w:link w:val="TitleChar"/>
    <w:uiPriority w:val="99"/>
    <w:qFormat/>
    <w:rsid w:val="00ED7E20"/>
    <w:pPr>
      <w:widowControl w:val="0"/>
      <w:spacing w:before="240" w:after="60" w:line="240" w:lineRule="auto"/>
      <w:jc w:val="center"/>
    </w:pPr>
    <w:rPr>
      <w:rFonts w:ascii="Arial" w:hAnsi="Arial" w:cs="Arial"/>
      <w:b/>
      <w:bCs/>
      <w:kern w:val="28"/>
      <w:sz w:val="32"/>
      <w:szCs w:val="32"/>
    </w:rPr>
  </w:style>
  <w:style w:type="character" w:customStyle="1" w:styleId="TitleChar">
    <w:name w:val="Title Char"/>
    <w:basedOn w:val="DefaultParagraphFont"/>
    <w:link w:val="Title"/>
    <w:uiPriority w:val="99"/>
    <w:rsid w:val="00ED7E20"/>
    <w:rPr>
      <w:rFonts w:ascii="Arial" w:eastAsia="Times New Roman" w:hAnsi="Arial" w:cs="Arial"/>
      <w:b/>
      <w:bCs/>
      <w:kern w:val="28"/>
      <w:sz w:val="32"/>
      <w:szCs w:val="32"/>
    </w:rPr>
  </w:style>
  <w:style w:type="paragraph" w:styleId="Subtitle">
    <w:name w:val="Subtitle"/>
    <w:basedOn w:val="Normal"/>
    <w:link w:val="SubtitleChar"/>
    <w:uiPriority w:val="99"/>
    <w:qFormat/>
    <w:rsid w:val="00ED7E20"/>
    <w:pPr>
      <w:widowControl w:val="0"/>
      <w:spacing w:after="60" w:line="240" w:lineRule="auto"/>
      <w:jc w:val="center"/>
    </w:pPr>
    <w:rPr>
      <w:rFonts w:ascii="Arial" w:hAnsi="Arial" w:cs="Arial"/>
      <w:i/>
      <w:iCs/>
      <w:sz w:val="24"/>
      <w:szCs w:val="24"/>
    </w:rPr>
  </w:style>
  <w:style w:type="character" w:customStyle="1" w:styleId="SubtitleChar">
    <w:name w:val="Subtitle Char"/>
    <w:basedOn w:val="DefaultParagraphFont"/>
    <w:link w:val="Subtitle"/>
    <w:uiPriority w:val="99"/>
    <w:rsid w:val="00ED7E20"/>
    <w:rPr>
      <w:rFonts w:ascii="Arial" w:eastAsia="Times New Roman" w:hAnsi="Arial" w:cs="Arial"/>
      <w:i/>
      <w:iCs/>
      <w:sz w:val="24"/>
      <w:szCs w:val="24"/>
    </w:rPr>
  </w:style>
  <w:style w:type="character" w:styleId="Strong">
    <w:name w:val="Strong"/>
    <w:basedOn w:val="DefaultParagraphFont"/>
    <w:uiPriority w:val="22"/>
    <w:qFormat/>
    <w:rsid w:val="00ED7E20"/>
    <w:rPr>
      <w:rFonts w:cs="Times New Roman"/>
      <w:b/>
      <w:bCs/>
    </w:rPr>
  </w:style>
  <w:style w:type="character" w:customStyle="1" w:styleId="DeltaViewInsertion">
    <w:name w:val="DeltaView Insertion"/>
    <w:uiPriority w:val="99"/>
    <w:rsid w:val="00ED7E20"/>
    <w:rPr>
      <w:color w:val="0000FF"/>
      <w:spacing w:val="0"/>
      <w:u w:val="double"/>
    </w:rPr>
  </w:style>
  <w:style w:type="paragraph" w:styleId="ListBullet">
    <w:name w:val="List Bullet"/>
    <w:basedOn w:val="Normal"/>
    <w:autoRedefine/>
    <w:uiPriority w:val="99"/>
    <w:rsid w:val="00ED7E20"/>
    <w:pPr>
      <w:spacing w:after="0" w:line="240" w:lineRule="auto"/>
      <w:ind w:left="1080" w:hanging="540"/>
    </w:pPr>
    <w:rPr>
      <w:rFonts w:ascii="Times New Roman" w:hAnsi="Times New Roman"/>
      <w:sz w:val="24"/>
      <w:szCs w:val="20"/>
    </w:rPr>
  </w:style>
  <w:style w:type="paragraph" w:styleId="ListBullet2">
    <w:name w:val="List Bullet 2"/>
    <w:basedOn w:val="Normal"/>
    <w:autoRedefine/>
    <w:uiPriority w:val="99"/>
    <w:rsid w:val="00ED7E20"/>
    <w:pPr>
      <w:tabs>
        <w:tab w:val="num" w:pos="720"/>
      </w:tabs>
      <w:spacing w:after="0" w:line="240" w:lineRule="auto"/>
      <w:ind w:left="720" w:hanging="360"/>
    </w:pPr>
    <w:rPr>
      <w:rFonts w:ascii="Times New Roman" w:hAnsi="Times New Roman"/>
      <w:sz w:val="24"/>
      <w:szCs w:val="20"/>
    </w:rPr>
  </w:style>
  <w:style w:type="paragraph" w:styleId="ListBullet3">
    <w:name w:val="List Bullet 3"/>
    <w:basedOn w:val="Normal"/>
    <w:autoRedefine/>
    <w:uiPriority w:val="99"/>
    <w:rsid w:val="00ED7E20"/>
    <w:pPr>
      <w:tabs>
        <w:tab w:val="num" w:pos="1080"/>
      </w:tabs>
      <w:spacing w:after="0" w:line="240" w:lineRule="auto"/>
      <w:ind w:left="1080" w:hanging="360"/>
    </w:pPr>
    <w:rPr>
      <w:rFonts w:ascii="Times New Roman" w:hAnsi="Times New Roman"/>
      <w:sz w:val="24"/>
      <w:szCs w:val="20"/>
    </w:rPr>
  </w:style>
  <w:style w:type="paragraph" w:styleId="ListBullet4">
    <w:name w:val="List Bullet 4"/>
    <w:basedOn w:val="Normal"/>
    <w:autoRedefine/>
    <w:uiPriority w:val="99"/>
    <w:rsid w:val="00ED7E20"/>
    <w:pPr>
      <w:tabs>
        <w:tab w:val="num" w:pos="1440"/>
      </w:tabs>
      <w:spacing w:after="0" w:line="240" w:lineRule="auto"/>
      <w:ind w:left="1440" w:hanging="360"/>
    </w:pPr>
    <w:rPr>
      <w:rFonts w:ascii="Times New Roman" w:hAnsi="Times New Roman"/>
      <w:sz w:val="24"/>
      <w:szCs w:val="20"/>
    </w:rPr>
  </w:style>
  <w:style w:type="paragraph" w:styleId="ListBullet5">
    <w:name w:val="List Bullet 5"/>
    <w:basedOn w:val="Normal"/>
    <w:autoRedefine/>
    <w:uiPriority w:val="99"/>
    <w:rsid w:val="00ED7E20"/>
    <w:pPr>
      <w:tabs>
        <w:tab w:val="num" w:pos="1800"/>
      </w:tabs>
      <w:spacing w:after="0" w:line="240" w:lineRule="auto"/>
      <w:ind w:left="1800" w:hanging="360"/>
    </w:pPr>
    <w:rPr>
      <w:rFonts w:ascii="Times New Roman" w:hAnsi="Times New Roman"/>
      <w:sz w:val="24"/>
      <w:szCs w:val="20"/>
    </w:rPr>
  </w:style>
  <w:style w:type="paragraph" w:styleId="ListNumber">
    <w:name w:val="List Number"/>
    <w:basedOn w:val="Normal"/>
    <w:uiPriority w:val="99"/>
    <w:rsid w:val="00ED7E20"/>
    <w:pPr>
      <w:tabs>
        <w:tab w:val="num" w:pos="360"/>
      </w:tabs>
      <w:spacing w:after="0" w:line="240" w:lineRule="auto"/>
      <w:ind w:left="360" w:hanging="360"/>
    </w:pPr>
    <w:rPr>
      <w:rFonts w:ascii="Times New Roman" w:hAnsi="Times New Roman"/>
      <w:sz w:val="24"/>
      <w:szCs w:val="20"/>
    </w:rPr>
  </w:style>
  <w:style w:type="paragraph" w:styleId="ListNumber2">
    <w:name w:val="List Number 2"/>
    <w:basedOn w:val="Normal"/>
    <w:uiPriority w:val="99"/>
    <w:rsid w:val="00ED7E20"/>
    <w:pPr>
      <w:tabs>
        <w:tab w:val="num" w:pos="720"/>
      </w:tabs>
      <w:spacing w:after="0" w:line="240" w:lineRule="auto"/>
      <w:ind w:left="720" w:hanging="360"/>
    </w:pPr>
    <w:rPr>
      <w:rFonts w:ascii="Times New Roman" w:hAnsi="Times New Roman"/>
      <w:sz w:val="24"/>
      <w:szCs w:val="20"/>
    </w:rPr>
  </w:style>
  <w:style w:type="paragraph" w:styleId="ListNumber3">
    <w:name w:val="List Number 3"/>
    <w:basedOn w:val="Normal"/>
    <w:uiPriority w:val="99"/>
    <w:rsid w:val="00ED7E20"/>
    <w:pPr>
      <w:tabs>
        <w:tab w:val="num" w:pos="1080"/>
      </w:tabs>
      <w:spacing w:after="0" w:line="240" w:lineRule="auto"/>
      <w:ind w:left="1080" w:hanging="360"/>
    </w:pPr>
    <w:rPr>
      <w:rFonts w:ascii="Times New Roman" w:hAnsi="Times New Roman"/>
      <w:sz w:val="24"/>
      <w:szCs w:val="20"/>
    </w:rPr>
  </w:style>
  <w:style w:type="paragraph" w:styleId="ListNumber4">
    <w:name w:val="List Number 4"/>
    <w:basedOn w:val="Normal"/>
    <w:uiPriority w:val="99"/>
    <w:rsid w:val="00ED7E20"/>
    <w:pPr>
      <w:tabs>
        <w:tab w:val="num" w:pos="1440"/>
      </w:tabs>
      <w:spacing w:after="0" w:line="240" w:lineRule="auto"/>
      <w:ind w:left="1440" w:hanging="360"/>
    </w:pPr>
    <w:rPr>
      <w:rFonts w:ascii="Times New Roman" w:hAnsi="Times New Roman"/>
      <w:sz w:val="24"/>
      <w:szCs w:val="20"/>
    </w:rPr>
  </w:style>
  <w:style w:type="paragraph" w:styleId="ListNumber5">
    <w:name w:val="List Number 5"/>
    <w:basedOn w:val="Normal"/>
    <w:uiPriority w:val="99"/>
    <w:rsid w:val="00ED7E20"/>
    <w:pPr>
      <w:tabs>
        <w:tab w:val="num" w:pos="1800"/>
      </w:tabs>
      <w:spacing w:after="0" w:line="240" w:lineRule="auto"/>
      <w:ind w:left="1800" w:hanging="360"/>
    </w:pPr>
    <w:rPr>
      <w:rFonts w:ascii="Times New Roman" w:hAnsi="Times New Roman"/>
      <w:sz w:val="24"/>
      <w:szCs w:val="20"/>
    </w:rPr>
  </w:style>
  <w:style w:type="paragraph" w:styleId="BodyTextIndent">
    <w:name w:val="Body Text Indent"/>
    <w:basedOn w:val="Normal"/>
    <w:link w:val="BodyTextIndentChar"/>
    <w:uiPriority w:val="99"/>
    <w:rsid w:val="00ED7E20"/>
    <w:pPr>
      <w:tabs>
        <w:tab w:val="left" w:pos="720"/>
        <w:tab w:val="left" w:pos="1428"/>
        <w:tab w:val="left" w:pos="4716"/>
        <w:tab w:val="left" w:pos="4896"/>
        <w:tab w:val="left" w:pos="6718"/>
      </w:tabs>
      <w:suppressAutoHyphens/>
      <w:spacing w:after="0" w:line="240" w:lineRule="auto"/>
      <w:ind w:left="990"/>
    </w:pPr>
    <w:rPr>
      <w:rFonts w:ascii="Times New Roman" w:hAnsi="Times New Roman"/>
      <w:sz w:val="20"/>
      <w:szCs w:val="20"/>
    </w:rPr>
  </w:style>
  <w:style w:type="character" w:customStyle="1" w:styleId="BodyTextIndentChar">
    <w:name w:val="Body Text Indent Char"/>
    <w:basedOn w:val="DefaultParagraphFont"/>
    <w:link w:val="BodyTextIndent"/>
    <w:uiPriority w:val="99"/>
    <w:rsid w:val="00ED7E20"/>
    <w:rPr>
      <w:rFonts w:ascii="Times New Roman" w:eastAsia="Times New Roman" w:hAnsi="Times New Roman"/>
    </w:rPr>
  </w:style>
  <w:style w:type="paragraph" w:styleId="BodyText2">
    <w:name w:val="Body Text 2"/>
    <w:basedOn w:val="Normal"/>
    <w:link w:val="BodyText2Char"/>
    <w:uiPriority w:val="99"/>
    <w:rsid w:val="00ED7E20"/>
    <w:pPr>
      <w:spacing w:after="0" w:line="240" w:lineRule="auto"/>
      <w:jc w:val="center"/>
    </w:pPr>
    <w:rPr>
      <w:rFonts w:ascii="Times New Roman" w:hAnsi="Times New Roman"/>
      <w:color w:val="000000"/>
      <w:sz w:val="24"/>
      <w:szCs w:val="20"/>
    </w:rPr>
  </w:style>
  <w:style w:type="character" w:customStyle="1" w:styleId="BodyText2Char">
    <w:name w:val="Body Text 2 Char"/>
    <w:basedOn w:val="DefaultParagraphFont"/>
    <w:link w:val="BodyText2"/>
    <w:uiPriority w:val="99"/>
    <w:rsid w:val="00ED7E20"/>
    <w:rPr>
      <w:rFonts w:ascii="Times New Roman" w:eastAsia="Times New Roman" w:hAnsi="Times New Roman"/>
      <w:color w:val="000000"/>
      <w:sz w:val="24"/>
    </w:rPr>
  </w:style>
  <w:style w:type="paragraph" w:styleId="BodyTextIndent2">
    <w:name w:val="Body Text Indent 2"/>
    <w:basedOn w:val="Normal"/>
    <w:link w:val="BodyTextIndent2Char"/>
    <w:uiPriority w:val="99"/>
    <w:rsid w:val="00ED7E20"/>
    <w:pPr>
      <w:spacing w:after="120" w:line="480" w:lineRule="auto"/>
      <w:ind w:left="360"/>
    </w:pPr>
    <w:rPr>
      <w:rFonts w:ascii="Times New Roman" w:hAnsi="Times New Roman"/>
      <w:sz w:val="24"/>
      <w:szCs w:val="20"/>
    </w:rPr>
  </w:style>
  <w:style w:type="character" w:customStyle="1" w:styleId="BodyTextIndent2Char">
    <w:name w:val="Body Text Indent 2 Char"/>
    <w:basedOn w:val="DefaultParagraphFont"/>
    <w:link w:val="BodyTextIndent2"/>
    <w:uiPriority w:val="99"/>
    <w:rsid w:val="00ED7E20"/>
    <w:rPr>
      <w:rFonts w:ascii="Times New Roman" w:eastAsia="Times New Roman" w:hAnsi="Times New Roman"/>
      <w:sz w:val="24"/>
    </w:rPr>
  </w:style>
  <w:style w:type="paragraph" w:styleId="BodyTextIndent3">
    <w:name w:val="Body Text Indent 3"/>
    <w:basedOn w:val="Normal"/>
    <w:link w:val="BodyTextIndent3Char"/>
    <w:uiPriority w:val="99"/>
    <w:rsid w:val="00ED7E20"/>
    <w:pPr>
      <w:spacing w:after="120" w:line="240" w:lineRule="auto"/>
      <w:ind w:left="360"/>
    </w:pPr>
    <w:rPr>
      <w:rFonts w:ascii="Times New Roman" w:hAnsi="Times New Roman"/>
      <w:sz w:val="16"/>
      <w:szCs w:val="16"/>
    </w:rPr>
  </w:style>
  <w:style w:type="character" w:customStyle="1" w:styleId="BodyTextIndent3Char">
    <w:name w:val="Body Text Indent 3 Char"/>
    <w:basedOn w:val="DefaultParagraphFont"/>
    <w:link w:val="BodyTextIndent3"/>
    <w:uiPriority w:val="99"/>
    <w:rsid w:val="00ED7E20"/>
    <w:rPr>
      <w:rFonts w:ascii="Times New Roman" w:eastAsia="Times New Roman" w:hAnsi="Times New Roman"/>
      <w:sz w:val="16"/>
      <w:szCs w:val="16"/>
    </w:rPr>
  </w:style>
  <w:style w:type="paragraph" w:customStyle="1" w:styleId="Style1">
    <w:name w:val="Style1"/>
    <w:basedOn w:val="Normal"/>
    <w:link w:val="Style1Char"/>
    <w:uiPriority w:val="99"/>
    <w:rsid w:val="00ED7E20"/>
    <w:pPr>
      <w:keepNext/>
      <w:autoSpaceDE w:val="0"/>
      <w:autoSpaceDN w:val="0"/>
      <w:adjustRightInd w:val="0"/>
      <w:spacing w:after="0" w:line="240" w:lineRule="auto"/>
    </w:pPr>
    <w:rPr>
      <w:rFonts w:ascii="Times New Roman" w:hAnsi="Times New Roman"/>
      <w:b/>
      <w:bCs/>
      <w:color w:val="000080"/>
      <w:sz w:val="24"/>
      <w:szCs w:val="24"/>
    </w:rPr>
  </w:style>
  <w:style w:type="paragraph" w:customStyle="1" w:styleId="Style2">
    <w:name w:val="Style2"/>
    <w:basedOn w:val="Normal"/>
    <w:link w:val="Style2Char"/>
    <w:rsid w:val="00ED7E20"/>
    <w:pPr>
      <w:spacing w:after="0" w:line="240" w:lineRule="auto"/>
      <w:ind w:left="540" w:hanging="540"/>
    </w:pPr>
    <w:rPr>
      <w:rFonts w:ascii="Times New Roman" w:hAnsi="Times New Roman"/>
      <w:sz w:val="24"/>
      <w:szCs w:val="24"/>
    </w:rPr>
  </w:style>
  <w:style w:type="character" w:customStyle="1" w:styleId="Style1Char">
    <w:name w:val="Style1 Char"/>
    <w:basedOn w:val="DefaultParagraphFont"/>
    <w:link w:val="Style1"/>
    <w:uiPriority w:val="99"/>
    <w:rsid w:val="00ED7E20"/>
    <w:rPr>
      <w:rFonts w:ascii="Times New Roman" w:eastAsia="Times New Roman" w:hAnsi="Times New Roman"/>
      <w:b/>
      <w:bCs/>
      <w:color w:val="000080"/>
      <w:sz w:val="24"/>
      <w:szCs w:val="24"/>
    </w:rPr>
  </w:style>
  <w:style w:type="paragraph" w:customStyle="1" w:styleId="paragraphtitle">
    <w:name w:val="paragraph title"/>
    <w:basedOn w:val="Normal"/>
    <w:link w:val="paragraphtitleChar"/>
    <w:uiPriority w:val="99"/>
    <w:qFormat/>
    <w:rsid w:val="00ED7E20"/>
    <w:pPr>
      <w:keepNext/>
      <w:autoSpaceDE w:val="0"/>
      <w:autoSpaceDN w:val="0"/>
      <w:adjustRightInd w:val="0"/>
      <w:spacing w:after="0" w:line="240" w:lineRule="auto"/>
    </w:pPr>
    <w:rPr>
      <w:rFonts w:ascii="Times New Roman" w:hAnsi="Times New Roman"/>
      <w:b/>
      <w:bCs/>
      <w:color w:val="000080"/>
      <w:sz w:val="24"/>
      <w:szCs w:val="24"/>
    </w:rPr>
  </w:style>
  <w:style w:type="character" w:customStyle="1" w:styleId="Style2Char">
    <w:name w:val="Style2 Char"/>
    <w:basedOn w:val="DefaultParagraphFont"/>
    <w:link w:val="Style2"/>
    <w:rsid w:val="00ED7E20"/>
    <w:rPr>
      <w:rFonts w:ascii="Times New Roman" w:eastAsia="Times New Roman" w:hAnsi="Times New Roman"/>
      <w:sz w:val="24"/>
      <w:szCs w:val="24"/>
    </w:rPr>
  </w:style>
  <w:style w:type="character" w:customStyle="1" w:styleId="paragraphtitleChar">
    <w:name w:val="paragraph title Char"/>
    <w:basedOn w:val="DefaultParagraphFont"/>
    <w:link w:val="paragraphtitle"/>
    <w:uiPriority w:val="99"/>
    <w:rsid w:val="00ED7E20"/>
    <w:rPr>
      <w:rFonts w:ascii="Times New Roman" w:eastAsia="Times New Roman" w:hAnsi="Times New Roman"/>
      <w:b/>
      <w:bCs/>
      <w:color w:val="000080"/>
      <w:sz w:val="24"/>
      <w:szCs w:val="24"/>
    </w:rPr>
  </w:style>
  <w:style w:type="paragraph" w:customStyle="1" w:styleId="Default">
    <w:name w:val="Default"/>
    <w:rsid w:val="00ED7E20"/>
    <w:pPr>
      <w:autoSpaceDE w:val="0"/>
      <w:autoSpaceDN w:val="0"/>
      <w:adjustRightInd w:val="0"/>
    </w:pPr>
    <w:rPr>
      <w:rFonts w:ascii="Times New Roman" w:eastAsia="Times New Roman" w:hAnsi="Times New Roman"/>
      <w:color w:val="000000"/>
      <w:sz w:val="24"/>
      <w:szCs w:val="24"/>
    </w:rPr>
  </w:style>
  <w:style w:type="paragraph" w:customStyle="1" w:styleId="Chapter">
    <w:name w:val="Chapter"/>
    <w:basedOn w:val="Normal"/>
    <w:link w:val="ChapterChar"/>
    <w:qFormat/>
    <w:rsid w:val="00ED7E20"/>
    <w:pPr>
      <w:autoSpaceDE w:val="0"/>
      <w:autoSpaceDN w:val="0"/>
      <w:adjustRightInd w:val="0"/>
      <w:spacing w:after="0" w:line="240" w:lineRule="auto"/>
      <w:jc w:val="center"/>
    </w:pPr>
    <w:rPr>
      <w:rFonts w:ascii="Times New Roman" w:hAnsi="Times New Roman"/>
      <w:b/>
      <w:bCs/>
      <w:color w:val="000080"/>
      <w:sz w:val="28"/>
      <w:szCs w:val="28"/>
    </w:rPr>
  </w:style>
  <w:style w:type="numbering" w:customStyle="1" w:styleId="ECS">
    <w:name w:val="ECS"/>
    <w:uiPriority w:val="99"/>
    <w:rsid w:val="00ED7E20"/>
    <w:pPr>
      <w:numPr>
        <w:numId w:val="22"/>
      </w:numPr>
    </w:pPr>
  </w:style>
  <w:style w:type="character" w:customStyle="1" w:styleId="ChapterChar">
    <w:name w:val="Chapter Char"/>
    <w:basedOn w:val="DefaultParagraphFont"/>
    <w:link w:val="Chapter"/>
    <w:rsid w:val="00ED7E20"/>
    <w:rPr>
      <w:rFonts w:ascii="Times New Roman" w:eastAsia="Times New Roman" w:hAnsi="Times New Roman"/>
      <w:b/>
      <w:bCs/>
      <w:color w:val="000080"/>
      <w:sz w:val="28"/>
      <w:szCs w:val="28"/>
    </w:rPr>
  </w:style>
  <w:style w:type="paragraph" w:styleId="Caption">
    <w:name w:val="caption"/>
    <w:basedOn w:val="Normal"/>
    <w:next w:val="Normal"/>
    <w:unhideWhenUsed/>
    <w:qFormat/>
    <w:rsid w:val="00ED7E20"/>
    <w:pPr>
      <w:spacing w:after="0" w:line="240" w:lineRule="auto"/>
    </w:pPr>
    <w:rPr>
      <w:rFonts w:ascii="Times New Roman" w:hAnsi="Times New Roman"/>
      <w:b/>
      <w:bCs/>
      <w:sz w:val="20"/>
      <w:szCs w:val="20"/>
    </w:rPr>
  </w:style>
  <w:style w:type="numbering" w:customStyle="1" w:styleId="Style3">
    <w:name w:val="Style3"/>
    <w:uiPriority w:val="99"/>
    <w:rsid w:val="00ED7E20"/>
    <w:pPr>
      <w:numPr>
        <w:numId w:val="23"/>
      </w:numPr>
    </w:pPr>
  </w:style>
  <w:style w:type="paragraph" w:customStyle="1" w:styleId="Style4">
    <w:name w:val="Style4"/>
    <w:basedOn w:val="Normal"/>
    <w:link w:val="Style4Char"/>
    <w:qFormat/>
    <w:rsid w:val="00ED7E20"/>
    <w:pPr>
      <w:tabs>
        <w:tab w:val="left" w:pos="360"/>
      </w:tabs>
      <w:spacing w:after="0" w:line="240" w:lineRule="auto"/>
    </w:pPr>
    <w:rPr>
      <w:rFonts w:ascii="Times New Roman" w:hAnsi="Times New Roman"/>
      <w:b/>
      <w:color w:val="CC0000"/>
      <w:sz w:val="24"/>
      <w:szCs w:val="24"/>
      <w:u w:val="single"/>
    </w:rPr>
  </w:style>
  <w:style w:type="character" w:customStyle="1" w:styleId="Style4Char">
    <w:name w:val="Style4 Char"/>
    <w:basedOn w:val="DefaultParagraphFont"/>
    <w:link w:val="Style4"/>
    <w:rsid w:val="00ED7E20"/>
    <w:rPr>
      <w:rFonts w:ascii="Times New Roman" w:eastAsia="Times New Roman" w:hAnsi="Times New Roman"/>
      <w:b/>
      <w:color w:val="CC0000"/>
      <w:sz w:val="24"/>
      <w:szCs w:val="24"/>
      <w:u w:val="single"/>
    </w:rPr>
  </w:style>
  <w:style w:type="character" w:customStyle="1" w:styleId="Style3Char">
    <w:name w:val="Style3 Char"/>
    <w:basedOn w:val="DefaultParagraphFont"/>
    <w:uiPriority w:val="99"/>
    <w:locked/>
    <w:rsid w:val="00ED7E20"/>
    <w:rPr>
      <w:rFonts w:cs="Times New Roman"/>
      <w:sz w:val="24"/>
      <w:szCs w:val="24"/>
    </w:rPr>
  </w:style>
  <w:style w:type="paragraph" w:customStyle="1" w:styleId="default0">
    <w:name w:val="default"/>
    <w:basedOn w:val="Normal"/>
    <w:uiPriority w:val="99"/>
    <w:rsid w:val="00ED7E20"/>
    <w:pPr>
      <w:autoSpaceDE w:val="0"/>
      <w:autoSpaceDN w:val="0"/>
      <w:spacing w:after="0" w:line="240" w:lineRule="auto"/>
    </w:pPr>
    <w:rPr>
      <w:rFonts w:ascii="Times New Roman" w:hAnsi="Times New Roman"/>
      <w:color w:val="000000"/>
      <w:sz w:val="24"/>
      <w:szCs w:val="24"/>
    </w:rPr>
  </w:style>
  <w:style w:type="paragraph" w:styleId="TOC4">
    <w:name w:val="toc 4"/>
    <w:basedOn w:val="Normal"/>
    <w:next w:val="Normal"/>
    <w:autoRedefine/>
    <w:uiPriority w:val="39"/>
    <w:unhideWhenUsed/>
    <w:rsid w:val="008A56A3"/>
    <w:pPr>
      <w:spacing w:after="100"/>
      <w:ind w:left="660"/>
    </w:pPr>
  </w:style>
  <w:style w:type="paragraph" w:styleId="TOC5">
    <w:name w:val="toc 5"/>
    <w:basedOn w:val="Normal"/>
    <w:next w:val="Normal"/>
    <w:autoRedefine/>
    <w:uiPriority w:val="39"/>
    <w:unhideWhenUsed/>
    <w:rsid w:val="008A56A3"/>
    <w:pPr>
      <w:spacing w:after="100"/>
      <w:ind w:left="880"/>
    </w:pPr>
  </w:style>
  <w:style w:type="paragraph" w:styleId="TOC6">
    <w:name w:val="toc 6"/>
    <w:basedOn w:val="Normal"/>
    <w:next w:val="Normal"/>
    <w:autoRedefine/>
    <w:uiPriority w:val="39"/>
    <w:unhideWhenUsed/>
    <w:rsid w:val="008A56A3"/>
    <w:pPr>
      <w:spacing w:after="100"/>
      <w:ind w:left="1100"/>
    </w:pPr>
  </w:style>
  <w:style w:type="paragraph" w:styleId="TOC7">
    <w:name w:val="toc 7"/>
    <w:basedOn w:val="Normal"/>
    <w:next w:val="Normal"/>
    <w:autoRedefine/>
    <w:uiPriority w:val="39"/>
    <w:unhideWhenUsed/>
    <w:rsid w:val="008A56A3"/>
    <w:pPr>
      <w:spacing w:after="100"/>
      <w:ind w:left="1320"/>
    </w:pPr>
  </w:style>
  <w:style w:type="paragraph" w:styleId="TOC8">
    <w:name w:val="toc 8"/>
    <w:basedOn w:val="Normal"/>
    <w:next w:val="Normal"/>
    <w:autoRedefine/>
    <w:uiPriority w:val="39"/>
    <w:unhideWhenUsed/>
    <w:rsid w:val="008A56A3"/>
    <w:pPr>
      <w:spacing w:after="100"/>
      <w:ind w:left="1540"/>
    </w:pPr>
  </w:style>
  <w:style w:type="paragraph" w:styleId="TOC9">
    <w:name w:val="toc 9"/>
    <w:basedOn w:val="Normal"/>
    <w:next w:val="Normal"/>
    <w:autoRedefine/>
    <w:uiPriority w:val="39"/>
    <w:unhideWhenUsed/>
    <w:rsid w:val="008A56A3"/>
    <w:pPr>
      <w:spacing w:after="100"/>
      <w:ind w:left="1760"/>
    </w:pPr>
  </w:style>
  <w:style w:type="character" w:styleId="Emphasis">
    <w:name w:val="Emphasis"/>
    <w:basedOn w:val="DefaultParagraphFont"/>
    <w:uiPriority w:val="20"/>
    <w:qFormat/>
    <w:rsid w:val="001E4E6E"/>
    <w:rPr>
      <w:i/>
      <w:iCs/>
    </w:rPr>
  </w:style>
  <w:style w:type="paragraph" w:styleId="EndnoteText">
    <w:name w:val="endnote text"/>
    <w:basedOn w:val="Normal"/>
    <w:link w:val="EndnoteTextChar"/>
    <w:uiPriority w:val="99"/>
    <w:semiHidden/>
    <w:unhideWhenUsed/>
    <w:rsid w:val="00C70AFF"/>
    <w:pPr>
      <w:spacing w:after="0" w:line="240" w:lineRule="auto"/>
    </w:pPr>
    <w:rPr>
      <w:sz w:val="20"/>
      <w:szCs w:val="20"/>
    </w:rPr>
  </w:style>
  <w:style w:type="character" w:customStyle="1" w:styleId="EndnoteTextChar">
    <w:name w:val="Endnote Text Char"/>
    <w:basedOn w:val="DefaultParagraphFont"/>
    <w:link w:val="EndnoteText"/>
    <w:uiPriority w:val="99"/>
    <w:semiHidden/>
    <w:rsid w:val="00C70AFF"/>
    <w:rPr>
      <w:rFonts w:eastAsia="Times New Roman"/>
    </w:rPr>
  </w:style>
  <w:style w:type="character" w:styleId="EndnoteReference">
    <w:name w:val="endnote reference"/>
    <w:basedOn w:val="DefaultParagraphFont"/>
    <w:uiPriority w:val="99"/>
    <w:semiHidden/>
    <w:unhideWhenUsed/>
    <w:rsid w:val="00C70AFF"/>
    <w:rPr>
      <w:vertAlign w:val="superscript"/>
    </w:rPr>
  </w:style>
  <w:style w:type="table" w:customStyle="1" w:styleId="LightShading1">
    <w:name w:val="Light Shading1"/>
    <w:basedOn w:val="TableNormal"/>
    <w:uiPriority w:val="60"/>
    <w:rsid w:val="00CA0445"/>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4">
    <w:name w:val="Light Shading Accent 4"/>
    <w:basedOn w:val="TableNormal"/>
    <w:uiPriority w:val="60"/>
    <w:rsid w:val="00CA0445"/>
    <w:rPr>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LightShading-Accent3">
    <w:name w:val="Light Shading Accent 3"/>
    <w:basedOn w:val="TableNormal"/>
    <w:uiPriority w:val="60"/>
    <w:rsid w:val="00CA0445"/>
    <w:rPr>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LightShading-Accent2">
    <w:name w:val="Light Shading Accent 2"/>
    <w:basedOn w:val="TableNormal"/>
    <w:uiPriority w:val="60"/>
    <w:rsid w:val="00CA0445"/>
    <w:rPr>
      <w:color w:val="943634"/>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11">
    <w:name w:val="Light Shading - Accent 11"/>
    <w:basedOn w:val="TableNormal"/>
    <w:uiPriority w:val="60"/>
    <w:rsid w:val="00CA0445"/>
    <w:rPr>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MediumShading11">
    <w:name w:val="Medium Shading 11"/>
    <w:basedOn w:val="TableNormal"/>
    <w:uiPriority w:val="63"/>
    <w:rsid w:val="00CA0445"/>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MediumShading1-Accent11">
    <w:name w:val="Medium Shading 1 - Accent 11"/>
    <w:basedOn w:val="TableNormal"/>
    <w:uiPriority w:val="63"/>
    <w:rsid w:val="00CA0445"/>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BBBodyTextFlush">
    <w:name w:val="BB Body Text Flush"/>
    <w:basedOn w:val="Normal"/>
    <w:qFormat/>
    <w:rsid w:val="000D7D0F"/>
    <w:pPr>
      <w:spacing w:after="240" w:line="240" w:lineRule="auto"/>
      <w:jc w:val="both"/>
    </w:pPr>
    <w:rPr>
      <w:rFonts w:ascii="Times New Roman" w:eastAsia="Calibri" w:hAnsi="Times New Roman"/>
      <w:sz w:val="24"/>
      <w:szCs w:val="24"/>
    </w:rPr>
  </w:style>
  <w:style w:type="character" w:customStyle="1" w:styleId="ssens">
    <w:name w:val="ssens"/>
    <w:basedOn w:val="DefaultParagraphFont"/>
    <w:rsid w:val="002F2289"/>
  </w:style>
</w:styles>
</file>

<file path=word/webSettings.xml><?xml version="1.0" encoding="utf-8"?>
<w:webSettings xmlns:r="http://schemas.openxmlformats.org/officeDocument/2006/relationships" xmlns:w="http://schemas.openxmlformats.org/wordprocessingml/2006/main">
  <w:divs>
    <w:div w:id="2706524">
      <w:bodyDiv w:val="1"/>
      <w:marLeft w:val="0"/>
      <w:marRight w:val="0"/>
      <w:marTop w:val="0"/>
      <w:marBottom w:val="0"/>
      <w:divBdr>
        <w:top w:val="none" w:sz="0" w:space="0" w:color="auto"/>
        <w:left w:val="none" w:sz="0" w:space="0" w:color="auto"/>
        <w:bottom w:val="none" w:sz="0" w:space="0" w:color="auto"/>
        <w:right w:val="none" w:sz="0" w:space="0" w:color="auto"/>
      </w:divBdr>
    </w:div>
    <w:div w:id="64767457">
      <w:bodyDiv w:val="1"/>
      <w:marLeft w:val="0"/>
      <w:marRight w:val="0"/>
      <w:marTop w:val="0"/>
      <w:marBottom w:val="0"/>
      <w:divBdr>
        <w:top w:val="none" w:sz="0" w:space="0" w:color="auto"/>
        <w:left w:val="none" w:sz="0" w:space="0" w:color="auto"/>
        <w:bottom w:val="none" w:sz="0" w:space="0" w:color="auto"/>
        <w:right w:val="none" w:sz="0" w:space="0" w:color="auto"/>
      </w:divBdr>
    </w:div>
    <w:div w:id="73168116">
      <w:bodyDiv w:val="1"/>
      <w:marLeft w:val="0"/>
      <w:marRight w:val="0"/>
      <w:marTop w:val="0"/>
      <w:marBottom w:val="0"/>
      <w:divBdr>
        <w:top w:val="none" w:sz="0" w:space="0" w:color="auto"/>
        <w:left w:val="none" w:sz="0" w:space="0" w:color="auto"/>
        <w:bottom w:val="none" w:sz="0" w:space="0" w:color="auto"/>
        <w:right w:val="none" w:sz="0" w:space="0" w:color="auto"/>
      </w:divBdr>
    </w:div>
    <w:div w:id="76443415">
      <w:bodyDiv w:val="1"/>
      <w:marLeft w:val="0"/>
      <w:marRight w:val="0"/>
      <w:marTop w:val="0"/>
      <w:marBottom w:val="0"/>
      <w:divBdr>
        <w:top w:val="none" w:sz="0" w:space="0" w:color="auto"/>
        <w:left w:val="none" w:sz="0" w:space="0" w:color="auto"/>
        <w:bottom w:val="none" w:sz="0" w:space="0" w:color="auto"/>
        <w:right w:val="none" w:sz="0" w:space="0" w:color="auto"/>
      </w:divBdr>
    </w:div>
    <w:div w:id="120078360">
      <w:bodyDiv w:val="1"/>
      <w:marLeft w:val="0"/>
      <w:marRight w:val="0"/>
      <w:marTop w:val="0"/>
      <w:marBottom w:val="0"/>
      <w:divBdr>
        <w:top w:val="none" w:sz="0" w:space="0" w:color="auto"/>
        <w:left w:val="none" w:sz="0" w:space="0" w:color="auto"/>
        <w:bottom w:val="none" w:sz="0" w:space="0" w:color="auto"/>
        <w:right w:val="none" w:sz="0" w:space="0" w:color="auto"/>
      </w:divBdr>
    </w:div>
    <w:div w:id="148249233">
      <w:bodyDiv w:val="1"/>
      <w:marLeft w:val="0"/>
      <w:marRight w:val="0"/>
      <w:marTop w:val="0"/>
      <w:marBottom w:val="0"/>
      <w:divBdr>
        <w:top w:val="none" w:sz="0" w:space="0" w:color="auto"/>
        <w:left w:val="none" w:sz="0" w:space="0" w:color="auto"/>
        <w:bottom w:val="none" w:sz="0" w:space="0" w:color="auto"/>
        <w:right w:val="none" w:sz="0" w:space="0" w:color="auto"/>
      </w:divBdr>
    </w:div>
    <w:div w:id="351301605">
      <w:bodyDiv w:val="1"/>
      <w:marLeft w:val="0"/>
      <w:marRight w:val="0"/>
      <w:marTop w:val="0"/>
      <w:marBottom w:val="0"/>
      <w:divBdr>
        <w:top w:val="none" w:sz="0" w:space="0" w:color="auto"/>
        <w:left w:val="none" w:sz="0" w:space="0" w:color="auto"/>
        <w:bottom w:val="none" w:sz="0" w:space="0" w:color="auto"/>
        <w:right w:val="none" w:sz="0" w:space="0" w:color="auto"/>
      </w:divBdr>
    </w:div>
    <w:div w:id="440224842">
      <w:bodyDiv w:val="1"/>
      <w:marLeft w:val="0"/>
      <w:marRight w:val="0"/>
      <w:marTop w:val="0"/>
      <w:marBottom w:val="0"/>
      <w:divBdr>
        <w:top w:val="none" w:sz="0" w:space="0" w:color="auto"/>
        <w:left w:val="none" w:sz="0" w:space="0" w:color="auto"/>
        <w:bottom w:val="none" w:sz="0" w:space="0" w:color="auto"/>
        <w:right w:val="none" w:sz="0" w:space="0" w:color="auto"/>
      </w:divBdr>
    </w:div>
    <w:div w:id="608122451">
      <w:bodyDiv w:val="1"/>
      <w:marLeft w:val="0"/>
      <w:marRight w:val="0"/>
      <w:marTop w:val="0"/>
      <w:marBottom w:val="0"/>
      <w:divBdr>
        <w:top w:val="none" w:sz="0" w:space="0" w:color="auto"/>
        <w:left w:val="none" w:sz="0" w:space="0" w:color="auto"/>
        <w:bottom w:val="none" w:sz="0" w:space="0" w:color="auto"/>
        <w:right w:val="none" w:sz="0" w:space="0" w:color="auto"/>
      </w:divBdr>
    </w:div>
    <w:div w:id="681860816">
      <w:bodyDiv w:val="1"/>
      <w:marLeft w:val="0"/>
      <w:marRight w:val="0"/>
      <w:marTop w:val="0"/>
      <w:marBottom w:val="0"/>
      <w:divBdr>
        <w:top w:val="none" w:sz="0" w:space="0" w:color="auto"/>
        <w:left w:val="none" w:sz="0" w:space="0" w:color="auto"/>
        <w:bottom w:val="none" w:sz="0" w:space="0" w:color="auto"/>
        <w:right w:val="none" w:sz="0" w:space="0" w:color="auto"/>
      </w:divBdr>
    </w:div>
    <w:div w:id="795173952">
      <w:bodyDiv w:val="1"/>
      <w:marLeft w:val="0"/>
      <w:marRight w:val="0"/>
      <w:marTop w:val="0"/>
      <w:marBottom w:val="0"/>
      <w:divBdr>
        <w:top w:val="none" w:sz="0" w:space="0" w:color="auto"/>
        <w:left w:val="none" w:sz="0" w:space="0" w:color="auto"/>
        <w:bottom w:val="none" w:sz="0" w:space="0" w:color="auto"/>
        <w:right w:val="none" w:sz="0" w:space="0" w:color="auto"/>
      </w:divBdr>
    </w:div>
    <w:div w:id="982612929">
      <w:bodyDiv w:val="1"/>
      <w:marLeft w:val="0"/>
      <w:marRight w:val="0"/>
      <w:marTop w:val="0"/>
      <w:marBottom w:val="0"/>
      <w:divBdr>
        <w:top w:val="none" w:sz="0" w:space="0" w:color="auto"/>
        <w:left w:val="none" w:sz="0" w:space="0" w:color="auto"/>
        <w:bottom w:val="none" w:sz="0" w:space="0" w:color="auto"/>
        <w:right w:val="none" w:sz="0" w:space="0" w:color="auto"/>
      </w:divBdr>
    </w:div>
    <w:div w:id="1030497489">
      <w:bodyDiv w:val="1"/>
      <w:marLeft w:val="0"/>
      <w:marRight w:val="0"/>
      <w:marTop w:val="0"/>
      <w:marBottom w:val="0"/>
      <w:divBdr>
        <w:top w:val="none" w:sz="0" w:space="0" w:color="auto"/>
        <w:left w:val="none" w:sz="0" w:space="0" w:color="auto"/>
        <w:bottom w:val="none" w:sz="0" w:space="0" w:color="auto"/>
        <w:right w:val="none" w:sz="0" w:space="0" w:color="auto"/>
      </w:divBdr>
    </w:div>
    <w:div w:id="1357806456">
      <w:bodyDiv w:val="1"/>
      <w:marLeft w:val="0"/>
      <w:marRight w:val="0"/>
      <w:marTop w:val="0"/>
      <w:marBottom w:val="0"/>
      <w:divBdr>
        <w:top w:val="none" w:sz="0" w:space="0" w:color="auto"/>
        <w:left w:val="none" w:sz="0" w:space="0" w:color="auto"/>
        <w:bottom w:val="none" w:sz="0" w:space="0" w:color="auto"/>
        <w:right w:val="none" w:sz="0" w:space="0" w:color="auto"/>
      </w:divBdr>
    </w:div>
    <w:div w:id="1645308972">
      <w:bodyDiv w:val="1"/>
      <w:marLeft w:val="0"/>
      <w:marRight w:val="0"/>
      <w:marTop w:val="0"/>
      <w:marBottom w:val="0"/>
      <w:divBdr>
        <w:top w:val="none" w:sz="0" w:space="0" w:color="auto"/>
        <w:left w:val="none" w:sz="0" w:space="0" w:color="auto"/>
        <w:bottom w:val="none" w:sz="0" w:space="0" w:color="auto"/>
        <w:right w:val="none" w:sz="0" w:space="0" w:color="auto"/>
      </w:divBdr>
    </w:div>
    <w:div w:id="1790975447">
      <w:bodyDiv w:val="1"/>
      <w:marLeft w:val="0"/>
      <w:marRight w:val="0"/>
      <w:marTop w:val="0"/>
      <w:marBottom w:val="0"/>
      <w:divBdr>
        <w:top w:val="none" w:sz="0" w:space="0" w:color="auto"/>
        <w:left w:val="none" w:sz="0" w:space="0" w:color="auto"/>
        <w:bottom w:val="none" w:sz="0" w:space="0" w:color="auto"/>
        <w:right w:val="none" w:sz="0" w:space="0" w:color="auto"/>
      </w:divBdr>
    </w:div>
    <w:div w:id="1934970129">
      <w:bodyDiv w:val="1"/>
      <w:marLeft w:val="0"/>
      <w:marRight w:val="0"/>
      <w:marTop w:val="0"/>
      <w:marBottom w:val="0"/>
      <w:divBdr>
        <w:top w:val="none" w:sz="0" w:space="0" w:color="auto"/>
        <w:left w:val="none" w:sz="0" w:space="0" w:color="auto"/>
        <w:bottom w:val="none" w:sz="0" w:space="0" w:color="auto"/>
        <w:right w:val="none" w:sz="0" w:space="0" w:color="auto"/>
      </w:divBdr>
    </w:div>
    <w:div w:id="2014408652">
      <w:bodyDiv w:val="1"/>
      <w:marLeft w:val="0"/>
      <w:marRight w:val="0"/>
      <w:marTop w:val="0"/>
      <w:marBottom w:val="0"/>
      <w:divBdr>
        <w:top w:val="none" w:sz="0" w:space="0" w:color="auto"/>
        <w:left w:val="none" w:sz="0" w:space="0" w:color="auto"/>
        <w:bottom w:val="none" w:sz="0" w:space="0" w:color="auto"/>
        <w:right w:val="none" w:sz="0" w:space="0" w:color="auto"/>
      </w:divBdr>
    </w:div>
    <w:div w:id="2024236230">
      <w:bodyDiv w:val="1"/>
      <w:marLeft w:val="0"/>
      <w:marRight w:val="0"/>
      <w:marTop w:val="0"/>
      <w:marBottom w:val="0"/>
      <w:divBdr>
        <w:top w:val="none" w:sz="0" w:space="0" w:color="auto"/>
        <w:left w:val="none" w:sz="0" w:space="0" w:color="auto"/>
        <w:bottom w:val="none" w:sz="0" w:space="0" w:color="auto"/>
        <w:right w:val="none" w:sz="0" w:space="0" w:color="auto"/>
      </w:divBdr>
    </w:div>
    <w:div w:id="20964332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image" Target="media/image2.emf"/><Relationship Id="rId26" Type="http://schemas.openxmlformats.org/officeDocument/2006/relationships/header" Target="header7.xml"/><Relationship Id="rId39" Type="http://schemas.openxmlformats.org/officeDocument/2006/relationships/header" Target="header13.xml"/><Relationship Id="rId21" Type="http://schemas.openxmlformats.org/officeDocument/2006/relationships/image" Target="media/image5.emf"/><Relationship Id="rId34" Type="http://schemas.openxmlformats.org/officeDocument/2006/relationships/header" Target="header12.xml"/><Relationship Id="rId42" Type="http://schemas.openxmlformats.org/officeDocument/2006/relationships/header" Target="header15.xml"/><Relationship Id="rId47" Type="http://schemas.openxmlformats.org/officeDocument/2006/relationships/image" Target="media/image12.emf"/><Relationship Id="rId50" Type="http://schemas.openxmlformats.org/officeDocument/2006/relationships/footer" Target="footer9.xml"/><Relationship Id="rId55" Type="http://schemas.openxmlformats.org/officeDocument/2006/relationships/footer" Target="footer10.xml"/><Relationship Id="rId7" Type="http://schemas.openxmlformats.org/officeDocument/2006/relationships/header" Target="header1.xml"/><Relationship Id="rId12" Type="http://schemas.openxmlformats.org/officeDocument/2006/relationships/footer" Target="footer3.xml"/><Relationship Id="rId17" Type="http://schemas.openxmlformats.org/officeDocument/2006/relationships/image" Target="media/image1.emf"/><Relationship Id="rId25" Type="http://schemas.openxmlformats.org/officeDocument/2006/relationships/image" Target="media/image9.emf"/><Relationship Id="rId33" Type="http://schemas.openxmlformats.org/officeDocument/2006/relationships/footer" Target="footer6.xml"/><Relationship Id="rId38" Type="http://schemas.openxmlformats.org/officeDocument/2006/relationships/chart" Target="charts/chart3.xml"/><Relationship Id="rId46" Type="http://schemas.openxmlformats.org/officeDocument/2006/relationships/header" Target="header18.xml"/><Relationship Id="rId2" Type="http://schemas.openxmlformats.org/officeDocument/2006/relationships/styles" Target="styles.xml"/><Relationship Id="rId16" Type="http://schemas.openxmlformats.org/officeDocument/2006/relationships/header" Target="header6.xml"/><Relationship Id="rId20" Type="http://schemas.openxmlformats.org/officeDocument/2006/relationships/image" Target="media/image4.emf"/><Relationship Id="rId29" Type="http://schemas.openxmlformats.org/officeDocument/2006/relationships/header" Target="header9.xml"/><Relationship Id="rId41" Type="http://schemas.openxmlformats.org/officeDocument/2006/relationships/footer" Target="footer7.xml"/><Relationship Id="rId54" Type="http://schemas.openxmlformats.org/officeDocument/2006/relationships/header" Target="header2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24" Type="http://schemas.openxmlformats.org/officeDocument/2006/relationships/image" Target="media/image8.emf"/><Relationship Id="rId32" Type="http://schemas.openxmlformats.org/officeDocument/2006/relationships/header" Target="header11.xml"/><Relationship Id="rId37" Type="http://schemas.openxmlformats.org/officeDocument/2006/relationships/chart" Target="charts/chart2.xml"/><Relationship Id="rId40" Type="http://schemas.openxmlformats.org/officeDocument/2006/relationships/header" Target="header14.xml"/><Relationship Id="rId45" Type="http://schemas.openxmlformats.org/officeDocument/2006/relationships/footer" Target="footer8.xml"/><Relationship Id="rId53" Type="http://schemas.openxmlformats.org/officeDocument/2006/relationships/header" Target="header22.xml"/><Relationship Id="rId58"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image" Target="media/image7.png"/><Relationship Id="rId28" Type="http://schemas.openxmlformats.org/officeDocument/2006/relationships/footer" Target="footer5.xml"/><Relationship Id="rId36" Type="http://schemas.openxmlformats.org/officeDocument/2006/relationships/chart" Target="charts/chart1.xml"/><Relationship Id="rId49" Type="http://schemas.openxmlformats.org/officeDocument/2006/relationships/header" Target="header20.xml"/><Relationship Id="rId57" Type="http://schemas.openxmlformats.org/officeDocument/2006/relationships/fontTable" Target="fontTable.xml"/><Relationship Id="rId10" Type="http://schemas.openxmlformats.org/officeDocument/2006/relationships/footer" Target="footer2.xml"/><Relationship Id="rId19" Type="http://schemas.openxmlformats.org/officeDocument/2006/relationships/image" Target="media/image3.emf"/><Relationship Id="rId31" Type="http://schemas.openxmlformats.org/officeDocument/2006/relationships/header" Target="header10.xml"/><Relationship Id="rId44" Type="http://schemas.openxmlformats.org/officeDocument/2006/relationships/header" Target="header17.xml"/><Relationship Id="rId52" Type="http://schemas.openxmlformats.org/officeDocument/2006/relationships/image" Target="media/image13.emf"/><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header" Target="header5.xml"/><Relationship Id="rId22" Type="http://schemas.openxmlformats.org/officeDocument/2006/relationships/image" Target="media/image6.png"/><Relationship Id="rId27" Type="http://schemas.openxmlformats.org/officeDocument/2006/relationships/header" Target="header8.xml"/><Relationship Id="rId30" Type="http://schemas.openxmlformats.org/officeDocument/2006/relationships/image" Target="media/image10.emf"/><Relationship Id="rId35" Type="http://schemas.openxmlformats.org/officeDocument/2006/relationships/image" Target="media/image11.emf"/><Relationship Id="rId43" Type="http://schemas.openxmlformats.org/officeDocument/2006/relationships/header" Target="header16.xml"/><Relationship Id="rId48" Type="http://schemas.openxmlformats.org/officeDocument/2006/relationships/header" Target="header19.xml"/><Relationship Id="rId56" Type="http://schemas.openxmlformats.org/officeDocument/2006/relationships/header" Target="header24.xml"/><Relationship Id="rId8" Type="http://schemas.openxmlformats.org/officeDocument/2006/relationships/header" Target="header2.xml"/><Relationship Id="rId51" Type="http://schemas.openxmlformats.org/officeDocument/2006/relationships/header" Target="header21.xml"/><Relationship Id="rId3" Type="http://schemas.openxmlformats.org/officeDocument/2006/relationships/settings" Target="settings.xml"/></Relationships>
</file>

<file path=word/charts/_rels/chart1.xml.rels><?xml version="1.0" encoding="UTF-8" standalone="yes"?>
<Relationships xmlns="http://schemas.openxmlformats.org/package/2006/relationships"><Relationship Id="rId1" Type="http://schemas.openxmlformats.org/officeDocument/2006/relationships/oleObject" Target="file:///\\Southernco.com\shared%20data\Workgroups\SCS%20Fuel%20Services%20APC%20Hq\Coal%20Services\Environmental\Emissions%20Trading\Data%20Requests\Environmental%20Strategy\2011%20GPC%20ECS%20Filing\GPC%20ECS%20Historical%20Charts%202011.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Southernco.com\shared%20data\Workgroups\SCS%20Fuel%20Services%20APC%20Hq\Coal%20Services\Environmental\Emissions%20Trading\Data%20Requests\Environmental%20Strategy\2011%20GPC%20ECS%20Filing\GPC%20ECS%20Historical%20Charts%202011.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Southernco.com\shared%20data\Workgroups\SCS%20Fuel%20Services%20APC%20Hq\Coal%20Services\Environmental\Emissions%20Trading\Data%20Requests\Environmental%20Strategy\2011%20GPC%20ECS%20Filing\GPC%20ECS%20Historical%20Charts%202011.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strRef>
              <c:f>'SO2 Prices from 2005'!$C$7</c:f>
              <c:strCache>
                <c:ptCount val="1"/>
                <c:pt idx="0">
                  <c:v>SO2</c:v>
                </c:pt>
              </c:strCache>
            </c:strRef>
          </c:tx>
          <c:marker>
            <c:symbol val="none"/>
          </c:marker>
          <c:cat>
            <c:numRef>
              <c:f>'SO2 Prices from 2005'!$G$7:$G$2221</c:f>
              <c:numCache>
                <c:formatCode>m/d/yy;@</c:formatCode>
                <c:ptCount val="2215"/>
                <c:pt idx="0">
                  <c:v>38353</c:v>
                </c:pt>
                <c:pt idx="1">
                  <c:v>38354</c:v>
                </c:pt>
                <c:pt idx="2">
                  <c:v>38355</c:v>
                </c:pt>
                <c:pt idx="3">
                  <c:v>38356</c:v>
                </c:pt>
                <c:pt idx="4">
                  <c:v>38357</c:v>
                </c:pt>
                <c:pt idx="5">
                  <c:v>38358</c:v>
                </c:pt>
                <c:pt idx="6">
                  <c:v>38359</c:v>
                </c:pt>
                <c:pt idx="7">
                  <c:v>38360</c:v>
                </c:pt>
                <c:pt idx="8">
                  <c:v>38361</c:v>
                </c:pt>
                <c:pt idx="9">
                  <c:v>38362</c:v>
                </c:pt>
                <c:pt idx="10">
                  <c:v>38363</c:v>
                </c:pt>
                <c:pt idx="11">
                  <c:v>38364</c:v>
                </c:pt>
                <c:pt idx="12">
                  <c:v>38365</c:v>
                </c:pt>
                <c:pt idx="13">
                  <c:v>38366</c:v>
                </c:pt>
                <c:pt idx="14">
                  <c:v>38367</c:v>
                </c:pt>
                <c:pt idx="15">
                  <c:v>38368</c:v>
                </c:pt>
                <c:pt idx="16">
                  <c:v>38369</c:v>
                </c:pt>
                <c:pt idx="17">
                  <c:v>38370</c:v>
                </c:pt>
                <c:pt idx="18">
                  <c:v>38371</c:v>
                </c:pt>
                <c:pt idx="19">
                  <c:v>38372</c:v>
                </c:pt>
                <c:pt idx="20">
                  <c:v>38373</c:v>
                </c:pt>
                <c:pt idx="21">
                  <c:v>38374</c:v>
                </c:pt>
                <c:pt idx="22">
                  <c:v>38375</c:v>
                </c:pt>
                <c:pt idx="23">
                  <c:v>38376</c:v>
                </c:pt>
                <c:pt idx="24">
                  <c:v>38377</c:v>
                </c:pt>
                <c:pt idx="25">
                  <c:v>38378</c:v>
                </c:pt>
                <c:pt idx="26">
                  <c:v>38379</c:v>
                </c:pt>
                <c:pt idx="27">
                  <c:v>38380</c:v>
                </c:pt>
                <c:pt idx="28">
                  <c:v>38381</c:v>
                </c:pt>
                <c:pt idx="29">
                  <c:v>38382</c:v>
                </c:pt>
                <c:pt idx="30">
                  <c:v>38383</c:v>
                </c:pt>
                <c:pt idx="31">
                  <c:v>38384</c:v>
                </c:pt>
                <c:pt idx="32">
                  <c:v>38385</c:v>
                </c:pt>
                <c:pt idx="33">
                  <c:v>38386</c:v>
                </c:pt>
                <c:pt idx="34">
                  <c:v>38387</c:v>
                </c:pt>
                <c:pt idx="35">
                  <c:v>38388</c:v>
                </c:pt>
                <c:pt idx="36">
                  <c:v>38389</c:v>
                </c:pt>
                <c:pt idx="37">
                  <c:v>38390</c:v>
                </c:pt>
                <c:pt idx="38">
                  <c:v>38391</c:v>
                </c:pt>
                <c:pt idx="39">
                  <c:v>38392</c:v>
                </c:pt>
                <c:pt idx="40">
                  <c:v>38393</c:v>
                </c:pt>
                <c:pt idx="41">
                  <c:v>38394</c:v>
                </c:pt>
                <c:pt idx="42">
                  <c:v>38395</c:v>
                </c:pt>
                <c:pt idx="43">
                  <c:v>38396</c:v>
                </c:pt>
                <c:pt idx="44">
                  <c:v>38397</c:v>
                </c:pt>
                <c:pt idx="45">
                  <c:v>38398</c:v>
                </c:pt>
                <c:pt idx="46">
                  <c:v>38399</c:v>
                </c:pt>
                <c:pt idx="47">
                  <c:v>38400</c:v>
                </c:pt>
                <c:pt idx="48">
                  <c:v>38401</c:v>
                </c:pt>
                <c:pt idx="49">
                  <c:v>38402</c:v>
                </c:pt>
                <c:pt idx="50">
                  <c:v>38403</c:v>
                </c:pt>
                <c:pt idx="51">
                  <c:v>38404</c:v>
                </c:pt>
                <c:pt idx="52">
                  <c:v>38405</c:v>
                </c:pt>
                <c:pt idx="53">
                  <c:v>38406</c:v>
                </c:pt>
                <c:pt idx="54">
                  <c:v>38407</c:v>
                </c:pt>
                <c:pt idx="55">
                  <c:v>38408</c:v>
                </c:pt>
                <c:pt idx="56">
                  <c:v>38409</c:v>
                </c:pt>
                <c:pt idx="57">
                  <c:v>38410</c:v>
                </c:pt>
                <c:pt idx="58">
                  <c:v>38411</c:v>
                </c:pt>
                <c:pt idx="59">
                  <c:v>38412</c:v>
                </c:pt>
                <c:pt idx="60">
                  <c:v>38413</c:v>
                </c:pt>
                <c:pt idx="61">
                  <c:v>38414</c:v>
                </c:pt>
                <c:pt idx="62">
                  <c:v>38415</c:v>
                </c:pt>
                <c:pt idx="63">
                  <c:v>38416</c:v>
                </c:pt>
                <c:pt idx="64">
                  <c:v>38417</c:v>
                </c:pt>
                <c:pt idx="65">
                  <c:v>38418</c:v>
                </c:pt>
                <c:pt idx="66">
                  <c:v>38419</c:v>
                </c:pt>
                <c:pt idx="67">
                  <c:v>38420</c:v>
                </c:pt>
                <c:pt idx="68">
                  <c:v>38421</c:v>
                </c:pt>
                <c:pt idx="69">
                  <c:v>38422</c:v>
                </c:pt>
                <c:pt idx="70">
                  <c:v>38423</c:v>
                </c:pt>
                <c:pt idx="71">
                  <c:v>38424</c:v>
                </c:pt>
                <c:pt idx="72">
                  <c:v>38425</c:v>
                </c:pt>
                <c:pt idx="73">
                  <c:v>38426</c:v>
                </c:pt>
                <c:pt idx="74">
                  <c:v>38427</c:v>
                </c:pt>
                <c:pt idx="75">
                  <c:v>38428</c:v>
                </c:pt>
                <c:pt idx="76">
                  <c:v>38429</c:v>
                </c:pt>
                <c:pt idx="77">
                  <c:v>38430</c:v>
                </c:pt>
                <c:pt idx="78">
                  <c:v>38431</c:v>
                </c:pt>
                <c:pt idx="79">
                  <c:v>38432</c:v>
                </c:pt>
                <c:pt idx="80">
                  <c:v>38433</c:v>
                </c:pt>
                <c:pt idx="81">
                  <c:v>38434</c:v>
                </c:pt>
                <c:pt idx="82">
                  <c:v>38435</c:v>
                </c:pt>
                <c:pt idx="83">
                  <c:v>38436</c:v>
                </c:pt>
                <c:pt idx="84">
                  <c:v>38437</c:v>
                </c:pt>
                <c:pt idx="85">
                  <c:v>38438</c:v>
                </c:pt>
                <c:pt idx="86">
                  <c:v>38439</c:v>
                </c:pt>
                <c:pt idx="87">
                  <c:v>38440</c:v>
                </c:pt>
                <c:pt idx="88">
                  <c:v>38441</c:v>
                </c:pt>
                <c:pt idx="89">
                  <c:v>38442</c:v>
                </c:pt>
                <c:pt idx="90">
                  <c:v>38443</c:v>
                </c:pt>
                <c:pt idx="91">
                  <c:v>38444</c:v>
                </c:pt>
                <c:pt idx="92">
                  <c:v>38445</c:v>
                </c:pt>
                <c:pt idx="93">
                  <c:v>38446</c:v>
                </c:pt>
                <c:pt idx="94">
                  <c:v>38447</c:v>
                </c:pt>
                <c:pt idx="95">
                  <c:v>38448</c:v>
                </c:pt>
                <c:pt idx="96">
                  <c:v>38449</c:v>
                </c:pt>
                <c:pt idx="97">
                  <c:v>38450</c:v>
                </c:pt>
                <c:pt idx="98">
                  <c:v>38451</c:v>
                </c:pt>
                <c:pt idx="99">
                  <c:v>38452</c:v>
                </c:pt>
                <c:pt idx="100">
                  <c:v>38453</c:v>
                </c:pt>
                <c:pt idx="101">
                  <c:v>38454</c:v>
                </c:pt>
                <c:pt idx="102">
                  <c:v>38455</c:v>
                </c:pt>
                <c:pt idx="103">
                  <c:v>38456</c:v>
                </c:pt>
                <c:pt idx="104">
                  <c:v>38457</c:v>
                </c:pt>
                <c:pt idx="105">
                  <c:v>38458</c:v>
                </c:pt>
                <c:pt idx="106">
                  <c:v>38459</c:v>
                </c:pt>
                <c:pt idx="107">
                  <c:v>38460</c:v>
                </c:pt>
                <c:pt idx="108">
                  <c:v>38461</c:v>
                </c:pt>
                <c:pt idx="109">
                  <c:v>38462</c:v>
                </c:pt>
                <c:pt idx="110">
                  <c:v>38463</c:v>
                </c:pt>
                <c:pt idx="111">
                  <c:v>38464</c:v>
                </c:pt>
                <c:pt idx="112">
                  <c:v>38465</c:v>
                </c:pt>
                <c:pt idx="113">
                  <c:v>38466</c:v>
                </c:pt>
                <c:pt idx="114">
                  <c:v>38467</c:v>
                </c:pt>
                <c:pt idx="115">
                  <c:v>38468</c:v>
                </c:pt>
                <c:pt idx="116">
                  <c:v>38469</c:v>
                </c:pt>
                <c:pt idx="117">
                  <c:v>38470</c:v>
                </c:pt>
                <c:pt idx="118">
                  <c:v>38471</c:v>
                </c:pt>
                <c:pt idx="119">
                  <c:v>38472</c:v>
                </c:pt>
                <c:pt idx="120">
                  <c:v>38473</c:v>
                </c:pt>
                <c:pt idx="121">
                  <c:v>38474</c:v>
                </c:pt>
                <c:pt idx="122">
                  <c:v>38475</c:v>
                </c:pt>
                <c:pt idx="123">
                  <c:v>38476</c:v>
                </c:pt>
                <c:pt idx="124">
                  <c:v>38477</c:v>
                </c:pt>
                <c:pt idx="125">
                  <c:v>38478</c:v>
                </c:pt>
                <c:pt idx="126">
                  <c:v>38479</c:v>
                </c:pt>
                <c:pt idx="127">
                  <c:v>38480</c:v>
                </c:pt>
                <c:pt idx="128">
                  <c:v>38481</c:v>
                </c:pt>
                <c:pt idx="129">
                  <c:v>38482</c:v>
                </c:pt>
                <c:pt idx="130">
                  <c:v>38483</c:v>
                </c:pt>
                <c:pt idx="131">
                  <c:v>38484</c:v>
                </c:pt>
                <c:pt idx="132">
                  <c:v>38485</c:v>
                </c:pt>
                <c:pt idx="133">
                  <c:v>38486</c:v>
                </c:pt>
                <c:pt idx="134">
                  <c:v>38487</c:v>
                </c:pt>
                <c:pt idx="135">
                  <c:v>38488</c:v>
                </c:pt>
                <c:pt idx="136">
                  <c:v>38489</c:v>
                </c:pt>
                <c:pt idx="137">
                  <c:v>38490</c:v>
                </c:pt>
                <c:pt idx="138">
                  <c:v>38491</c:v>
                </c:pt>
                <c:pt idx="139">
                  <c:v>38492</c:v>
                </c:pt>
                <c:pt idx="140">
                  <c:v>38493</c:v>
                </c:pt>
                <c:pt idx="141">
                  <c:v>38494</c:v>
                </c:pt>
                <c:pt idx="142">
                  <c:v>38495</c:v>
                </c:pt>
                <c:pt idx="143">
                  <c:v>38496</c:v>
                </c:pt>
                <c:pt idx="144">
                  <c:v>38497</c:v>
                </c:pt>
                <c:pt idx="145">
                  <c:v>38498</c:v>
                </c:pt>
                <c:pt idx="146">
                  <c:v>38499</c:v>
                </c:pt>
                <c:pt idx="147">
                  <c:v>38500</c:v>
                </c:pt>
                <c:pt idx="148">
                  <c:v>38501</c:v>
                </c:pt>
                <c:pt idx="149">
                  <c:v>38502</c:v>
                </c:pt>
                <c:pt idx="150">
                  <c:v>38503</c:v>
                </c:pt>
                <c:pt idx="151">
                  <c:v>38504</c:v>
                </c:pt>
                <c:pt idx="152">
                  <c:v>38505</c:v>
                </c:pt>
                <c:pt idx="153">
                  <c:v>38506</c:v>
                </c:pt>
                <c:pt idx="154">
                  <c:v>38507</c:v>
                </c:pt>
                <c:pt idx="155">
                  <c:v>38508</c:v>
                </c:pt>
                <c:pt idx="156">
                  <c:v>38509</c:v>
                </c:pt>
                <c:pt idx="157">
                  <c:v>38510</c:v>
                </c:pt>
                <c:pt idx="158">
                  <c:v>38511</c:v>
                </c:pt>
                <c:pt idx="159">
                  <c:v>38512</c:v>
                </c:pt>
                <c:pt idx="160">
                  <c:v>38513</c:v>
                </c:pt>
                <c:pt idx="161">
                  <c:v>38514</c:v>
                </c:pt>
                <c:pt idx="162">
                  <c:v>38515</c:v>
                </c:pt>
                <c:pt idx="163">
                  <c:v>38516</c:v>
                </c:pt>
                <c:pt idx="164">
                  <c:v>38517</c:v>
                </c:pt>
                <c:pt idx="165">
                  <c:v>38518</c:v>
                </c:pt>
                <c:pt idx="166">
                  <c:v>38519</c:v>
                </c:pt>
                <c:pt idx="167">
                  <c:v>38520</c:v>
                </c:pt>
                <c:pt idx="168">
                  <c:v>38521</c:v>
                </c:pt>
                <c:pt idx="169">
                  <c:v>38522</c:v>
                </c:pt>
                <c:pt idx="170">
                  <c:v>38523</c:v>
                </c:pt>
                <c:pt idx="171">
                  <c:v>38524</c:v>
                </c:pt>
                <c:pt idx="172">
                  <c:v>38525</c:v>
                </c:pt>
                <c:pt idx="173">
                  <c:v>38526</c:v>
                </c:pt>
                <c:pt idx="174">
                  <c:v>38527</c:v>
                </c:pt>
                <c:pt idx="175">
                  <c:v>38528</c:v>
                </c:pt>
                <c:pt idx="176">
                  <c:v>38529</c:v>
                </c:pt>
                <c:pt idx="177">
                  <c:v>38530</c:v>
                </c:pt>
                <c:pt idx="178">
                  <c:v>38531</c:v>
                </c:pt>
                <c:pt idx="179">
                  <c:v>38532</c:v>
                </c:pt>
                <c:pt idx="180">
                  <c:v>38533</c:v>
                </c:pt>
                <c:pt idx="181">
                  <c:v>38534</c:v>
                </c:pt>
                <c:pt idx="182">
                  <c:v>38535</c:v>
                </c:pt>
                <c:pt idx="183">
                  <c:v>38536</c:v>
                </c:pt>
                <c:pt idx="184">
                  <c:v>38537</c:v>
                </c:pt>
                <c:pt idx="185">
                  <c:v>38538</c:v>
                </c:pt>
                <c:pt idx="186">
                  <c:v>38539</c:v>
                </c:pt>
                <c:pt idx="187">
                  <c:v>38540</c:v>
                </c:pt>
                <c:pt idx="188">
                  <c:v>38541</c:v>
                </c:pt>
                <c:pt idx="189">
                  <c:v>38542</c:v>
                </c:pt>
                <c:pt idx="190">
                  <c:v>38543</c:v>
                </c:pt>
                <c:pt idx="191">
                  <c:v>38544</c:v>
                </c:pt>
                <c:pt idx="192">
                  <c:v>38545</c:v>
                </c:pt>
                <c:pt idx="193">
                  <c:v>38546</c:v>
                </c:pt>
                <c:pt idx="194">
                  <c:v>38547</c:v>
                </c:pt>
                <c:pt idx="195">
                  <c:v>38548</c:v>
                </c:pt>
                <c:pt idx="196">
                  <c:v>38549</c:v>
                </c:pt>
                <c:pt idx="197">
                  <c:v>38550</c:v>
                </c:pt>
                <c:pt idx="198">
                  <c:v>38551</c:v>
                </c:pt>
                <c:pt idx="199">
                  <c:v>38552</c:v>
                </c:pt>
                <c:pt idx="200">
                  <c:v>38553</c:v>
                </c:pt>
                <c:pt idx="201">
                  <c:v>38554</c:v>
                </c:pt>
                <c:pt idx="202">
                  <c:v>38555</c:v>
                </c:pt>
                <c:pt idx="203">
                  <c:v>38556</c:v>
                </c:pt>
                <c:pt idx="204">
                  <c:v>38557</c:v>
                </c:pt>
                <c:pt idx="205">
                  <c:v>38558</c:v>
                </c:pt>
                <c:pt idx="206">
                  <c:v>38559</c:v>
                </c:pt>
                <c:pt idx="207">
                  <c:v>38560</c:v>
                </c:pt>
                <c:pt idx="208">
                  <c:v>38561</c:v>
                </c:pt>
                <c:pt idx="209">
                  <c:v>38562</c:v>
                </c:pt>
                <c:pt idx="210">
                  <c:v>38563</c:v>
                </c:pt>
                <c:pt idx="211">
                  <c:v>38564</c:v>
                </c:pt>
                <c:pt idx="212">
                  <c:v>38565</c:v>
                </c:pt>
                <c:pt idx="213">
                  <c:v>38566</c:v>
                </c:pt>
                <c:pt idx="214">
                  <c:v>38567</c:v>
                </c:pt>
                <c:pt idx="215">
                  <c:v>38568</c:v>
                </c:pt>
                <c:pt idx="216">
                  <c:v>38569</c:v>
                </c:pt>
                <c:pt idx="217">
                  <c:v>38570</c:v>
                </c:pt>
                <c:pt idx="218">
                  <c:v>38571</c:v>
                </c:pt>
                <c:pt idx="219">
                  <c:v>38572</c:v>
                </c:pt>
                <c:pt idx="220">
                  <c:v>38573</c:v>
                </c:pt>
                <c:pt idx="221">
                  <c:v>38574</c:v>
                </c:pt>
                <c:pt idx="222">
                  <c:v>38575</c:v>
                </c:pt>
                <c:pt idx="223">
                  <c:v>38576</c:v>
                </c:pt>
                <c:pt idx="224">
                  <c:v>38577</c:v>
                </c:pt>
                <c:pt idx="225">
                  <c:v>38578</c:v>
                </c:pt>
                <c:pt idx="226">
                  <c:v>38579</c:v>
                </c:pt>
                <c:pt idx="227">
                  <c:v>38580</c:v>
                </c:pt>
                <c:pt idx="228">
                  <c:v>38581</c:v>
                </c:pt>
                <c:pt idx="229">
                  <c:v>38582</c:v>
                </c:pt>
                <c:pt idx="230">
                  <c:v>38583</c:v>
                </c:pt>
                <c:pt idx="231">
                  <c:v>38584</c:v>
                </c:pt>
                <c:pt idx="232">
                  <c:v>38585</c:v>
                </c:pt>
                <c:pt idx="233">
                  <c:v>38586</c:v>
                </c:pt>
                <c:pt idx="234">
                  <c:v>38587</c:v>
                </c:pt>
                <c:pt idx="235">
                  <c:v>38588</c:v>
                </c:pt>
                <c:pt idx="236">
                  <c:v>38589</c:v>
                </c:pt>
                <c:pt idx="237">
                  <c:v>38590</c:v>
                </c:pt>
                <c:pt idx="238">
                  <c:v>38591</c:v>
                </c:pt>
                <c:pt idx="239">
                  <c:v>38592</c:v>
                </c:pt>
                <c:pt idx="240">
                  <c:v>38593</c:v>
                </c:pt>
                <c:pt idx="241">
                  <c:v>38594</c:v>
                </c:pt>
                <c:pt idx="242">
                  <c:v>38595</c:v>
                </c:pt>
                <c:pt idx="243">
                  <c:v>38596</c:v>
                </c:pt>
                <c:pt idx="244">
                  <c:v>38597</c:v>
                </c:pt>
                <c:pt idx="245">
                  <c:v>38598</c:v>
                </c:pt>
                <c:pt idx="246">
                  <c:v>38599</c:v>
                </c:pt>
                <c:pt idx="247">
                  <c:v>38600</c:v>
                </c:pt>
                <c:pt idx="248">
                  <c:v>38601</c:v>
                </c:pt>
                <c:pt idx="249">
                  <c:v>38602</c:v>
                </c:pt>
                <c:pt idx="250">
                  <c:v>38603</c:v>
                </c:pt>
                <c:pt idx="251">
                  <c:v>38604</c:v>
                </c:pt>
                <c:pt idx="252">
                  <c:v>38605</c:v>
                </c:pt>
                <c:pt idx="253">
                  <c:v>38606</c:v>
                </c:pt>
                <c:pt idx="254">
                  <c:v>38607</c:v>
                </c:pt>
                <c:pt idx="255">
                  <c:v>38608</c:v>
                </c:pt>
                <c:pt idx="256">
                  <c:v>38609</c:v>
                </c:pt>
                <c:pt idx="257">
                  <c:v>38610</c:v>
                </c:pt>
                <c:pt idx="258">
                  <c:v>38611</c:v>
                </c:pt>
                <c:pt idx="259">
                  <c:v>38612</c:v>
                </c:pt>
                <c:pt idx="260">
                  <c:v>38613</c:v>
                </c:pt>
                <c:pt idx="261">
                  <c:v>38614</c:v>
                </c:pt>
                <c:pt idx="262">
                  <c:v>38615</c:v>
                </c:pt>
                <c:pt idx="263">
                  <c:v>38616</c:v>
                </c:pt>
                <c:pt idx="264">
                  <c:v>38617</c:v>
                </c:pt>
                <c:pt idx="265">
                  <c:v>38618</c:v>
                </c:pt>
                <c:pt idx="266">
                  <c:v>38619</c:v>
                </c:pt>
                <c:pt idx="267">
                  <c:v>38620</c:v>
                </c:pt>
                <c:pt idx="268">
                  <c:v>38621</c:v>
                </c:pt>
                <c:pt idx="269">
                  <c:v>38622</c:v>
                </c:pt>
                <c:pt idx="270">
                  <c:v>38623</c:v>
                </c:pt>
                <c:pt idx="271">
                  <c:v>38624</c:v>
                </c:pt>
                <c:pt idx="272">
                  <c:v>38625</c:v>
                </c:pt>
                <c:pt idx="273">
                  <c:v>38626</c:v>
                </c:pt>
                <c:pt idx="274">
                  <c:v>38627</c:v>
                </c:pt>
                <c:pt idx="275">
                  <c:v>38628</c:v>
                </c:pt>
                <c:pt idx="276">
                  <c:v>38629</c:v>
                </c:pt>
                <c:pt idx="277">
                  <c:v>38630</c:v>
                </c:pt>
                <c:pt idx="278">
                  <c:v>38631</c:v>
                </c:pt>
                <c:pt idx="279">
                  <c:v>38632</c:v>
                </c:pt>
                <c:pt idx="280">
                  <c:v>38633</c:v>
                </c:pt>
                <c:pt idx="281">
                  <c:v>38634</c:v>
                </c:pt>
                <c:pt idx="282">
                  <c:v>38635</c:v>
                </c:pt>
                <c:pt idx="283">
                  <c:v>38636</c:v>
                </c:pt>
                <c:pt idx="284">
                  <c:v>38637</c:v>
                </c:pt>
                <c:pt idx="285">
                  <c:v>38638</c:v>
                </c:pt>
                <c:pt idx="286">
                  <c:v>38639</c:v>
                </c:pt>
                <c:pt idx="287">
                  <c:v>38640</c:v>
                </c:pt>
                <c:pt idx="288">
                  <c:v>38641</c:v>
                </c:pt>
                <c:pt idx="289">
                  <c:v>38642</c:v>
                </c:pt>
                <c:pt idx="290">
                  <c:v>38643</c:v>
                </c:pt>
                <c:pt idx="291">
                  <c:v>38644</c:v>
                </c:pt>
                <c:pt idx="292">
                  <c:v>38645</c:v>
                </c:pt>
                <c:pt idx="293">
                  <c:v>38646</c:v>
                </c:pt>
                <c:pt idx="294">
                  <c:v>38647</c:v>
                </c:pt>
                <c:pt idx="295">
                  <c:v>38648</c:v>
                </c:pt>
                <c:pt idx="296">
                  <c:v>38649</c:v>
                </c:pt>
                <c:pt idx="297">
                  <c:v>38650</c:v>
                </c:pt>
                <c:pt idx="298">
                  <c:v>38651</c:v>
                </c:pt>
                <c:pt idx="299">
                  <c:v>38652</c:v>
                </c:pt>
                <c:pt idx="300">
                  <c:v>38653</c:v>
                </c:pt>
                <c:pt idx="301">
                  <c:v>38654</c:v>
                </c:pt>
                <c:pt idx="302">
                  <c:v>38655</c:v>
                </c:pt>
                <c:pt idx="303">
                  <c:v>38656</c:v>
                </c:pt>
                <c:pt idx="304">
                  <c:v>38657</c:v>
                </c:pt>
                <c:pt idx="305">
                  <c:v>38658</c:v>
                </c:pt>
                <c:pt idx="306">
                  <c:v>38659</c:v>
                </c:pt>
                <c:pt idx="307">
                  <c:v>38660</c:v>
                </c:pt>
                <c:pt idx="308">
                  <c:v>38661</c:v>
                </c:pt>
                <c:pt idx="309">
                  <c:v>38662</c:v>
                </c:pt>
                <c:pt idx="310">
                  <c:v>38663</c:v>
                </c:pt>
                <c:pt idx="311">
                  <c:v>38664</c:v>
                </c:pt>
                <c:pt idx="312">
                  <c:v>38665</c:v>
                </c:pt>
                <c:pt idx="313">
                  <c:v>38666</c:v>
                </c:pt>
                <c:pt idx="314">
                  <c:v>38667</c:v>
                </c:pt>
                <c:pt idx="315">
                  <c:v>38668</c:v>
                </c:pt>
                <c:pt idx="316">
                  <c:v>38669</c:v>
                </c:pt>
                <c:pt idx="317">
                  <c:v>38670</c:v>
                </c:pt>
                <c:pt idx="318">
                  <c:v>38671</c:v>
                </c:pt>
                <c:pt idx="319">
                  <c:v>38672</c:v>
                </c:pt>
                <c:pt idx="320">
                  <c:v>38673</c:v>
                </c:pt>
                <c:pt idx="321">
                  <c:v>38674</c:v>
                </c:pt>
                <c:pt idx="322">
                  <c:v>38675</c:v>
                </c:pt>
                <c:pt idx="323">
                  <c:v>38676</c:v>
                </c:pt>
                <c:pt idx="324">
                  <c:v>38677</c:v>
                </c:pt>
                <c:pt idx="325">
                  <c:v>38678</c:v>
                </c:pt>
                <c:pt idx="326">
                  <c:v>38679</c:v>
                </c:pt>
                <c:pt idx="327">
                  <c:v>38680</c:v>
                </c:pt>
                <c:pt idx="328">
                  <c:v>38681</c:v>
                </c:pt>
                <c:pt idx="329">
                  <c:v>38682</c:v>
                </c:pt>
                <c:pt idx="330">
                  <c:v>38683</c:v>
                </c:pt>
                <c:pt idx="331">
                  <c:v>38684</c:v>
                </c:pt>
                <c:pt idx="332">
                  <c:v>38685</c:v>
                </c:pt>
                <c:pt idx="333">
                  <c:v>38686</c:v>
                </c:pt>
                <c:pt idx="334">
                  <c:v>38687</c:v>
                </c:pt>
                <c:pt idx="335">
                  <c:v>38688</c:v>
                </c:pt>
                <c:pt idx="336">
                  <c:v>38689</c:v>
                </c:pt>
                <c:pt idx="337">
                  <c:v>38690</c:v>
                </c:pt>
                <c:pt idx="338">
                  <c:v>38691</c:v>
                </c:pt>
                <c:pt idx="339">
                  <c:v>38692</c:v>
                </c:pt>
                <c:pt idx="340">
                  <c:v>38693</c:v>
                </c:pt>
                <c:pt idx="341">
                  <c:v>38694</c:v>
                </c:pt>
                <c:pt idx="342">
                  <c:v>38695</c:v>
                </c:pt>
                <c:pt idx="343">
                  <c:v>38696</c:v>
                </c:pt>
                <c:pt idx="344">
                  <c:v>38697</c:v>
                </c:pt>
                <c:pt idx="345">
                  <c:v>38698</c:v>
                </c:pt>
                <c:pt idx="346">
                  <c:v>38699</c:v>
                </c:pt>
                <c:pt idx="347">
                  <c:v>38700</c:v>
                </c:pt>
                <c:pt idx="348">
                  <c:v>38701</c:v>
                </c:pt>
                <c:pt idx="349">
                  <c:v>38702</c:v>
                </c:pt>
                <c:pt idx="350">
                  <c:v>38703</c:v>
                </c:pt>
                <c:pt idx="351">
                  <c:v>38704</c:v>
                </c:pt>
                <c:pt idx="352">
                  <c:v>38705</c:v>
                </c:pt>
                <c:pt idx="353">
                  <c:v>38706</c:v>
                </c:pt>
                <c:pt idx="354">
                  <c:v>38707</c:v>
                </c:pt>
                <c:pt idx="355">
                  <c:v>38708</c:v>
                </c:pt>
                <c:pt idx="356">
                  <c:v>38709</c:v>
                </c:pt>
                <c:pt idx="357">
                  <c:v>38710</c:v>
                </c:pt>
                <c:pt idx="358">
                  <c:v>38711</c:v>
                </c:pt>
                <c:pt idx="359">
                  <c:v>38712</c:v>
                </c:pt>
                <c:pt idx="360">
                  <c:v>38713</c:v>
                </c:pt>
                <c:pt idx="361">
                  <c:v>38714</c:v>
                </c:pt>
                <c:pt idx="362">
                  <c:v>38715</c:v>
                </c:pt>
                <c:pt idx="363">
                  <c:v>38716</c:v>
                </c:pt>
                <c:pt idx="364">
                  <c:v>38717</c:v>
                </c:pt>
                <c:pt idx="365">
                  <c:v>38718</c:v>
                </c:pt>
                <c:pt idx="366">
                  <c:v>38719</c:v>
                </c:pt>
                <c:pt idx="367">
                  <c:v>38720</c:v>
                </c:pt>
                <c:pt idx="368">
                  <c:v>38721</c:v>
                </c:pt>
                <c:pt idx="369">
                  <c:v>38722</c:v>
                </c:pt>
                <c:pt idx="370">
                  <c:v>38723</c:v>
                </c:pt>
                <c:pt idx="371">
                  <c:v>38724</c:v>
                </c:pt>
                <c:pt idx="372">
                  <c:v>38725</c:v>
                </c:pt>
                <c:pt idx="373">
                  <c:v>38726</c:v>
                </c:pt>
                <c:pt idx="374">
                  <c:v>38727</c:v>
                </c:pt>
                <c:pt idx="375">
                  <c:v>38728</c:v>
                </c:pt>
                <c:pt idx="376">
                  <c:v>38729</c:v>
                </c:pt>
                <c:pt idx="377">
                  <c:v>38730</c:v>
                </c:pt>
                <c:pt idx="378">
                  <c:v>38731</c:v>
                </c:pt>
                <c:pt idx="379">
                  <c:v>38732</c:v>
                </c:pt>
                <c:pt idx="380">
                  <c:v>38733</c:v>
                </c:pt>
                <c:pt idx="381">
                  <c:v>38734</c:v>
                </c:pt>
                <c:pt idx="382">
                  <c:v>38735</c:v>
                </c:pt>
                <c:pt idx="383">
                  <c:v>38736</c:v>
                </c:pt>
                <c:pt idx="384">
                  <c:v>38737</c:v>
                </c:pt>
                <c:pt idx="385">
                  <c:v>38738</c:v>
                </c:pt>
                <c:pt idx="386">
                  <c:v>38739</c:v>
                </c:pt>
                <c:pt idx="387">
                  <c:v>38740</c:v>
                </c:pt>
                <c:pt idx="388">
                  <c:v>38741</c:v>
                </c:pt>
                <c:pt idx="389">
                  <c:v>38742</c:v>
                </c:pt>
                <c:pt idx="390">
                  <c:v>38743</c:v>
                </c:pt>
                <c:pt idx="391">
                  <c:v>38744</c:v>
                </c:pt>
                <c:pt idx="392">
                  <c:v>38745</c:v>
                </c:pt>
                <c:pt idx="393">
                  <c:v>38746</c:v>
                </c:pt>
                <c:pt idx="394">
                  <c:v>38747</c:v>
                </c:pt>
                <c:pt idx="395">
                  <c:v>38748</c:v>
                </c:pt>
                <c:pt idx="396">
                  <c:v>38749</c:v>
                </c:pt>
                <c:pt idx="397">
                  <c:v>38750</c:v>
                </c:pt>
                <c:pt idx="398">
                  <c:v>38751</c:v>
                </c:pt>
                <c:pt idx="399">
                  <c:v>38752</c:v>
                </c:pt>
                <c:pt idx="400">
                  <c:v>38753</c:v>
                </c:pt>
                <c:pt idx="401">
                  <c:v>38754</c:v>
                </c:pt>
                <c:pt idx="402">
                  <c:v>38755</c:v>
                </c:pt>
                <c:pt idx="403">
                  <c:v>38756</c:v>
                </c:pt>
                <c:pt idx="404">
                  <c:v>38757</c:v>
                </c:pt>
                <c:pt idx="405">
                  <c:v>38758</c:v>
                </c:pt>
                <c:pt idx="406">
                  <c:v>38759</c:v>
                </c:pt>
                <c:pt idx="407">
                  <c:v>38760</c:v>
                </c:pt>
                <c:pt idx="408">
                  <c:v>38761</c:v>
                </c:pt>
                <c:pt idx="409">
                  <c:v>38762</c:v>
                </c:pt>
                <c:pt idx="410">
                  <c:v>38763</c:v>
                </c:pt>
                <c:pt idx="411">
                  <c:v>38764</c:v>
                </c:pt>
                <c:pt idx="412">
                  <c:v>38765</c:v>
                </c:pt>
                <c:pt idx="413">
                  <c:v>38766</c:v>
                </c:pt>
                <c:pt idx="414">
                  <c:v>38767</c:v>
                </c:pt>
                <c:pt idx="415">
                  <c:v>38768</c:v>
                </c:pt>
                <c:pt idx="416">
                  <c:v>38769</c:v>
                </c:pt>
                <c:pt idx="417">
                  <c:v>38770</c:v>
                </c:pt>
                <c:pt idx="418">
                  <c:v>38771</c:v>
                </c:pt>
                <c:pt idx="419">
                  <c:v>38772</c:v>
                </c:pt>
                <c:pt idx="420">
                  <c:v>38773</c:v>
                </c:pt>
                <c:pt idx="421">
                  <c:v>38774</c:v>
                </c:pt>
                <c:pt idx="422">
                  <c:v>38775</c:v>
                </c:pt>
                <c:pt idx="423">
                  <c:v>38776</c:v>
                </c:pt>
                <c:pt idx="424">
                  <c:v>38777</c:v>
                </c:pt>
                <c:pt idx="425">
                  <c:v>38778</c:v>
                </c:pt>
                <c:pt idx="426">
                  <c:v>38779</c:v>
                </c:pt>
                <c:pt idx="427">
                  <c:v>38780</c:v>
                </c:pt>
                <c:pt idx="428">
                  <c:v>38781</c:v>
                </c:pt>
                <c:pt idx="429">
                  <c:v>38782</c:v>
                </c:pt>
                <c:pt idx="430">
                  <c:v>38783</c:v>
                </c:pt>
                <c:pt idx="431">
                  <c:v>38784</c:v>
                </c:pt>
                <c:pt idx="432">
                  <c:v>38785</c:v>
                </c:pt>
                <c:pt idx="433">
                  <c:v>38786</c:v>
                </c:pt>
                <c:pt idx="434">
                  <c:v>38787</c:v>
                </c:pt>
                <c:pt idx="435">
                  <c:v>38788</c:v>
                </c:pt>
                <c:pt idx="436">
                  <c:v>38789</c:v>
                </c:pt>
                <c:pt idx="437">
                  <c:v>38790</c:v>
                </c:pt>
                <c:pt idx="438">
                  <c:v>38791</c:v>
                </c:pt>
                <c:pt idx="439">
                  <c:v>38792</c:v>
                </c:pt>
                <c:pt idx="440">
                  <c:v>38793</c:v>
                </c:pt>
                <c:pt idx="441">
                  <c:v>38794</c:v>
                </c:pt>
                <c:pt idx="442">
                  <c:v>38795</c:v>
                </c:pt>
                <c:pt idx="443">
                  <c:v>38796</c:v>
                </c:pt>
                <c:pt idx="444">
                  <c:v>38797</c:v>
                </c:pt>
                <c:pt idx="445">
                  <c:v>38798</c:v>
                </c:pt>
                <c:pt idx="446">
                  <c:v>38799</c:v>
                </c:pt>
                <c:pt idx="447">
                  <c:v>38800</c:v>
                </c:pt>
                <c:pt idx="448">
                  <c:v>38801</c:v>
                </c:pt>
                <c:pt idx="449">
                  <c:v>38802</c:v>
                </c:pt>
                <c:pt idx="450">
                  <c:v>38803</c:v>
                </c:pt>
                <c:pt idx="451">
                  <c:v>38804</c:v>
                </c:pt>
                <c:pt idx="452">
                  <c:v>38805</c:v>
                </c:pt>
                <c:pt idx="453">
                  <c:v>38806</c:v>
                </c:pt>
                <c:pt idx="454">
                  <c:v>38807</c:v>
                </c:pt>
                <c:pt idx="455">
                  <c:v>38808</c:v>
                </c:pt>
                <c:pt idx="456">
                  <c:v>38809</c:v>
                </c:pt>
                <c:pt idx="457">
                  <c:v>38810</c:v>
                </c:pt>
                <c:pt idx="458">
                  <c:v>38811</c:v>
                </c:pt>
                <c:pt idx="459">
                  <c:v>38812</c:v>
                </c:pt>
                <c:pt idx="460">
                  <c:v>38813</c:v>
                </c:pt>
                <c:pt idx="461">
                  <c:v>38814</c:v>
                </c:pt>
                <c:pt idx="462">
                  <c:v>38815</c:v>
                </c:pt>
                <c:pt idx="463">
                  <c:v>38816</c:v>
                </c:pt>
                <c:pt idx="464">
                  <c:v>38817</c:v>
                </c:pt>
                <c:pt idx="465">
                  <c:v>38818</c:v>
                </c:pt>
                <c:pt idx="466">
                  <c:v>38819</c:v>
                </c:pt>
                <c:pt idx="467">
                  <c:v>38820</c:v>
                </c:pt>
                <c:pt idx="468">
                  <c:v>38821</c:v>
                </c:pt>
                <c:pt idx="469">
                  <c:v>38822</c:v>
                </c:pt>
                <c:pt idx="470">
                  <c:v>38823</c:v>
                </c:pt>
                <c:pt idx="471">
                  <c:v>38824</c:v>
                </c:pt>
                <c:pt idx="472">
                  <c:v>38825</c:v>
                </c:pt>
                <c:pt idx="473">
                  <c:v>38826</c:v>
                </c:pt>
                <c:pt idx="474">
                  <c:v>38827</c:v>
                </c:pt>
                <c:pt idx="475">
                  <c:v>38828</c:v>
                </c:pt>
                <c:pt idx="476">
                  <c:v>38829</c:v>
                </c:pt>
                <c:pt idx="477">
                  <c:v>38830</c:v>
                </c:pt>
                <c:pt idx="478">
                  <c:v>38831</c:v>
                </c:pt>
                <c:pt idx="479">
                  <c:v>38832</c:v>
                </c:pt>
                <c:pt idx="480">
                  <c:v>38833</c:v>
                </c:pt>
                <c:pt idx="481">
                  <c:v>38834</c:v>
                </c:pt>
                <c:pt idx="482">
                  <c:v>38835</c:v>
                </c:pt>
                <c:pt idx="483">
                  <c:v>38836</c:v>
                </c:pt>
                <c:pt idx="484">
                  <c:v>38837</c:v>
                </c:pt>
                <c:pt idx="485">
                  <c:v>38838</c:v>
                </c:pt>
                <c:pt idx="486">
                  <c:v>38839</c:v>
                </c:pt>
                <c:pt idx="487">
                  <c:v>38840</c:v>
                </c:pt>
                <c:pt idx="488">
                  <c:v>38841</c:v>
                </c:pt>
                <c:pt idx="489">
                  <c:v>38842</c:v>
                </c:pt>
                <c:pt idx="490">
                  <c:v>38843</c:v>
                </c:pt>
                <c:pt idx="491">
                  <c:v>38844</c:v>
                </c:pt>
                <c:pt idx="492">
                  <c:v>38845</c:v>
                </c:pt>
                <c:pt idx="493">
                  <c:v>38846</c:v>
                </c:pt>
                <c:pt idx="494">
                  <c:v>38847</c:v>
                </c:pt>
                <c:pt idx="495">
                  <c:v>38848</c:v>
                </c:pt>
                <c:pt idx="496">
                  <c:v>38849</c:v>
                </c:pt>
                <c:pt idx="497">
                  <c:v>38850</c:v>
                </c:pt>
                <c:pt idx="498">
                  <c:v>38851</c:v>
                </c:pt>
                <c:pt idx="499">
                  <c:v>38852</c:v>
                </c:pt>
                <c:pt idx="500">
                  <c:v>38853</c:v>
                </c:pt>
                <c:pt idx="501">
                  <c:v>38854</c:v>
                </c:pt>
                <c:pt idx="502">
                  <c:v>38855</c:v>
                </c:pt>
                <c:pt idx="503">
                  <c:v>38856</c:v>
                </c:pt>
                <c:pt idx="504">
                  <c:v>38857</c:v>
                </c:pt>
                <c:pt idx="505">
                  <c:v>38858</c:v>
                </c:pt>
                <c:pt idx="506">
                  <c:v>38859</c:v>
                </c:pt>
                <c:pt idx="507">
                  <c:v>38860</c:v>
                </c:pt>
                <c:pt idx="508">
                  <c:v>38861</c:v>
                </c:pt>
                <c:pt idx="509">
                  <c:v>38862</c:v>
                </c:pt>
                <c:pt idx="510">
                  <c:v>38863</c:v>
                </c:pt>
                <c:pt idx="511">
                  <c:v>38864</c:v>
                </c:pt>
                <c:pt idx="512">
                  <c:v>38865</c:v>
                </c:pt>
                <c:pt idx="513">
                  <c:v>38866</c:v>
                </c:pt>
                <c:pt idx="514">
                  <c:v>38867</c:v>
                </c:pt>
                <c:pt idx="515">
                  <c:v>38868</c:v>
                </c:pt>
                <c:pt idx="516">
                  <c:v>38869</c:v>
                </c:pt>
                <c:pt idx="517">
                  <c:v>38870</c:v>
                </c:pt>
                <c:pt idx="518">
                  <c:v>38871</c:v>
                </c:pt>
                <c:pt idx="519">
                  <c:v>38872</c:v>
                </c:pt>
                <c:pt idx="520">
                  <c:v>38873</c:v>
                </c:pt>
                <c:pt idx="521">
                  <c:v>38874</c:v>
                </c:pt>
                <c:pt idx="522">
                  <c:v>38875</c:v>
                </c:pt>
                <c:pt idx="523">
                  <c:v>38876</c:v>
                </c:pt>
                <c:pt idx="524">
                  <c:v>38877</c:v>
                </c:pt>
                <c:pt idx="525">
                  <c:v>38878</c:v>
                </c:pt>
                <c:pt idx="526">
                  <c:v>38879</c:v>
                </c:pt>
                <c:pt idx="527">
                  <c:v>38880</c:v>
                </c:pt>
                <c:pt idx="528">
                  <c:v>38881</c:v>
                </c:pt>
                <c:pt idx="529">
                  <c:v>38882</c:v>
                </c:pt>
                <c:pt idx="530">
                  <c:v>38883</c:v>
                </c:pt>
                <c:pt idx="531">
                  <c:v>38884</c:v>
                </c:pt>
                <c:pt idx="532">
                  <c:v>38885</c:v>
                </c:pt>
                <c:pt idx="533">
                  <c:v>38886</c:v>
                </c:pt>
                <c:pt idx="534">
                  <c:v>38887</c:v>
                </c:pt>
                <c:pt idx="535">
                  <c:v>38888</c:v>
                </c:pt>
                <c:pt idx="536">
                  <c:v>38889</c:v>
                </c:pt>
                <c:pt idx="537">
                  <c:v>38890</c:v>
                </c:pt>
                <c:pt idx="538">
                  <c:v>38891</c:v>
                </c:pt>
                <c:pt idx="539">
                  <c:v>38892</c:v>
                </c:pt>
                <c:pt idx="540">
                  <c:v>38893</c:v>
                </c:pt>
                <c:pt idx="541">
                  <c:v>38894</c:v>
                </c:pt>
                <c:pt idx="542">
                  <c:v>38895</c:v>
                </c:pt>
                <c:pt idx="543">
                  <c:v>38896</c:v>
                </c:pt>
                <c:pt idx="544">
                  <c:v>38897</c:v>
                </c:pt>
                <c:pt idx="545">
                  <c:v>38898</c:v>
                </c:pt>
                <c:pt idx="546">
                  <c:v>38899</c:v>
                </c:pt>
                <c:pt idx="547">
                  <c:v>38900</c:v>
                </c:pt>
                <c:pt idx="548">
                  <c:v>38901</c:v>
                </c:pt>
                <c:pt idx="549">
                  <c:v>38902</c:v>
                </c:pt>
                <c:pt idx="550">
                  <c:v>38903</c:v>
                </c:pt>
                <c:pt idx="551">
                  <c:v>38904</c:v>
                </c:pt>
                <c:pt idx="552">
                  <c:v>38905</c:v>
                </c:pt>
                <c:pt idx="553">
                  <c:v>38906</c:v>
                </c:pt>
                <c:pt idx="554">
                  <c:v>38907</c:v>
                </c:pt>
                <c:pt idx="555">
                  <c:v>38908</c:v>
                </c:pt>
                <c:pt idx="556">
                  <c:v>38909</c:v>
                </c:pt>
                <c:pt idx="557">
                  <c:v>38910</c:v>
                </c:pt>
                <c:pt idx="558">
                  <c:v>38911</c:v>
                </c:pt>
                <c:pt idx="559">
                  <c:v>38912</c:v>
                </c:pt>
                <c:pt idx="560">
                  <c:v>38913</c:v>
                </c:pt>
                <c:pt idx="561">
                  <c:v>38914</c:v>
                </c:pt>
                <c:pt idx="562">
                  <c:v>38915</c:v>
                </c:pt>
                <c:pt idx="563">
                  <c:v>38916</c:v>
                </c:pt>
                <c:pt idx="564">
                  <c:v>38917</c:v>
                </c:pt>
                <c:pt idx="565">
                  <c:v>38918</c:v>
                </c:pt>
                <c:pt idx="566">
                  <c:v>38919</c:v>
                </c:pt>
                <c:pt idx="567">
                  <c:v>38920</c:v>
                </c:pt>
                <c:pt idx="568">
                  <c:v>38921</c:v>
                </c:pt>
                <c:pt idx="569">
                  <c:v>38922</c:v>
                </c:pt>
                <c:pt idx="570">
                  <c:v>38923</c:v>
                </c:pt>
                <c:pt idx="571">
                  <c:v>38924</c:v>
                </c:pt>
                <c:pt idx="572">
                  <c:v>38925</c:v>
                </c:pt>
                <c:pt idx="573">
                  <c:v>38926</c:v>
                </c:pt>
                <c:pt idx="574">
                  <c:v>38927</c:v>
                </c:pt>
                <c:pt idx="575">
                  <c:v>38928</c:v>
                </c:pt>
                <c:pt idx="576">
                  <c:v>38929</c:v>
                </c:pt>
                <c:pt idx="577">
                  <c:v>38930</c:v>
                </c:pt>
                <c:pt idx="578">
                  <c:v>38931</c:v>
                </c:pt>
                <c:pt idx="579">
                  <c:v>38932</c:v>
                </c:pt>
                <c:pt idx="580">
                  <c:v>38933</c:v>
                </c:pt>
                <c:pt idx="581">
                  <c:v>38934</c:v>
                </c:pt>
                <c:pt idx="582">
                  <c:v>38935</c:v>
                </c:pt>
                <c:pt idx="583">
                  <c:v>38936</c:v>
                </c:pt>
                <c:pt idx="584">
                  <c:v>38937</c:v>
                </c:pt>
                <c:pt idx="585">
                  <c:v>38938</c:v>
                </c:pt>
                <c:pt idx="586">
                  <c:v>38939</c:v>
                </c:pt>
                <c:pt idx="587">
                  <c:v>38940</c:v>
                </c:pt>
                <c:pt idx="588">
                  <c:v>38941</c:v>
                </c:pt>
                <c:pt idx="589">
                  <c:v>38942</c:v>
                </c:pt>
                <c:pt idx="590">
                  <c:v>38943</c:v>
                </c:pt>
                <c:pt idx="591">
                  <c:v>38944</c:v>
                </c:pt>
                <c:pt idx="592">
                  <c:v>38945</c:v>
                </c:pt>
                <c:pt idx="593">
                  <c:v>38946</c:v>
                </c:pt>
                <c:pt idx="594">
                  <c:v>38947</c:v>
                </c:pt>
                <c:pt idx="595">
                  <c:v>38948</c:v>
                </c:pt>
                <c:pt idx="596">
                  <c:v>38949</c:v>
                </c:pt>
                <c:pt idx="597">
                  <c:v>38950</c:v>
                </c:pt>
                <c:pt idx="598">
                  <c:v>38951</c:v>
                </c:pt>
                <c:pt idx="599">
                  <c:v>38952</c:v>
                </c:pt>
                <c:pt idx="600">
                  <c:v>38953</c:v>
                </c:pt>
                <c:pt idx="601">
                  <c:v>38954</c:v>
                </c:pt>
                <c:pt idx="602">
                  <c:v>38955</c:v>
                </c:pt>
                <c:pt idx="603">
                  <c:v>38956</c:v>
                </c:pt>
                <c:pt idx="604">
                  <c:v>38957</c:v>
                </c:pt>
                <c:pt idx="605">
                  <c:v>38958</c:v>
                </c:pt>
                <c:pt idx="606">
                  <c:v>38959</c:v>
                </c:pt>
                <c:pt idx="607">
                  <c:v>38960</c:v>
                </c:pt>
                <c:pt idx="608">
                  <c:v>38961</c:v>
                </c:pt>
                <c:pt idx="609">
                  <c:v>38962</c:v>
                </c:pt>
                <c:pt idx="610">
                  <c:v>38963</c:v>
                </c:pt>
                <c:pt idx="611">
                  <c:v>38964</c:v>
                </c:pt>
                <c:pt idx="612">
                  <c:v>38965</c:v>
                </c:pt>
                <c:pt idx="613">
                  <c:v>38966</c:v>
                </c:pt>
                <c:pt idx="614">
                  <c:v>38967</c:v>
                </c:pt>
                <c:pt idx="615">
                  <c:v>38968</c:v>
                </c:pt>
                <c:pt idx="616">
                  <c:v>38969</c:v>
                </c:pt>
                <c:pt idx="617">
                  <c:v>38970</c:v>
                </c:pt>
                <c:pt idx="618">
                  <c:v>38971</c:v>
                </c:pt>
                <c:pt idx="619">
                  <c:v>38972</c:v>
                </c:pt>
                <c:pt idx="620">
                  <c:v>38973</c:v>
                </c:pt>
                <c:pt idx="621">
                  <c:v>38974</c:v>
                </c:pt>
                <c:pt idx="622">
                  <c:v>38975</c:v>
                </c:pt>
                <c:pt idx="623">
                  <c:v>38976</c:v>
                </c:pt>
                <c:pt idx="624">
                  <c:v>38977</c:v>
                </c:pt>
                <c:pt idx="625">
                  <c:v>38978</c:v>
                </c:pt>
                <c:pt idx="626">
                  <c:v>38979</c:v>
                </c:pt>
                <c:pt idx="627">
                  <c:v>38980</c:v>
                </c:pt>
                <c:pt idx="628">
                  <c:v>38981</c:v>
                </c:pt>
                <c:pt idx="629">
                  <c:v>38982</c:v>
                </c:pt>
                <c:pt idx="630">
                  <c:v>38983</c:v>
                </c:pt>
                <c:pt idx="631">
                  <c:v>38984</c:v>
                </c:pt>
                <c:pt idx="632">
                  <c:v>38985</c:v>
                </c:pt>
                <c:pt idx="633">
                  <c:v>38986</c:v>
                </c:pt>
                <c:pt idx="634">
                  <c:v>38987</c:v>
                </c:pt>
                <c:pt idx="635">
                  <c:v>38988</c:v>
                </c:pt>
                <c:pt idx="636">
                  <c:v>38989</c:v>
                </c:pt>
                <c:pt idx="637">
                  <c:v>38990</c:v>
                </c:pt>
                <c:pt idx="638">
                  <c:v>38991</c:v>
                </c:pt>
                <c:pt idx="639">
                  <c:v>38992</c:v>
                </c:pt>
                <c:pt idx="640">
                  <c:v>38993</c:v>
                </c:pt>
                <c:pt idx="641">
                  <c:v>38994</c:v>
                </c:pt>
                <c:pt idx="642">
                  <c:v>38995</c:v>
                </c:pt>
                <c:pt idx="643">
                  <c:v>38996</c:v>
                </c:pt>
                <c:pt idx="644">
                  <c:v>38997</c:v>
                </c:pt>
                <c:pt idx="645">
                  <c:v>38998</c:v>
                </c:pt>
                <c:pt idx="646">
                  <c:v>38999</c:v>
                </c:pt>
                <c:pt idx="647">
                  <c:v>39000</c:v>
                </c:pt>
                <c:pt idx="648">
                  <c:v>39001</c:v>
                </c:pt>
                <c:pt idx="649">
                  <c:v>39002</c:v>
                </c:pt>
                <c:pt idx="650">
                  <c:v>39003</c:v>
                </c:pt>
                <c:pt idx="651">
                  <c:v>39004</c:v>
                </c:pt>
                <c:pt idx="652">
                  <c:v>39005</c:v>
                </c:pt>
                <c:pt idx="653">
                  <c:v>39006</c:v>
                </c:pt>
                <c:pt idx="654">
                  <c:v>39007</c:v>
                </c:pt>
                <c:pt idx="655">
                  <c:v>39008</c:v>
                </c:pt>
                <c:pt idx="656">
                  <c:v>39009</c:v>
                </c:pt>
                <c:pt idx="657">
                  <c:v>39010</c:v>
                </c:pt>
                <c:pt idx="658">
                  <c:v>39011</c:v>
                </c:pt>
                <c:pt idx="659">
                  <c:v>39012</c:v>
                </c:pt>
                <c:pt idx="660">
                  <c:v>39013</c:v>
                </c:pt>
                <c:pt idx="661">
                  <c:v>39014</c:v>
                </c:pt>
                <c:pt idx="662">
                  <c:v>39015</c:v>
                </c:pt>
                <c:pt idx="663">
                  <c:v>39016</c:v>
                </c:pt>
                <c:pt idx="664">
                  <c:v>39017</c:v>
                </c:pt>
                <c:pt idx="665">
                  <c:v>39018</c:v>
                </c:pt>
                <c:pt idx="666">
                  <c:v>39019</c:v>
                </c:pt>
                <c:pt idx="667">
                  <c:v>39020</c:v>
                </c:pt>
                <c:pt idx="668">
                  <c:v>39021</c:v>
                </c:pt>
                <c:pt idx="669">
                  <c:v>39022</c:v>
                </c:pt>
                <c:pt idx="670">
                  <c:v>39023</c:v>
                </c:pt>
                <c:pt idx="671">
                  <c:v>39024</c:v>
                </c:pt>
                <c:pt idx="672">
                  <c:v>39025</c:v>
                </c:pt>
                <c:pt idx="673">
                  <c:v>39026</c:v>
                </c:pt>
                <c:pt idx="674">
                  <c:v>39027</c:v>
                </c:pt>
                <c:pt idx="675">
                  <c:v>39028</c:v>
                </c:pt>
                <c:pt idx="676">
                  <c:v>39029</c:v>
                </c:pt>
                <c:pt idx="677">
                  <c:v>39030</c:v>
                </c:pt>
                <c:pt idx="678">
                  <c:v>39031</c:v>
                </c:pt>
                <c:pt idx="679">
                  <c:v>39032</c:v>
                </c:pt>
                <c:pt idx="680">
                  <c:v>39033</c:v>
                </c:pt>
                <c:pt idx="681">
                  <c:v>39034</c:v>
                </c:pt>
                <c:pt idx="682">
                  <c:v>39035</c:v>
                </c:pt>
                <c:pt idx="683">
                  <c:v>39036</c:v>
                </c:pt>
                <c:pt idx="684">
                  <c:v>39037</c:v>
                </c:pt>
                <c:pt idx="685">
                  <c:v>39038</c:v>
                </c:pt>
                <c:pt idx="686">
                  <c:v>39039</c:v>
                </c:pt>
                <c:pt idx="687">
                  <c:v>39040</c:v>
                </c:pt>
                <c:pt idx="688">
                  <c:v>39041</c:v>
                </c:pt>
                <c:pt idx="689">
                  <c:v>39042</c:v>
                </c:pt>
                <c:pt idx="690">
                  <c:v>39043</c:v>
                </c:pt>
                <c:pt idx="691">
                  <c:v>39044</c:v>
                </c:pt>
                <c:pt idx="692">
                  <c:v>39045</c:v>
                </c:pt>
                <c:pt idx="693">
                  <c:v>39046</c:v>
                </c:pt>
                <c:pt idx="694">
                  <c:v>39047</c:v>
                </c:pt>
                <c:pt idx="695">
                  <c:v>39048</c:v>
                </c:pt>
                <c:pt idx="696">
                  <c:v>39049</c:v>
                </c:pt>
                <c:pt idx="697">
                  <c:v>39050</c:v>
                </c:pt>
                <c:pt idx="698">
                  <c:v>39051</c:v>
                </c:pt>
                <c:pt idx="699">
                  <c:v>39052</c:v>
                </c:pt>
                <c:pt idx="700">
                  <c:v>39053</c:v>
                </c:pt>
                <c:pt idx="701">
                  <c:v>39054</c:v>
                </c:pt>
                <c:pt idx="702">
                  <c:v>39055</c:v>
                </c:pt>
                <c:pt idx="703">
                  <c:v>39056</c:v>
                </c:pt>
                <c:pt idx="704">
                  <c:v>39057</c:v>
                </c:pt>
                <c:pt idx="705">
                  <c:v>39058</c:v>
                </c:pt>
                <c:pt idx="706">
                  <c:v>39059</c:v>
                </c:pt>
                <c:pt idx="707">
                  <c:v>39060</c:v>
                </c:pt>
                <c:pt idx="708">
                  <c:v>39061</c:v>
                </c:pt>
                <c:pt idx="709">
                  <c:v>39062</c:v>
                </c:pt>
                <c:pt idx="710">
                  <c:v>39063</c:v>
                </c:pt>
                <c:pt idx="711">
                  <c:v>39064</c:v>
                </c:pt>
                <c:pt idx="712">
                  <c:v>39065</c:v>
                </c:pt>
                <c:pt idx="713">
                  <c:v>39066</c:v>
                </c:pt>
                <c:pt idx="714">
                  <c:v>39067</c:v>
                </c:pt>
                <c:pt idx="715">
                  <c:v>39068</c:v>
                </c:pt>
                <c:pt idx="716">
                  <c:v>39069</c:v>
                </c:pt>
                <c:pt idx="717">
                  <c:v>39070</c:v>
                </c:pt>
                <c:pt idx="718">
                  <c:v>39071</c:v>
                </c:pt>
                <c:pt idx="719">
                  <c:v>39072</c:v>
                </c:pt>
                <c:pt idx="720">
                  <c:v>39073</c:v>
                </c:pt>
                <c:pt idx="721">
                  <c:v>39074</c:v>
                </c:pt>
                <c:pt idx="722">
                  <c:v>39075</c:v>
                </c:pt>
                <c:pt idx="723">
                  <c:v>39076</c:v>
                </c:pt>
                <c:pt idx="724">
                  <c:v>39077</c:v>
                </c:pt>
                <c:pt idx="725">
                  <c:v>39078</c:v>
                </c:pt>
                <c:pt idx="726">
                  <c:v>39079</c:v>
                </c:pt>
                <c:pt idx="727">
                  <c:v>39080</c:v>
                </c:pt>
                <c:pt idx="728">
                  <c:v>39081</c:v>
                </c:pt>
                <c:pt idx="729">
                  <c:v>39082</c:v>
                </c:pt>
                <c:pt idx="730">
                  <c:v>39083</c:v>
                </c:pt>
                <c:pt idx="731">
                  <c:v>39084</c:v>
                </c:pt>
                <c:pt idx="732">
                  <c:v>39085</c:v>
                </c:pt>
                <c:pt idx="733">
                  <c:v>39086</c:v>
                </c:pt>
                <c:pt idx="734">
                  <c:v>39087</c:v>
                </c:pt>
                <c:pt idx="735">
                  <c:v>39088</c:v>
                </c:pt>
                <c:pt idx="736">
                  <c:v>39089</c:v>
                </c:pt>
                <c:pt idx="737">
                  <c:v>39090</c:v>
                </c:pt>
                <c:pt idx="738">
                  <c:v>39091</c:v>
                </c:pt>
                <c:pt idx="739">
                  <c:v>39092</c:v>
                </c:pt>
                <c:pt idx="740">
                  <c:v>39093</c:v>
                </c:pt>
                <c:pt idx="741">
                  <c:v>39094</c:v>
                </c:pt>
                <c:pt idx="742">
                  <c:v>39095</c:v>
                </c:pt>
                <c:pt idx="743">
                  <c:v>39096</c:v>
                </c:pt>
                <c:pt idx="744">
                  <c:v>39097</c:v>
                </c:pt>
                <c:pt idx="745">
                  <c:v>39098</c:v>
                </c:pt>
                <c:pt idx="746">
                  <c:v>39099</c:v>
                </c:pt>
                <c:pt idx="747">
                  <c:v>39100</c:v>
                </c:pt>
                <c:pt idx="748">
                  <c:v>39101</c:v>
                </c:pt>
                <c:pt idx="749">
                  <c:v>39102</c:v>
                </c:pt>
                <c:pt idx="750">
                  <c:v>39103</c:v>
                </c:pt>
                <c:pt idx="751">
                  <c:v>39104</c:v>
                </c:pt>
                <c:pt idx="752">
                  <c:v>39105</c:v>
                </c:pt>
                <c:pt idx="753">
                  <c:v>39106</c:v>
                </c:pt>
                <c:pt idx="754">
                  <c:v>39107</c:v>
                </c:pt>
                <c:pt idx="755">
                  <c:v>39108</c:v>
                </c:pt>
                <c:pt idx="756">
                  <c:v>39109</c:v>
                </c:pt>
                <c:pt idx="757">
                  <c:v>39110</c:v>
                </c:pt>
                <c:pt idx="758">
                  <c:v>39111</c:v>
                </c:pt>
                <c:pt idx="759">
                  <c:v>39112</c:v>
                </c:pt>
                <c:pt idx="760">
                  <c:v>39113</c:v>
                </c:pt>
                <c:pt idx="761">
                  <c:v>39114</c:v>
                </c:pt>
                <c:pt idx="762">
                  <c:v>39115</c:v>
                </c:pt>
                <c:pt idx="763">
                  <c:v>39116</c:v>
                </c:pt>
                <c:pt idx="764">
                  <c:v>39117</c:v>
                </c:pt>
                <c:pt idx="765">
                  <c:v>39118</c:v>
                </c:pt>
                <c:pt idx="766">
                  <c:v>39119</c:v>
                </c:pt>
                <c:pt idx="767">
                  <c:v>39120</c:v>
                </c:pt>
                <c:pt idx="768">
                  <c:v>39121</c:v>
                </c:pt>
                <c:pt idx="769">
                  <c:v>39122</c:v>
                </c:pt>
                <c:pt idx="770">
                  <c:v>39123</c:v>
                </c:pt>
                <c:pt idx="771">
                  <c:v>39124</c:v>
                </c:pt>
                <c:pt idx="772">
                  <c:v>39125</c:v>
                </c:pt>
                <c:pt idx="773">
                  <c:v>39126</c:v>
                </c:pt>
                <c:pt idx="774">
                  <c:v>39127</c:v>
                </c:pt>
                <c:pt idx="775">
                  <c:v>39128</c:v>
                </c:pt>
                <c:pt idx="776">
                  <c:v>39129</c:v>
                </c:pt>
                <c:pt idx="777">
                  <c:v>39130</c:v>
                </c:pt>
                <c:pt idx="778">
                  <c:v>39131</c:v>
                </c:pt>
                <c:pt idx="779">
                  <c:v>39132</c:v>
                </c:pt>
                <c:pt idx="780">
                  <c:v>39133</c:v>
                </c:pt>
                <c:pt idx="781">
                  <c:v>39134</c:v>
                </c:pt>
                <c:pt idx="782">
                  <c:v>39135</c:v>
                </c:pt>
                <c:pt idx="783">
                  <c:v>39136</c:v>
                </c:pt>
                <c:pt idx="784">
                  <c:v>39137</c:v>
                </c:pt>
                <c:pt idx="785">
                  <c:v>39138</c:v>
                </c:pt>
                <c:pt idx="786">
                  <c:v>39139</c:v>
                </c:pt>
                <c:pt idx="787">
                  <c:v>39140</c:v>
                </c:pt>
                <c:pt idx="788">
                  <c:v>39141</c:v>
                </c:pt>
                <c:pt idx="789">
                  <c:v>39142</c:v>
                </c:pt>
                <c:pt idx="790">
                  <c:v>39143</c:v>
                </c:pt>
                <c:pt idx="791">
                  <c:v>39144</c:v>
                </c:pt>
                <c:pt idx="792">
                  <c:v>39145</c:v>
                </c:pt>
                <c:pt idx="793">
                  <c:v>39146</c:v>
                </c:pt>
                <c:pt idx="794">
                  <c:v>39147</c:v>
                </c:pt>
                <c:pt idx="795">
                  <c:v>39148</c:v>
                </c:pt>
                <c:pt idx="796">
                  <c:v>39149</c:v>
                </c:pt>
                <c:pt idx="797">
                  <c:v>39150</c:v>
                </c:pt>
                <c:pt idx="798">
                  <c:v>39151</c:v>
                </c:pt>
                <c:pt idx="799">
                  <c:v>39152</c:v>
                </c:pt>
                <c:pt idx="800">
                  <c:v>39153</c:v>
                </c:pt>
                <c:pt idx="801">
                  <c:v>39154</c:v>
                </c:pt>
                <c:pt idx="802">
                  <c:v>39155</c:v>
                </c:pt>
                <c:pt idx="803">
                  <c:v>39156</c:v>
                </c:pt>
                <c:pt idx="804">
                  <c:v>39157</c:v>
                </c:pt>
                <c:pt idx="805">
                  <c:v>39158</c:v>
                </c:pt>
                <c:pt idx="806">
                  <c:v>39159</c:v>
                </c:pt>
                <c:pt idx="807">
                  <c:v>39160</c:v>
                </c:pt>
                <c:pt idx="808">
                  <c:v>39161</c:v>
                </c:pt>
                <c:pt idx="809">
                  <c:v>39162</c:v>
                </c:pt>
                <c:pt idx="810">
                  <c:v>39163</c:v>
                </c:pt>
                <c:pt idx="811">
                  <c:v>39164</c:v>
                </c:pt>
                <c:pt idx="812">
                  <c:v>39165</c:v>
                </c:pt>
                <c:pt idx="813">
                  <c:v>39166</c:v>
                </c:pt>
                <c:pt idx="814">
                  <c:v>39167</c:v>
                </c:pt>
                <c:pt idx="815">
                  <c:v>39168</c:v>
                </c:pt>
                <c:pt idx="816">
                  <c:v>39169</c:v>
                </c:pt>
                <c:pt idx="817">
                  <c:v>39170</c:v>
                </c:pt>
                <c:pt idx="818">
                  <c:v>39171</c:v>
                </c:pt>
                <c:pt idx="819">
                  <c:v>39172</c:v>
                </c:pt>
                <c:pt idx="820">
                  <c:v>39173</c:v>
                </c:pt>
                <c:pt idx="821">
                  <c:v>39174</c:v>
                </c:pt>
                <c:pt idx="822">
                  <c:v>39175</c:v>
                </c:pt>
                <c:pt idx="823">
                  <c:v>39176</c:v>
                </c:pt>
                <c:pt idx="824">
                  <c:v>39177</c:v>
                </c:pt>
                <c:pt idx="825">
                  <c:v>39178</c:v>
                </c:pt>
                <c:pt idx="826">
                  <c:v>39179</c:v>
                </c:pt>
                <c:pt idx="827">
                  <c:v>39180</c:v>
                </c:pt>
                <c:pt idx="828">
                  <c:v>39181</c:v>
                </c:pt>
                <c:pt idx="829">
                  <c:v>39182</c:v>
                </c:pt>
                <c:pt idx="830">
                  <c:v>39183</c:v>
                </c:pt>
                <c:pt idx="831">
                  <c:v>39184</c:v>
                </c:pt>
                <c:pt idx="832">
                  <c:v>39185</c:v>
                </c:pt>
                <c:pt idx="833">
                  <c:v>39186</c:v>
                </c:pt>
                <c:pt idx="834">
                  <c:v>39187</c:v>
                </c:pt>
                <c:pt idx="835">
                  <c:v>39188</c:v>
                </c:pt>
                <c:pt idx="836">
                  <c:v>39189</c:v>
                </c:pt>
                <c:pt idx="837">
                  <c:v>39190</c:v>
                </c:pt>
                <c:pt idx="838">
                  <c:v>39191</c:v>
                </c:pt>
                <c:pt idx="839">
                  <c:v>39192</c:v>
                </c:pt>
                <c:pt idx="840">
                  <c:v>39193</c:v>
                </c:pt>
                <c:pt idx="841">
                  <c:v>39194</c:v>
                </c:pt>
                <c:pt idx="842">
                  <c:v>39195</c:v>
                </c:pt>
                <c:pt idx="843">
                  <c:v>39196</c:v>
                </c:pt>
                <c:pt idx="844">
                  <c:v>39197</c:v>
                </c:pt>
                <c:pt idx="845">
                  <c:v>39198</c:v>
                </c:pt>
                <c:pt idx="846">
                  <c:v>39199</c:v>
                </c:pt>
                <c:pt idx="847">
                  <c:v>39200</c:v>
                </c:pt>
                <c:pt idx="848">
                  <c:v>39201</c:v>
                </c:pt>
                <c:pt idx="849">
                  <c:v>39202</c:v>
                </c:pt>
                <c:pt idx="850">
                  <c:v>39203</c:v>
                </c:pt>
                <c:pt idx="851">
                  <c:v>39204</c:v>
                </c:pt>
                <c:pt idx="852">
                  <c:v>39205</c:v>
                </c:pt>
                <c:pt idx="853">
                  <c:v>39206</c:v>
                </c:pt>
                <c:pt idx="854">
                  <c:v>39207</c:v>
                </c:pt>
                <c:pt idx="855">
                  <c:v>39208</c:v>
                </c:pt>
                <c:pt idx="856">
                  <c:v>39209</c:v>
                </c:pt>
                <c:pt idx="857">
                  <c:v>39210</c:v>
                </c:pt>
                <c:pt idx="858">
                  <c:v>39211</c:v>
                </c:pt>
                <c:pt idx="859">
                  <c:v>39212</c:v>
                </c:pt>
                <c:pt idx="860">
                  <c:v>39213</c:v>
                </c:pt>
                <c:pt idx="861">
                  <c:v>39214</c:v>
                </c:pt>
                <c:pt idx="862">
                  <c:v>39215</c:v>
                </c:pt>
                <c:pt idx="863">
                  <c:v>39216</c:v>
                </c:pt>
                <c:pt idx="864">
                  <c:v>39217</c:v>
                </c:pt>
                <c:pt idx="865">
                  <c:v>39218</c:v>
                </c:pt>
                <c:pt idx="866">
                  <c:v>39219</c:v>
                </c:pt>
                <c:pt idx="867">
                  <c:v>39220</c:v>
                </c:pt>
                <c:pt idx="868">
                  <c:v>39221</c:v>
                </c:pt>
                <c:pt idx="869">
                  <c:v>39222</c:v>
                </c:pt>
                <c:pt idx="870">
                  <c:v>39223</c:v>
                </c:pt>
                <c:pt idx="871">
                  <c:v>39224</c:v>
                </c:pt>
                <c:pt idx="872">
                  <c:v>39225</c:v>
                </c:pt>
                <c:pt idx="873">
                  <c:v>39226</c:v>
                </c:pt>
                <c:pt idx="874">
                  <c:v>39227</c:v>
                </c:pt>
                <c:pt idx="875">
                  <c:v>39228</c:v>
                </c:pt>
                <c:pt idx="876">
                  <c:v>39229</c:v>
                </c:pt>
                <c:pt idx="877">
                  <c:v>39230</c:v>
                </c:pt>
                <c:pt idx="878">
                  <c:v>39231</c:v>
                </c:pt>
                <c:pt idx="879">
                  <c:v>39232</c:v>
                </c:pt>
                <c:pt idx="880">
                  <c:v>39233</c:v>
                </c:pt>
                <c:pt idx="881">
                  <c:v>39234</c:v>
                </c:pt>
                <c:pt idx="882">
                  <c:v>39235</c:v>
                </c:pt>
                <c:pt idx="883">
                  <c:v>39236</c:v>
                </c:pt>
                <c:pt idx="884">
                  <c:v>39237</c:v>
                </c:pt>
                <c:pt idx="885">
                  <c:v>39238</c:v>
                </c:pt>
                <c:pt idx="886">
                  <c:v>39239</c:v>
                </c:pt>
                <c:pt idx="887">
                  <c:v>39240</c:v>
                </c:pt>
                <c:pt idx="888">
                  <c:v>39241</c:v>
                </c:pt>
                <c:pt idx="889">
                  <c:v>39242</c:v>
                </c:pt>
                <c:pt idx="890">
                  <c:v>39243</c:v>
                </c:pt>
                <c:pt idx="891">
                  <c:v>39244</c:v>
                </c:pt>
                <c:pt idx="892">
                  <c:v>39245</c:v>
                </c:pt>
                <c:pt idx="893">
                  <c:v>39246</c:v>
                </c:pt>
                <c:pt idx="894">
                  <c:v>39247</c:v>
                </c:pt>
                <c:pt idx="895">
                  <c:v>39248</c:v>
                </c:pt>
                <c:pt idx="896">
                  <c:v>39249</c:v>
                </c:pt>
                <c:pt idx="897">
                  <c:v>39250</c:v>
                </c:pt>
                <c:pt idx="898">
                  <c:v>39251</c:v>
                </c:pt>
                <c:pt idx="899">
                  <c:v>39252</c:v>
                </c:pt>
                <c:pt idx="900">
                  <c:v>39253</c:v>
                </c:pt>
                <c:pt idx="901">
                  <c:v>39254</c:v>
                </c:pt>
                <c:pt idx="902">
                  <c:v>39255</c:v>
                </c:pt>
                <c:pt idx="903">
                  <c:v>39256</c:v>
                </c:pt>
                <c:pt idx="904">
                  <c:v>39257</c:v>
                </c:pt>
                <c:pt idx="905">
                  <c:v>39258</c:v>
                </c:pt>
                <c:pt idx="906">
                  <c:v>39259</c:v>
                </c:pt>
                <c:pt idx="907">
                  <c:v>39260</c:v>
                </c:pt>
                <c:pt idx="908">
                  <c:v>39261</c:v>
                </c:pt>
                <c:pt idx="909">
                  <c:v>39262</c:v>
                </c:pt>
                <c:pt idx="910">
                  <c:v>39263</c:v>
                </c:pt>
                <c:pt idx="911">
                  <c:v>39264</c:v>
                </c:pt>
                <c:pt idx="912">
                  <c:v>39265</c:v>
                </c:pt>
                <c:pt idx="913">
                  <c:v>39266</c:v>
                </c:pt>
                <c:pt idx="914">
                  <c:v>39267</c:v>
                </c:pt>
                <c:pt idx="915">
                  <c:v>39268</c:v>
                </c:pt>
                <c:pt idx="916">
                  <c:v>39269</c:v>
                </c:pt>
                <c:pt idx="917">
                  <c:v>39270</c:v>
                </c:pt>
                <c:pt idx="918">
                  <c:v>39271</c:v>
                </c:pt>
                <c:pt idx="919">
                  <c:v>39272</c:v>
                </c:pt>
                <c:pt idx="920">
                  <c:v>39273</c:v>
                </c:pt>
                <c:pt idx="921">
                  <c:v>39274</c:v>
                </c:pt>
                <c:pt idx="922">
                  <c:v>39275</c:v>
                </c:pt>
                <c:pt idx="923">
                  <c:v>39276</c:v>
                </c:pt>
                <c:pt idx="924">
                  <c:v>39277</c:v>
                </c:pt>
                <c:pt idx="925">
                  <c:v>39278</c:v>
                </c:pt>
                <c:pt idx="926">
                  <c:v>39279</c:v>
                </c:pt>
                <c:pt idx="927">
                  <c:v>39280</c:v>
                </c:pt>
                <c:pt idx="928">
                  <c:v>39281</c:v>
                </c:pt>
                <c:pt idx="929">
                  <c:v>39282</c:v>
                </c:pt>
                <c:pt idx="930">
                  <c:v>39283</c:v>
                </c:pt>
                <c:pt idx="931">
                  <c:v>39284</c:v>
                </c:pt>
                <c:pt idx="932">
                  <c:v>39285</c:v>
                </c:pt>
                <c:pt idx="933">
                  <c:v>39286</c:v>
                </c:pt>
                <c:pt idx="934">
                  <c:v>39287</c:v>
                </c:pt>
                <c:pt idx="935">
                  <c:v>39288</c:v>
                </c:pt>
                <c:pt idx="936">
                  <c:v>39289</c:v>
                </c:pt>
                <c:pt idx="937">
                  <c:v>39290</c:v>
                </c:pt>
                <c:pt idx="938">
                  <c:v>39291</c:v>
                </c:pt>
                <c:pt idx="939">
                  <c:v>39292</c:v>
                </c:pt>
                <c:pt idx="940">
                  <c:v>39293</c:v>
                </c:pt>
                <c:pt idx="941">
                  <c:v>39294</c:v>
                </c:pt>
                <c:pt idx="942">
                  <c:v>39295</c:v>
                </c:pt>
                <c:pt idx="943">
                  <c:v>39296</c:v>
                </c:pt>
                <c:pt idx="944">
                  <c:v>39297</c:v>
                </c:pt>
                <c:pt idx="945">
                  <c:v>39298</c:v>
                </c:pt>
                <c:pt idx="946">
                  <c:v>39299</c:v>
                </c:pt>
                <c:pt idx="947">
                  <c:v>39300</c:v>
                </c:pt>
                <c:pt idx="948">
                  <c:v>39301</c:v>
                </c:pt>
                <c:pt idx="949">
                  <c:v>39302</c:v>
                </c:pt>
                <c:pt idx="950">
                  <c:v>39303</c:v>
                </c:pt>
                <c:pt idx="951">
                  <c:v>39304</c:v>
                </c:pt>
                <c:pt idx="952">
                  <c:v>39305</c:v>
                </c:pt>
                <c:pt idx="953">
                  <c:v>39306</c:v>
                </c:pt>
                <c:pt idx="954">
                  <c:v>39307</c:v>
                </c:pt>
                <c:pt idx="955">
                  <c:v>39308</c:v>
                </c:pt>
                <c:pt idx="956">
                  <c:v>39309</c:v>
                </c:pt>
                <c:pt idx="957">
                  <c:v>39310</c:v>
                </c:pt>
                <c:pt idx="958">
                  <c:v>39311</c:v>
                </c:pt>
                <c:pt idx="959">
                  <c:v>39312</c:v>
                </c:pt>
                <c:pt idx="960">
                  <c:v>39313</c:v>
                </c:pt>
                <c:pt idx="961">
                  <c:v>39314</c:v>
                </c:pt>
                <c:pt idx="962">
                  <c:v>39315</c:v>
                </c:pt>
                <c:pt idx="963">
                  <c:v>39316</c:v>
                </c:pt>
                <c:pt idx="964">
                  <c:v>39317</c:v>
                </c:pt>
                <c:pt idx="965">
                  <c:v>39318</c:v>
                </c:pt>
                <c:pt idx="966">
                  <c:v>39319</c:v>
                </c:pt>
                <c:pt idx="967">
                  <c:v>39320</c:v>
                </c:pt>
                <c:pt idx="968">
                  <c:v>39321</c:v>
                </c:pt>
                <c:pt idx="969">
                  <c:v>39322</c:v>
                </c:pt>
                <c:pt idx="970">
                  <c:v>39323</c:v>
                </c:pt>
                <c:pt idx="971">
                  <c:v>39324</c:v>
                </c:pt>
                <c:pt idx="972">
                  <c:v>39325</c:v>
                </c:pt>
                <c:pt idx="973">
                  <c:v>39326</c:v>
                </c:pt>
                <c:pt idx="974">
                  <c:v>39327</c:v>
                </c:pt>
                <c:pt idx="975">
                  <c:v>39328</c:v>
                </c:pt>
                <c:pt idx="976">
                  <c:v>39329</c:v>
                </c:pt>
                <c:pt idx="977">
                  <c:v>39330</c:v>
                </c:pt>
                <c:pt idx="978">
                  <c:v>39331</c:v>
                </c:pt>
                <c:pt idx="979">
                  <c:v>39332</c:v>
                </c:pt>
                <c:pt idx="980">
                  <c:v>39333</c:v>
                </c:pt>
                <c:pt idx="981">
                  <c:v>39334</c:v>
                </c:pt>
                <c:pt idx="982">
                  <c:v>39335</c:v>
                </c:pt>
                <c:pt idx="983">
                  <c:v>39336</c:v>
                </c:pt>
                <c:pt idx="984">
                  <c:v>39337</c:v>
                </c:pt>
                <c:pt idx="985">
                  <c:v>39338</c:v>
                </c:pt>
                <c:pt idx="986">
                  <c:v>39339</c:v>
                </c:pt>
                <c:pt idx="987">
                  <c:v>39340</c:v>
                </c:pt>
                <c:pt idx="988">
                  <c:v>39341</c:v>
                </c:pt>
                <c:pt idx="989">
                  <c:v>39342</c:v>
                </c:pt>
                <c:pt idx="990">
                  <c:v>39343</c:v>
                </c:pt>
                <c:pt idx="991">
                  <c:v>39344</c:v>
                </c:pt>
                <c:pt idx="992">
                  <c:v>39345</c:v>
                </c:pt>
                <c:pt idx="993">
                  <c:v>39346</c:v>
                </c:pt>
                <c:pt idx="994">
                  <c:v>39347</c:v>
                </c:pt>
                <c:pt idx="995">
                  <c:v>39348</c:v>
                </c:pt>
                <c:pt idx="996">
                  <c:v>39349</c:v>
                </c:pt>
                <c:pt idx="997">
                  <c:v>39350</c:v>
                </c:pt>
                <c:pt idx="998">
                  <c:v>39351</c:v>
                </c:pt>
                <c:pt idx="999">
                  <c:v>39352</c:v>
                </c:pt>
                <c:pt idx="1000">
                  <c:v>39353</c:v>
                </c:pt>
                <c:pt idx="1001">
                  <c:v>39354</c:v>
                </c:pt>
                <c:pt idx="1002">
                  <c:v>39355</c:v>
                </c:pt>
                <c:pt idx="1003">
                  <c:v>39356</c:v>
                </c:pt>
                <c:pt idx="1004">
                  <c:v>39357</c:v>
                </c:pt>
                <c:pt idx="1005">
                  <c:v>39358</c:v>
                </c:pt>
                <c:pt idx="1006">
                  <c:v>39359</c:v>
                </c:pt>
                <c:pt idx="1007">
                  <c:v>39360</c:v>
                </c:pt>
                <c:pt idx="1008">
                  <c:v>39361</c:v>
                </c:pt>
                <c:pt idx="1009">
                  <c:v>39362</c:v>
                </c:pt>
                <c:pt idx="1010">
                  <c:v>39363</c:v>
                </c:pt>
                <c:pt idx="1011">
                  <c:v>39364</c:v>
                </c:pt>
                <c:pt idx="1012">
                  <c:v>39365</c:v>
                </c:pt>
                <c:pt idx="1013">
                  <c:v>39366</c:v>
                </c:pt>
                <c:pt idx="1014">
                  <c:v>39367</c:v>
                </c:pt>
                <c:pt idx="1015">
                  <c:v>39368</c:v>
                </c:pt>
                <c:pt idx="1016">
                  <c:v>39369</c:v>
                </c:pt>
                <c:pt idx="1017">
                  <c:v>39370</c:v>
                </c:pt>
                <c:pt idx="1018">
                  <c:v>39371</c:v>
                </c:pt>
                <c:pt idx="1019">
                  <c:v>39372</c:v>
                </c:pt>
                <c:pt idx="1020">
                  <c:v>39373</c:v>
                </c:pt>
                <c:pt idx="1021">
                  <c:v>39374</c:v>
                </c:pt>
                <c:pt idx="1022">
                  <c:v>39375</c:v>
                </c:pt>
                <c:pt idx="1023">
                  <c:v>39376</c:v>
                </c:pt>
                <c:pt idx="1024">
                  <c:v>39377</c:v>
                </c:pt>
                <c:pt idx="1025">
                  <c:v>39378</c:v>
                </c:pt>
                <c:pt idx="1026">
                  <c:v>39379</c:v>
                </c:pt>
                <c:pt idx="1027">
                  <c:v>39380</c:v>
                </c:pt>
                <c:pt idx="1028">
                  <c:v>39381</c:v>
                </c:pt>
                <c:pt idx="1029">
                  <c:v>39382</c:v>
                </c:pt>
                <c:pt idx="1030">
                  <c:v>39383</c:v>
                </c:pt>
                <c:pt idx="1031">
                  <c:v>39384</c:v>
                </c:pt>
                <c:pt idx="1032">
                  <c:v>39385</c:v>
                </c:pt>
                <c:pt idx="1033">
                  <c:v>39386</c:v>
                </c:pt>
                <c:pt idx="1034">
                  <c:v>39387</c:v>
                </c:pt>
                <c:pt idx="1035">
                  <c:v>39388</c:v>
                </c:pt>
                <c:pt idx="1036">
                  <c:v>39389</c:v>
                </c:pt>
                <c:pt idx="1037">
                  <c:v>39390</c:v>
                </c:pt>
                <c:pt idx="1038">
                  <c:v>39391</c:v>
                </c:pt>
                <c:pt idx="1039">
                  <c:v>39392</c:v>
                </c:pt>
                <c:pt idx="1040">
                  <c:v>39393</c:v>
                </c:pt>
                <c:pt idx="1041">
                  <c:v>39394</c:v>
                </c:pt>
                <c:pt idx="1042">
                  <c:v>39395</c:v>
                </c:pt>
                <c:pt idx="1043">
                  <c:v>39396</c:v>
                </c:pt>
                <c:pt idx="1044">
                  <c:v>39397</c:v>
                </c:pt>
                <c:pt idx="1045">
                  <c:v>39398</c:v>
                </c:pt>
                <c:pt idx="1046">
                  <c:v>39399</c:v>
                </c:pt>
                <c:pt idx="1047">
                  <c:v>39400</c:v>
                </c:pt>
                <c:pt idx="1048">
                  <c:v>39401</c:v>
                </c:pt>
                <c:pt idx="1049">
                  <c:v>39402</c:v>
                </c:pt>
                <c:pt idx="1050">
                  <c:v>39403</c:v>
                </c:pt>
                <c:pt idx="1051">
                  <c:v>39404</c:v>
                </c:pt>
                <c:pt idx="1052">
                  <c:v>39405</c:v>
                </c:pt>
                <c:pt idx="1053">
                  <c:v>39406</c:v>
                </c:pt>
                <c:pt idx="1054">
                  <c:v>39407</c:v>
                </c:pt>
                <c:pt idx="1055">
                  <c:v>39408</c:v>
                </c:pt>
                <c:pt idx="1056">
                  <c:v>39409</c:v>
                </c:pt>
                <c:pt idx="1057">
                  <c:v>39410</c:v>
                </c:pt>
                <c:pt idx="1058">
                  <c:v>39411</c:v>
                </c:pt>
                <c:pt idx="1059">
                  <c:v>39412</c:v>
                </c:pt>
                <c:pt idx="1060">
                  <c:v>39413</c:v>
                </c:pt>
                <c:pt idx="1061">
                  <c:v>39414</c:v>
                </c:pt>
                <c:pt idx="1062">
                  <c:v>39415</c:v>
                </c:pt>
                <c:pt idx="1063">
                  <c:v>39416</c:v>
                </c:pt>
                <c:pt idx="1064">
                  <c:v>39417</c:v>
                </c:pt>
                <c:pt idx="1065">
                  <c:v>39418</c:v>
                </c:pt>
                <c:pt idx="1066">
                  <c:v>39419</c:v>
                </c:pt>
                <c:pt idx="1067">
                  <c:v>39420</c:v>
                </c:pt>
                <c:pt idx="1068">
                  <c:v>39421</c:v>
                </c:pt>
                <c:pt idx="1069">
                  <c:v>39422</c:v>
                </c:pt>
                <c:pt idx="1070">
                  <c:v>39423</c:v>
                </c:pt>
                <c:pt idx="1071">
                  <c:v>39424</c:v>
                </c:pt>
                <c:pt idx="1072">
                  <c:v>39425</c:v>
                </c:pt>
                <c:pt idx="1073">
                  <c:v>39426</c:v>
                </c:pt>
                <c:pt idx="1074">
                  <c:v>39427</c:v>
                </c:pt>
                <c:pt idx="1075">
                  <c:v>39428</c:v>
                </c:pt>
                <c:pt idx="1076">
                  <c:v>39429</c:v>
                </c:pt>
                <c:pt idx="1077">
                  <c:v>39430</c:v>
                </c:pt>
                <c:pt idx="1078">
                  <c:v>39431</c:v>
                </c:pt>
                <c:pt idx="1079">
                  <c:v>39432</c:v>
                </c:pt>
                <c:pt idx="1080">
                  <c:v>39433</c:v>
                </c:pt>
                <c:pt idx="1081">
                  <c:v>39434</c:v>
                </c:pt>
                <c:pt idx="1082">
                  <c:v>39435</c:v>
                </c:pt>
                <c:pt idx="1083">
                  <c:v>39436</c:v>
                </c:pt>
                <c:pt idx="1084">
                  <c:v>39437</c:v>
                </c:pt>
                <c:pt idx="1085">
                  <c:v>39438</c:v>
                </c:pt>
                <c:pt idx="1086">
                  <c:v>39439</c:v>
                </c:pt>
                <c:pt idx="1087">
                  <c:v>39440</c:v>
                </c:pt>
                <c:pt idx="1088">
                  <c:v>39441</c:v>
                </c:pt>
                <c:pt idx="1089">
                  <c:v>39442</c:v>
                </c:pt>
                <c:pt idx="1090">
                  <c:v>39443</c:v>
                </c:pt>
                <c:pt idx="1091">
                  <c:v>39444</c:v>
                </c:pt>
                <c:pt idx="1092">
                  <c:v>39445</c:v>
                </c:pt>
                <c:pt idx="1093">
                  <c:v>39446</c:v>
                </c:pt>
                <c:pt idx="1094">
                  <c:v>39447</c:v>
                </c:pt>
                <c:pt idx="1095">
                  <c:v>39448</c:v>
                </c:pt>
                <c:pt idx="1096">
                  <c:v>39449</c:v>
                </c:pt>
                <c:pt idx="1097">
                  <c:v>39450</c:v>
                </c:pt>
                <c:pt idx="1098">
                  <c:v>39451</c:v>
                </c:pt>
                <c:pt idx="1099">
                  <c:v>39452</c:v>
                </c:pt>
                <c:pt idx="1100">
                  <c:v>39453</c:v>
                </c:pt>
                <c:pt idx="1101">
                  <c:v>39454</c:v>
                </c:pt>
                <c:pt idx="1102">
                  <c:v>39455</c:v>
                </c:pt>
                <c:pt idx="1103">
                  <c:v>39456</c:v>
                </c:pt>
                <c:pt idx="1104">
                  <c:v>39457</c:v>
                </c:pt>
                <c:pt idx="1105">
                  <c:v>39458</c:v>
                </c:pt>
                <c:pt idx="1106">
                  <c:v>39459</c:v>
                </c:pt>
                <c:pt idx="1107">
                  <c:v>39460</c:v>
                </c:pt>
                <c:pt idx="1108">
                  <c:v>39461</c:v>
                </c:pt>
                <c:pt idx="1109">
                  <c:v>39462</c:v>
                </c:pt>
                <c:pt idx="1110">
                  <c:v>39463</c:v>
                </c:pt>
                <c:pt idx="1111">
                  <c:v>39464</c:v>
                </c:pt>
                <c:pt idx="1112">
                  <c:v>39465</c:v>
                </c:pt>
                <c:pt idx="1113">
                  <c:v>39466</c:v>
                </c:pt>
                <c:pt idx="1114">
                  <c:v>39467</c:v>
                </c:pt>
                <c:pt idx="1115">
                  <c:v>39468</c:v>
                </c:pt>
                <c:pt idx="1116">
                  <c:v>39469</c:v>
                </c:pt>
                <c:pt idx="1117">
                  <c:v>39470</c:v>
                </c:pt>
                <c:pt idx="1118">
                  <c:v>39471</c:v>
                </c:pt>
                <c:pt idx="1119">
                  <c:v>39472</c:v>
                </c:pt>
                <c:pt idx="1120">
                  <c:v>39473</c:v>
                </c:pt>
                <c:pt idx="1121">
                  <c:v>39474</c:v>
                </c:pt>
                <c:pt idx="1122">
                  <c:v>39475</c:v>
                </c:pt>
                <c:pt idx="1123">
                  <c:v>39476</c:v>
                </c:pt>
                <c:pt idx="1124">
                  <c:v>39477</c:v>
                </c:pt>
                <c:pt idx="1125">
                  <c:v>39478</c:v>
                </c:pt>
                <c:pt idx="1126">
                  <c:v>39479</c:v>
                </c:pt>
                <c:pt idx="1127">
                  <c:v>39480</c:v>
                </c:pt>
                <c:pt idx="1128">
                  <c:v>39481</c:v>
                </c:pt>
                <c:pt idx="1129">
                  <c:v>39482</c:v>
                </c:pt>
                <c:pt idx="1130">
                  <c:v>39483</c:v>
                </c:pt>
                <c:pt idx="1131">
                  <c:v>39484</c:v>
                </c:pt>
                <c:pt idx="1132">
                  <c:v>39485</c:v>
                </c:pt>
                <c:pt idx="1133">
                  <c:v>39486</c:v>
                </c:pt>
                <c:pt idx="1134">
                  <c:v>39487</c:v>
                </c:pt>
                <c:pt idx="1135">
                  <c:v>39488</c:v>
                </c:pt>
                <c:pt idx="1136">
                  <c:v>39489</c:v>
                </c:pt>
                <c:pt idx="1137">
                  <c:v>39490</c:v>
                </c:pt>
                <c:pt idx="1138">
                  <c:v>39491</c:v>
                </c:pt>
                <c:pt idx="1139">
                  <c:v>39492</c:v>
                </c:pt>
                <c:pt idx="1140">
                  <c:v>39493</c:v>
                </c:pt>
                <c:pt idx="1141">
                  <c:v>39494</c:v>
                </c:pt>
                <c:pt idx="1142">
                  <c:v>39495</c:v>
                </c:pt>
                <c:pt idx="1143">
                  <c:v>39496</c:v>
                </c:pt>
                <c:pt idx="1144">
                  <c:v>39497</c:v>
                </c:pt>
                <c:pt idx="1145">
                  <c:v>39498</c:v>
                </c:pt>
                <c:pt idx="1146">
                  <c:v>39499</c:v>
                </c:pt>
                <c:pt idx="1147">
                  <c:v>39500</c:v>
                </c:pt>
                <c:pt idx="1148">
                  <c:v>39501</c:v>
                </c:pt>
                <c:pt idx="1149">
                  <c:v>39502</c:v>
                </c:pt>
                <c:pt idx="1150">
                  <c:v>39503</c:v>
                </c:pt>
                <c:pt idx="1151">
                  <c:v>39504</c:v>
                </c:pt>
                <c:pt idx="1152">
                  <c:v>39505</c:v>
                </c:pt>
                <c:pt idx="1153">
                  <c:v>39506</c:v>
                </c:pt>
                <c:pt idx="1154">
                  <c:v>39507</c:v>
                </c:pt>
                <c:pt idx="1155">
                  <c:v>39508</c:v>
                </c:pt>
                <c:pt idx="1156">
                  <c:v>39509</c:v>
                </c:pt>
                <c:pt idx="1157">
                  <c:v>39510</c:v>
                </c:pt>
                <c:pt idx="1158">
                  <c:v>39511</c:v>
                </c:pt>
                <c:pt idx="1159">
                  <c:v>39512</c:v>
                </c:pt>
                <c:pt idx="1160">
                  <c:v>39513</c:v>
                </c:pt>
                <c:pt idx="1161">
                  <c:v>39514</c:v>
                </c:pt>
                <c:pt idx="1162">
                  <c:v>39515</c:v>
                </c:pt>
                <c:pt idx="1163">
                  <c:v>39516</c:v>
                </c:pt>
                <c:pt idx="1164">
                  <c:v>39517</c:v>
                </c:pt>
                <c:pt idx="1165">
                  <c:v>39518</c:v>
                </c:pt>
                <c:pt idx="1166">
                  <c:v>39519</c:v>
                </c:pt>
                <c:pt idx="1167">
                  <c:v>39520</c:v>
                </c:pt>
                <c:pt idx="1168">
                  <c:v>39521</c:v>
                </c:pt>
                <c:pt idx="1169">
                  <c:v>39522</c:v>
                </c:pt>
                <c:pt idx="1170">
                  <c:v>39523</c:v>
                </c:pt>
                <c:pt idx="1171">
                  <c:v>39524</c:v>
                </c:pt>
                <c:pt idx="1172">
                  <c:v>39525</c:v>
                </c:pt>
                <c:pt idx="1173">
                  <c:v>39526</c:v>
                </c:pt>
                <c:pt idx="1174">
                  <c:v>39527</c:v>
                </c:pt>
                <c:pt idx="1175">
                  <c:v>39528</c:v>
                </c:pt>
                <c:pt idx="1176">
                  <c:v>39529</c:v>
                </c:pt>
                <c:pt idx="1177">
                  <c:v>39530</c:v>
                </c:pt>
                <c:pt idx="1178">
                  <c:v>39531</c:v>
                </c:pt>
                <c:pt idx="1179">
                  <c:v>39532</c:v>
                </c:pt>
                <c:pt idx="1180">
                  <c:v>39533</c:v>
                </c:pt>
                <c:pt idx="1181">
                  <c:v>39534</c:v>
                </c:pt>
                <c:pt idx="1182">
                  <c:v>39535</c:v>
                </c:pt>
                <c:pt idx="1183">
                  <c:v>39536</c:v>
                </c:pt>
                <c:pt idx="1184">
                  <c:v>39537</c:v>
                </c:pt>
                <c:pt idx="1185">
                  <c:v>39538</c:v>
                </c:pt>
                <c:pt idx="1186">
                  <c:v>39539</c:v>
                </c:pt>
                <c:pt idx="1187">
                  <c:v>39540</c:v>
                </c:pt>
                <c:pt idx="1188">
                  <c:v>39541</c:v>
                </c:pt>
                <c:pt idx="1189">
                  <c:v>39542</c:v>
                </c:pt>
                <c:pt idx="1190">
                  <c:v>39543</c:v>
                </c:pt>
                <c:pt idx="1191">
                  <c:v>39544</c:v>
                </c:pt>
                <c:pt idx="1192">
                  <c:v>39545</c:v>
                </c:pt>
                <c:pt idx="1193">
                  <c:v>39546</c:v>
                </c:pt>
                <c:pt idx="1194">
                  <c:v>39547</c:v>
                </c:pt>
                <c:pt idx="1195">
                  <c:v>39548</c:v>
                </c:pt>
                <c:pt idx="1196">
                  <c:v>39549</c:v>
                </c:pt>
                <c:pt idx="1197">
                  <c:v>39550</c:v>
                </c:pt>
                <c:pt idx="1198">
                  <c:v>39551</c:v>
                </c:pt>
                <c:pt idx="1199">
                  <c:v>39552</c:v>
                </c:pt>
                <c:pt idx="1200">
                  <c:v>39553</c:v>
                </c:pt>
                <c:pt idx="1201">
                  <c:v>39554</c:v>
                </c:pt>
                <c:pt idx="1202">
                  <c:v>39555</c:v>
                </c:pt>
                <c:pt idx="1203">
                  <c:v>39556</c:v>
                </c:pt>
                <c:pt idx="1204">
                  <c:v>39557</c:v>
                </c:pt>
                <c:pt idx="1205">
                  <c:v>39558</c:v>
                </c:pt>
                <c:pt idx="1206">
                  <c:v>39559</c:v>
                </c:pt>
                <c:pt idx="1207">
                  <c:v>39560</c:v>
                </c:pt>
                <c:pt idx="1208">
                  <c:v>39561</c:v>
                </c:pt>
                <c:pt idx="1209">
                  <c:v>39562</c:v>
                </c:pt>
                <c:pt idx="1210">
                  <c:v>39563</c:v>
                </c:pt>
                <c:pt idx="1211">
                  <c:v>39564</c:v>
                </c:pt>
                <c:pt idx="1212">
                  <c:v>39565</c:v>
                </c:pt>
                <c:pt idx="1213">
                  <c:v>39566</c:v>
                </c:pt>
                <c:pt idx="1214">
                  <c:v>39567</c:v>
                </c:pt>
                <c:pt idx="1215">
                  <c:v>39568</c:v>
                </c:pt>
                <c:pt idx="1216">
                  <c:v>39569</c:v>
                </c:pt>
                <c:pt idx="1217">
                  <c:v>39570</c:v>
                </c:pt>
                <c:pt idx="1218">
                  <c:v>39571</c:v>
                </c:pt>
                <c:pt idx="1219">
                  <c:v>39572</c:v>
                </c:pt>
                <c:pt idx="1220">
                  <c:v>39573</c:v>
                </c:pt>
                <c:pt idx="1221">
                  <c:v>39574</c:v>
                </c:pt>
                <c:pt idx="1222">
                  <c:v>39575</c:v>
                </c:pt>
                <c:pt idx="1223">
                  <c:v>39576</c:v>
                </c:pt>
                <c:pt idx="1224">
                  <c:v>39577</c:v>
                </c:pt>
                <c:pt idx="1225">
                  <c:v>39578</c:v>
                </c:pt>
                <c:pt idx="1226">
                  <c:v>39579</c:v>
                </c:pt>
                <c:pt idx="1227">
                  <c:v>39580</c:v>
                </c:pt>
                <c:pt idx="1228">
                  <c:v>39581</c:v>
                </c:pt>
                <c:pt idx="1229">
                  <c:v>39582</c:v>
                </c:pt>
                <c:pt idx="1230">
                  <c:v>39583</c:v>
                </c:pt>
                <c:pt idx="1231">
                  <c:v>39584</c:v>
                </c:pt>
                <c:pt idx="1232">
                  <c:v>39585</c:v>
                </c:pt>
                <c:pt idx="1233">
                  <c:v>39586</c:v>
                </c:pt>
                <c:pt idx="1234">
                  <c:v>39587</c:v>
                </c:pt>
                <c:pt idx="1235">
                  <c:v>39588</c:v>
                </c:pt>
                <c:pt idx="1236">
                  <c:v>39589</c:v>
                </c:pt>
                <c:pt idx="1237">
                  <c:v>39590</c:v>
                </c:pt>
                <c:pt idx="1238">
                  <c:v>39591</c:v>
                </c:pt>
                <c:pt idx="1239">
                  <c:v>39592</c:v>
                </c:pt>
                <c:pt idx="1240">
                  <c:v>39593</c:v>
                </c:pt>
                <c:pt idx="1241">
                  <c:v>39594</c:v>
                </c:pt>
                <c:pt idx="1242">
                  <c:v>39595</c:v>
                </c:pt>
                <c:pt idx="1243">
                  <c:v>39596</c:v>
                </c:pt>
                <c:pt idx="1244">
                  <c:v>39597</c:v>
                </c:pt>
                <c:pt idx="1245">
                  <c:v>39598</c:v>
                </c:pt>
                <c:pt idx="1246">
                  <c:v>39599</c:v>
                </c:pt>
                <c:pt idx="1247">
                  <c:v>39600</c:v>
                </c:pt>
                <c:pt idx="1248">
                  <c:v>39601</c:v>
                </c:pt>
                <c:pt idx="1249">
                  <c:v>39602</c:v>
                </c:pt>
                <c:pt idx="1250">
                  <c:v>39603</c:v>
                </c:pt>
                <c:pt idx="1251">
                  <c:v>39604</c:v>
                </c:pt>
                <c:pt idx="1252">
                  <c:v>39605</c:v>
                </c:pt>
                <c:pt idx="1253">
                  <c:v>39606</c:v>
                </c:pt>
                <c:pt idx="1254">
                  <c:v>39607</c:v>
                </c:pt>
                <c:pt idx="1255">
                  <c:v>39608</c:v>
                </c:pt>
                <c:pt idx="1256">
                  <c:v>39609</c:v>
                </c:pt>
                <c:pt idx="1257">
                  <c:v>39610</c:v>
                </c:pt>
                <c:pt idx="1258">
                  <c:v>39611</c:v>
                </c:pt>
                <c:pt idx="1259">
                  <c:v>39612</c:v>
                </c:pt>
                <c:pt idx="1260">
                  <c:v>39613</c:v>
                </c:pt>
                <c:pt idx="1261">
                  <c:v>39614</c:v>
                </c:pt>
                <c:pt idx="1262">
                  <c:v>39615</c:v>
                </c:pt>
                <c:pt idx="1263">
                  <c:v>39616</c:v>
                </c:pt>
                <c:pt idx="1264">
                  <c:v>39617</c:v>
                </c:pt>
                <c:pt idx="1265">
                  <c:v>39618</c:v>
                </c:pt>
                <c:pt idx="1266">
                  <c:v>39619</c:v>
                </c:pt>
                <c:pt idx="1267">
                  <c:v>39620</c:v>
                </c:pt>
                <c:pt idx="1268">
                  <c:v>39621</c:v>
                </c:pt>
                <c:pt idx="1269">
                  <c:v>39622</c:v>
                </c:pt>
                <c:pt idx="1270">
                  <c:v>39623</c:v>
                </c:pt>
                <c:pt idx="1271">
                  <c:v>39624</c:v>
                </c:pt>
                <c:pt idx="1272">
                  <c:v>39625</c:v>
                </c:pt>
                <c:pt idx="1273">
                  <c:v>39626</c:v>
                </c:pt>
                <c:pt idx="1274">
                  <c:v>39627</c:v>
                </c:pt>
                <c:pt idx="1275">
                  <c:v>39628</c:v>
                </c:pt>
                <c:pt idx="1276">
                  <c:v>39629</c:v>
                </c:pt>
                <c:pt idx="1277">
                  <c:v>39630</c:v>
                </c:pt>
                <c:pt idx="1278">
                  <c:v>39631</c:v>
                </c:pt>
                <c:pt idx="1279">
                  <c:v>39632</c:v>
                </c:pt>
                <c:pt idx="1280">
                  <c:v>39633</c:v>
                </c:pt>
                <c:pt idx="1281">
                  <c:v>39634</c:v>
                </c:pt>
                <c:pt idx="1282">
                  <c:v>39635</c:v>
                </c:pt>
                <c:pt idx="1283">
                  <c:v>39636</c:v>
                </c:pt>
                <c:pt idx="1284">
                  <c:v>39637</c:v>
                </c:pt>
                <c:pt idx="1285">
                  <c:v>39638</c:v>
                </c:pt>
                <c:pt idx="1286">
                  <c:v>39639</c:v>
                </c:pt>
                <c:pt idx="1287">
                  <c:v>39640</c:v>
                </c:pt>
                <c:pt idx="1288">
                  <c:v>39641</c:v>
                </c:pt>
                <c:pt idx="1289">
                  <c:v>39642</c:v>
                </c:pt>
                <c:pt idx="1290">
                  <c:v>39643</c:v>
                </c:pt>
                <c:pt idx="1291">
                  <c:v>39644</c:v>
                </c:pt>
                <c:pt idx="1292">
                  <c:v>39645</c:v>
                </c:pt>
                <c:pt idx="1293">
                  <c:v>39646</c:v>
                </c:pt>
                <c:pt idx="1294">
                  <c:v>39647</c:v>
                </c:pt>
                <c:pt idx="1295">
                  <c:v>39648</c:v>
                </c:pt>
                <c:pt idx="1296">
                  <c:v>39649</c:v>
                </c:pt>
                <c:pt idx="1297">
                  <c:v>39650</c:v>
                </c:pt>
                <c:pt idx="1298">
                  <c:v>39651</c:v>
                </c:pt>
                <c:pt idx="1299">
                  <c:v>39652</c:v>
                </c:pt>
                <c:pt idx="1300">
                  <c:v>39653</c:v>
                </c:pt>
                <c:pt idx="1301">
                  <c:v>39654</c:v>
                </c:pt>
                <c:pt idx="1302">
                  <c:v>39655</c:v>
                </c:pt>
                <c:pt idx="1303">
                  <c:v>39656</c:v>
                </c:pt>
                <c:pt idx="1304">
                  <c:v>39657</c:v>
                </c:pt>
                <c:pt idx="1305">
                  <c:v>39658</c:v>
                </c:pt>
                <c:pt idx="1306">
                  <c:v>39659</c:v>
                </c:pt>
                <c:pt idx="1307">
                  <c:v>39660</c:v>
                </c:pt>
                <c:pt idx="1308">
                  <c:v>39661</c:v>
                </c:pt>
                <c:pt idx="1309">
                  <c:v>39662</c:v>
                </c:pt>
                <c:pt idx="1310">
                  <c:v>39663</c:v>
                </c:pt>
                <c:pt idx="1311">
                  <c:v>39664</c:v>
                </c:pt>
                <c:pt idx="1312">
                  <c:v>39665</c:v>
                </c:pt>
                <c:pt idx="1313">
                  <c:v>39666</c:v>
                </c:pt>
                <c:pt idx="1314">
                  <c:v>39667</c:v>
                </c:pt>
                <c:pt idx="1315">
                  <c:v>39668</c:v>
                </c:pt>
                <c:pt idx="1316">
                  <c:v>39669</c:v>
                </c:pt>
                <c:pt idx="1317">
                  <c:v>39670</c:v>
                </c:pt>
                <c:pt idx="1318">
                  <c:v>39671</c:v>
                </c:pt>
                <c:pt idx="1319">
                  <c:v>39672</c:v>
                </c:pt>
                <c:pt idx="1320">
                  <c:v>39673</c:v>
                </c:pt>
                <c:pt idx="1321">
                  <c:v>39674</c:v>
                </c:pt>
                <c:pt idx="1322">
                  <c:v>39675</c:v>
                </c:pt>
                <c:pt idx="1323">
                  <c:v>39676</c:v>
                </c:pt>
                <c:pt idx="1324">
                  <c:v>39677</c:v>
                </c:pt>
                <c:pt idx="1325">
                  <c:v>39678</c:v>
                </c:pt>
                <c:pt idx="1326">
                  <c:v>39679</c:v>
                </c:pt>
                <c:pt idx="1327">
                  <c:v>39680</c:v>
                </c:pt>
                <c:pt idx="1328">
                  <c:v>39681</c:v>
                </c:pt>
                <c:pt idx="1329">
                  <c:v>39682</c:v>
                </c:pt>
                <c:pt idx="1330">
                  <c:v>39683</c:v>
                </c:pt>
                <c:pt idx="1331">
                  <c:v>39684</c:v>
                </c:pt>
                <c:pt idx="1332">
                  <c:v>39685</c:v>
                </c:pt>
                <c:pt idx="1333">
                  <c:v>39686</c:v>
                </c:pt>
                <c:pt idx="1334">
                  <c:v>39687</c:v>
                </c:pt>
                <c:pt idx="1335">
                  <c:v>39688</c:v>
                </c:pt>
                <c:pt idx="1336">
                  <c:v>39689</c:v>
                </c:pt>
                <c:pt idx="1337">
                  <c:v>39690</c:v>
                </c:pt>
                <c:pt idx="1338">
                  <c:v>39691</c:v>
                </c:pt>
                <c:pt idx="1339">
                  <c:v>39692</c:v>
                </c:pt>
                <c:pt idx="1340">
                  <c:v>39693</c:v>
                </c:pt>
                <c:pt idx="1341">
                  <c:v>39694</c:v>
                </c:pt>
                <c:pt idx="1342">
                  <c:v>39695</c:v>
                </c:pt>
                <c:pt idx="1343">
                  <c:v>39696</c:v>
                </c:pt>
                <c:pt idx="1344">
                  <c:v>39697</c:v>
                </c:pt>
                <c:pt idx="1345">
                  <c:v>39698</c:v>
                </c:pt>
                <c:pt idx="1346">
                  <c:v>39699</c:v>
                </c:pt>
                <c:pt idx="1347">
                  <c:v>39700</c:v>
                </c:pt>
                <c:pt idx="1348">
                  <c:v>39701</c:v>
                </c:pt>
                <c:pt idx="1349">
                  <c:v>39702</c:v>
                </c:pt>
                <c:pt idx="1350">
                  <c:v>39703</c:v>
                </c:pt>
                <c:pt idx="1351">
                  <c:v>39704</c:v>
                </c:pt>
                <c:pt idx="1352">
                  <c:v>39705</c:v>
                </c:pt>
                <c:pt idx="1353">
                  <c:v>39706</c:v>
                </c:pt>
                <c:pt idx="1354">
                  <c:v>39707</c:v>
                </c:pt>
                <c:pt idx="1355">
                  <c:v>39708</c:v>
                </c:pt>
                <c:pt idx="1356">
                  <c:v>39709</c:v>
                </c:pt>
                <c:pt idx="1357">
                  <c:v>39710</c:v>
                </c:pt>
                <c:pt idx="1358">
                  <c:v>39711</c:v>
                </c:pt>
                <c:pt idx="1359">
                  <c:v>39712</c:v>
                </c:pt>
                <c:pt idx="1360">
                  <c:v>39713</c:v>
                </c:pt>
                <c:pt idx="1361">
                  <c:v>39714</c:v>
                </c:pt>
                <c:pt idx="1362">
                  <c:v>39715</c:v>
                </c:pt>
                <c:pt idx="1363">
                  <c:v>39716</c:v>
                </c:pt>
                <c:pt idx="1364">
                  <c:v>39717</c:v>
                </c:pt>
                <c:pt idx="1365">
                  <c:v>39718</c:v>
                </c:pt>
                <c:pt idx="1366">
                  <c:v>39719</c:v>
                </c:pt>
                <c:pt idx="1367">
                  <c:v>39720</c:v>
                </c:pt>
                <c:pt idx="1368">
                  <c:v>39721</c:v>
                </c:pt>
                <c:pt idx="1369">
                  <c:v>39722</c:v>
                </c:pt>
                <c:pt idx="1370">
                  <c:v>39723</c:v>
                </c:pt>
                <c:pt idx="1371">
                  <c:v>39724</c:v>
                </c:pt>
                <c:pt idx="1372">
                  <c:v>39725</c:v>
                </c:pt>
                <c:pt idx="1373">
                  <c:v>39726</c:v>
                </c:pt>
                <c:pt idx="1374">
                  <c:v>39727</c:v>
                </c:pt>
                <c:pt idx="1375">
                  <c:v>39728</c:v>
                </c:pt>
                <c:pt idx="1376">
                  <c:v>39729</c:v>
                </c:pt>
                <c:pt idx="1377">
                  <c:v>39730</c:v>
                </c:pt>
                <c:pt idx="1378">
                  <c:v>39731</c:v>
                </c:pt>
                <c:pt idx="1379">
                  <c:v>39732</c:v>
                </c:pt>
                <c:pt idx="1380">
                  <c:v>39733</c:v>
                </c:pt>
                <c:pt idx="1381">
                  <c:v>39734</c:v>
                </c:pt>
                <c:pt idx="1382">
                  <c:v>39735</c:v>
                </c:pt>
                <c:pt idx="1383">
                  <c:v>39736</c:v>
                </c:pt>
                <c:pt idx="1384">
                  <c:v>39737</c:v>
                </c:pt>
                <c:pt idx="1385">
                  <c:v>39738</c:v>
                </c:pt>
                <c:pt idx="1386">
                  <c:v>39739</c:v>
                </c:pt>
                <c:pt idx="1387">
                  <c:v>39740</c:v>
                </c:pt>
                <c:pt idx="1388">
                  <c:v>39741</c:v>
                </c:pt>
                <c:pt idx="1389">
                  <c:v>39742</c:v>
                </c:pt>
                <c:pt idx="1390">
                  <c:v>39743</c:v>
                </c:pt>
                <c:pt idx="1391">
                  <c:v>39744</c:v>
                </c:pt>
                <c:pt idx="1392">
                  <c:v>39745</c:v>
                </c:pt>
                <c:pt idx="1393">
                  <c:v>39746</c:v>
                </c:pt>
                <c:pt idx="1394">
                  <c:v>39747</c:v>
                </c:pt>
                <c:pt idx="1395">
                  <c:v>39748</c:v>
                </c:pt>
                <c:pt idx="1396">
                  <c:v>39749</c:v>
                </c:pt>
                <c:pt idx="1397">
                  <c:v>39750</c:v>
                </c:pt>
                <c:pt idx="1398">
                  <c:v>39751</c:v>
                </c:pt>
                <c:pt idx="1399">
                  <c:v>39752</c:v>
                </c:pt>
                <c:pt idx="1400">
                  <c:v>39753</c:v>
                </c:pt>
                <c:pt idx="1401">
                  <c:v>39754</c:v>
                </c:pt>
                <c:pt idx="1402">
                  <c:v>39755</c:v>
                </c:pt>
                <c:pt idx="1403">
                  <c:v>39756</c:v>
                </c:pt>
                <c:pt idx="1404">
                  <c:v>39757</c:v>
                </c:pt>
                <c:pt idx="1405">
                  <c:v>39758</c:v>
                </c:pt>
                <c:pt idx="1406">
                  <c:v>39759</c:v>
                </c:pt>
                <c:pt idx="1407">
                  <c:v>39760</c:v>
                </c:pt>
                <c:pt idx="1408">
                  <c:v>39761</c:v>
                </c:pt>
                <c:pt idx="1409">
                  <c:v>39762</c:v>
                </c:pt>
                <c:pt idx="1410">
                  <c:v>39763</c:v>
                </c:pt>
                <c:pt idx="1411">
                  <c:v>39764</c:v>
                </c:pt>
                <c:pt idx="1412">
                  <c:v>39765</c:v>
                </c:pt>
                <c:pt idx="1413">
                  <c:v>39766</c:v>
                </c:pt>
                <c:pt idx="1414">
                  <c:v>39767</c:v>
                </c:pt>
                <c:pt idx="1415">
                  <c:v>39768</c:v>
                </c:pt>
                <c:pt idx="1416">
                  <c:v>39769</c:v>
                </c:pt>
                <c:pt idx="1417">
                  <c:v>39770</c:v>
                </c:pt>
                <c:pt idx="1418">
                  <c:v>39771</c:v>
                </c:pt>
                <c:pt idx="1419">
                  <c:v>39772</c:v>
                </c:pt>
                <c:pt idx="1420">
                  <c:v>39773</c:v>
                </c:pt>
                <c:pt idx="1421">
                  <c:v>39774</c:v>
                </c:pt>
                <c:pt idx="1422">
                  <c:v>39775</c:v>
                </c:pt>
                <c:pt idx="1423">
                  <c:v>39776</c:v>
                </c:pt>
                <c:pt idx="1424">
                  <c:v>39777</c:v>
                </c:pt>
                <c:pt idx="1425">
                  <c:v>39778</c:v>
                </c:pt>
                <c:pt idx="1426">
                  <c:v>39779</c:v>
                </c:pt>
                <c:pt idx="1427">
                  <c:v>39780</c:v>
                </c:pt>
                <c:pt idx="1428">
                  <c:v>39781</c:v>
                </c:pt>
                <c:pt idx="1429">
                  <c:v>39782</c:v>
                </c:pt>
                <c:pt idx="1430">
                  <c:v>39783</c:v>
                </c:pt>
                <c:pt idx="1431">
                  <c:v>39784</c:v>
                </c:pt>
                <c:pt idx="1432">
                  <c:v>39785</c:v>
                </c:pt>
                <c:pt idx="1433">
                  <c:v>39786</c:v>
                </c:pt>
                <c:pt idx="1434">
                  <c:v>39787</c:v>
                </c:pt>
                <c:pt idx="1435">
                  <c:v>39788</c:v>
                </c:pt>
                <c:pt idx="1436">
                  <c:v>39789</c:v>
                </c:pt>
                <c:pt idx="1437">
                  <c:v>39790</c:v>
                </c:pt>
                <c:pt idx="1438">
                  <c:v>39791</c:v>
                </c:pt>
                <c:pt idx="1439">
                  <c:v>39792</c:v>
                </c:pt>
                <c:pt idx="1440">
                  <c:v>39793</c:v>
                </c:pt>
                <c:pt idx="1441">
                  <c:v>39794</c:v>
                </c:pt>
                <c:pt idx="1442">
                  <c:v>39795</c:v>
                </c:pt>
                <c:pt idx="1443">
                  <c:v>39796</c:v>
                </c:pt>
                <c:pt idx="1444">
                  <c:v>39797</c:v>
                </c:pt>
                <c:pt idx="1445">
                  <c:v>39798</c:v>
                </c:pt>
                <c:pt idx="1446">
                  <c:v>39799</c:v>
                </c:pt>
                <c:pt idx="1447">
                  <c:v>39800</c:v>
                </c:pt>
                <c:pt idx="1448">
                  <c:v>39801</c:v>
                </c:pt>
                <c:pt idx="1449">
                  <c:v>39802</c:v>
                </c:pt>
                <c:pt idx="1450">
                  <c:v>39803</c:v>
                </c:pt>
                <c:pt idx="1451">
                  <c:v>39804</c:v>
                </c:pt>
                <c:pt idx="1452">
                  <c:v>39805</c:v>
                </c:pt>
                <c:pt idx="1453">
                  <c:v>39806</c:v>
                </c:pt>
                <c:pt idx="1454">
                  <c:v>39807</c:v>
                </c:pt>
                <c:pt idx="1455">
                  <c:v>39808</c:v>
                </c:pt>
                <c:pt idx="1456">
                  <c:v>39809</c:v>
                </c:pt>
                <c:pt idx="1457">
                  <c:v>39810</c:v>
                </c:pt>
                <c:pt idx="1458">
                  <c:v>39811</c:v>
                </c:pt>
                <c:pt idx="1459">
                  <c:v>39812</c:v>
                </c:pt>
                <c:pt idx="1460">
                  <c:v>39813</c:v>
                </c:pt>
                <c:pt idx="1461">
                  <c:v>39814</c:v>
                </c:pt>
                <c:pt idx="1462">
                  <c:v>39815</c:v>
                </c:pt>
                <c:pt idx="1463">
                  <c:v>39816</c:v>
                </c:pt>
                <c:pt idx="1464">
                  <c:v>39817</c:v>
                </c:pt>
                <c:pt idx="1465">
                  <c:v>39818</c:v>
                </c:pt>
                <c:pt idx="1466">
                  <c:v>39819</c:v>
                </c:pt>
                <c:pt idx="1467">
                  <c:v>39820</c:v>
                </c:pt>
                <c:pt idx="1468">
                  <c:v>39821</c:v>
                </c:pt>
                <c:pt idx="1469">
                  <c:v>39822</c:v>
                </c:pt>
                <c:pt idx="1470">
                  <c:v>39823</c:v>
                </c:pt>
                <c:pt idx="1471">
                  <c:v>39824</c:v>
                </c:pt>
                <c:pt idx="1472">
                  <c:v>39825</c:v>
                </c:pt>
                <c:pt idx="1473">
                  <c:v>39826</c:v>
                </c:pt>
                <c:pt idx="1474">
                  <c:v>39827</c:v>
                </c:pt>
                <c:pt idx="1475">
                  <c:v>39828</c:v>
                </c:pt>
                <c:pt idx="1476">
                  <c:v>39829</c:v>
                </c:pt>
                <c:pt idx="1477">
                  <c:v>39830</c:v>
                </c:pt>
                <c:pt idx="1478">
                  <c:v>39831</c:v>
                </c:pt>
                <c:pt idx="1479">
                  <c:v>39832</c:v>
                </c:pt>
                <c:pt idx="1480">
                  <c:v>39833</c:v>
                </c:pt>
                <c:pt idx="1481">
                  <c:v>39834</c:v>
                </c:pt>
                <c:pt idx="1482">
                  <c:v>39835</c:v>
                </c:pt>
                <c:pt idx="1483">
                  <c:v>39836</c:v>
                </c:pt>
                <c:pt idx="1484">
                  <c:v>39837</c:v>
                </c:pt>
                <c:pt idx="1485">
                  <c:v>39838</c:v>
                </c:pt>
                <c:pt idx="1486">
                  <c:v>39839</c:v>
                </c:pt>
                <c:pt idx="1487">
                  <c:v>39840</c:v>
                </c:pt>
                <c:pt idx="1488">
                  <c:v>39841</c:v>
                </c:pt>
                <c:pt idx="1489">
                  <c:v>39842</c:v>
                </c:pt>
                <c:pt idx="1490">
                  <c:v>39843</c:v>
                </c:pt>
                <c:pt idx="1491">
                  <c:v>39844</c:v>
                </c:pt>
                <c:pt idx="1492">
                  <c:v>39845</c:v>
                </c:pt>
                <c:pt idx="1493">
                  <c:v>39846</c:v>
                </c:pt>
                <c:pt idx="1494">
                  <c:v>39847</c:v>
                </c:pt>
                <c:pt idx="1495">
                  <c:v>39848</c:v>
                </c:pt>
                <c:pt idx="1496">
                  <c:v>39849</c:v>
                </c:pt>
                <c:pt idx="1497">
                  <c:v>39850</c:v>
                </c:pt>
                <c:pt idx="1498">
                  <c:v>39851</c:v>
                </c:pt>
                <c:pt idx="1499">
                  <c:v>39852</c:v>
                </c:pt>
                <c:pt idx="1500">
                  <c:v>39853</c:v>
                </c:pt>
                <c:pt idx="1501">
                  <c:v>39854</c:v>
                </c:pt>
                <c:pt idx="1502">
                  <c:v>39855</c:v>
                </c:pt>
                <c:pt idx="1503">
                  <c:v>39856</c:v>
                </c:pt>
                <c:pt idx="1504">
                  <c:v>39857</c:v>
                </c:pt>
                <c:pt idx="1505">
                  <c:v>39858</c:v>
                </c:pt>
                <c:pt idx="1506">
                  <c:v>39859</c:v>
                </c:pt>
                <c:pt idx="1507">
                  <c:v>39860</c:v>
                </c:pt>
                <c:pt idx="1508">
                  <c:v>39861</c:v>
                </c:pt>
                <c:pt idx="1509">
                  <c:v>39862</c:v>
                </c:pt>
                <c:pt idx="1510">
                  <c:v>39863</c:v>
                </c:pt>
                <c:pt idx="1511">
                  <c:v>39864</c:v>
                </c:pt>
                <c:pt idx="1512">
                  <c:v>39865</c:v>
                </c:pt>
                <c:pt idx="1513">
                  <c:v>39866</c:v>
                </c:pt>
                <c:pt idx="1514">
                  <c:v>39867</c:v>
                </c:pt>
                <c:pt idx="1515">
                  <c:v>39868</c:v>
                </c:pt>
                <c:pt idx="1516">
                  <c:v>39869</c:v>
                </c:pt>
                <c:pt idx="1517">
                  <c:v>39870</c:v>
                </c:pt>
                <c:pt idx="1518">
                  <c:v>39871</c:v>
                </c:pt>
                <c:pt idx="1519">
                  <c:v>39872</c:v>
                </c:pt>
                <c:pt idx="1520">
                  <c:v>39873</c:v>
                </c:pt>
                <c:pt idx="1521">
                  <c:v>39874</c:v>
                </c:pt>
                <c:pt idx="1522">
                  <c:v>39875</c:v>
                </c:pt>
                <c:pt idx="1523">
                  <c:v>39876</c:v>
                </c:pt>
                <c:pt idx="1524">
                  <c:v>39877</c:v>
                </c:pt>
                <c:pt idx="1525">
                  <c:v>39878</c:v>
                </c:pt>
                <c:pt idx="1526">
                  <c:v>39879</c:v>
                </c:pt>
                <c:pt idx="1527">
                  <c:v>39880</c:v>
                </c:pt>
                <c:pt idx="1528">
                  <c:v>39881</c:v>
                </c:pt>
                <c:pt idx="1529">
                  <c:v>39882</c:v>
                </c:pt>
                <c:pt idx="1530">
                  <c:v>39883</c:v>
                </c:pt>
                <c:pt idx="1531">
                  <c:v>39884</c:v>
                </c:pt>
                <c:pt idx="1532">
                  <c:v>39885</c:v>
                </c:pt>
                <c:pt idx="1533">
                  <c:v>39886</c:v>
                </c:pt>
                <c:pt idx="1534">
                  <c:v>39887</c:v>
                </c:pt>
                <c:pt idx="1535">
                  <c:v>39888</c:v>
                </c:pt>
                <c:pt idx="1536">
                  <c:v>39889</c:v>
                </c:pt>
                <c:pt idx="1537">
                  <c:v>39890</c:v>
                </c:pt>
                <c:pt idx="1538">
                  <c:v>39891</c:v>
                </c:pt>
                <c:pt idx="1539">
                  <c:v>39892</c:v>
                </c:pt>
                <c:pt idx="1540">
                  <c:v>39893</c:v>
                </c:pt>
                <c:pt idx="1541">
                  <c:v>39894</c:v>
                </c:pt>
                <c:pt idx="1542">
                  <c:v>39895</c:v>
                </c:pt>
                <c:pt idx="1543">
                  <c:v>39896</c:v>
                </c:pt>
                <c:pt idx="1544">
                  <c:v>39897</c:v>
                </c:pt>
                <c:pt idx="1545">
                  <c:v>39898</c:v>
                </c:pt>
                <c:pt idx="1546">
                  <c:v>39899</c:v>
                </c:pt>
                <c:pt idx="1547">
                  <c:v>39900</c:v>
                </c:pt>
                <c:pt idx="1548">
                  <c:v>39901</c:v>
                </c:pt>
                <c:pt idx="1549">
                  <c:v>39902</c:v>
                </c:pt>
                <c:pt idx="1550">
                  <c:v>39903</c:v>
                </c:pt>
                <c:pt idx="1551">
                  <c:v>39904</c:v>
                </c:pt>
                <c:pt idx="1552">
                  <c:v>39905</c:v>
                </c:pt>
                <c:pt idx="1553">
                  <c:v>39906</c:v>
                </c:pt>
                <c:pt idx="1554">
                  <c:v>39907</c:v>
                </c:pt>
                <c:pt idx="1555">
                  <c:v>39908</c:v>
                </c:pt>
                <c:pt idx="1556">
                  <c:v>39909</c:v>
                </c:pt>
                <c:pt idx="1557">
                  <c:v>39910</c:v>
                </c:pt>
                <c:pt idx="1558">
                  <c:v>39911</c:v>
                </c:pt>
                <c:pt idx="1559">
                  <c:v>39912</c:v>
                </c:pt>
                <c:pt idx="1560">
                  <c:v>39913</c:v>
                </c:pt>
                <c:pt idx="1561">
                  <c:v>39914</c:v>
                </c:pt>
                <c:pt idx="1562">
                  <c:v>39915</c:v>
                </c:pt>
                <c:pt idx="1563">
                  <c:v>39916</c:v>
                </c:pt>
                <c:pt idx="1564">
                  <c:v>39917</c:v>
                </c:pt>
                <c:pt idx="1565">
                  <c:v>39918</c:v>
                </c:pt>
                <c:pt idx="1566">
                  <c:v>39919</c:v>
                </c:pt>
                <c:pt idx="1567">
                  <c:v>39920</c:v>
                </c:pt>
                <c:pt idx="1568">
                  <c:v>39921</c:v>
                </c:pt>
                <c:pt idx="1569">
                  <c:v>39922</c:v>
                </c:pt>
                <c:pt idx="1570">
                  <c:v>39923</c:v>
                </c:pt>
                <c:pt idx="1571">
                  <c:v>39924</c:v>
                </c:pt>
                <c:pt idx="1572">
                  <c:v>39925</c:v>
                </c:pt>
                <c:pt idx="1573">
                  <c:v>39926</c:v>
                </c:pt>
                <c:pt idx="1574">
                  <c:v>39927</c:v>
                </c:pt>
                <c:pt idx="1575">
                  <c:v>39928</c:v>
                </c:pt>
                <c:pt idx="1576">
                  <c:v>39929</c:v>
                </c:pt>
                <c:pt idx="1577">
                  <c:v>39930</c:v>
                </c:pt>
                <c:pt idx="1578">
                  <c:v>39931</c:v>
                </c:pt>
                <c:pt idx="1579">
                  <c:v>39932</c:v>
                </c:pt>
                <c:pt idx="1580">
                  <c:v>39933</c:v>
                </c:pt>
                <c:pt idx="1581">
                  <c:v>39934</c:v>
                </c:pt>
                <c:pt idx="1582">
                  <c:v>39935</c:v>
                </c:pt>
                <c:pt idx="1583">
                  <c:v>39936</c:v>
                </c:pt>
                <c:pt idx="1584">
                  <c:v>39937</c:v>
                </c:pt>
                <c:pt idx="1585">
                  <c:v>39938</c:v>
                </c:pt>
                <c:pt idx="1586">
                  <c:v>39939</c:v>
                </c:pt>
                <c:pt idx="1587">
                  <c:v>39940</c:v>
                </c:pt>
                <c:pt idx="1588">
                  <c:v>39941</c:v>
                </c:pt>
                <c:pt idx="1589">
                  <c:v>39942</c:v>
                </c:pt>
                <c:pt idx="1590">
                  <c:v>39943</c:v>
                </c:pt>
                <c:pt idx="1591">
                  <c:v>39944</c:v>
                </c:pt>
                <c:pt idx="1592">
                  <c:v>39945</c:v>
                </c:pt>
                <c:pt idx="1593">
                  <c:v>39946</c:v>
                </c:pt>
                <c:pt idx="1594">
                  <c:v>39947</c:v>
                </c:pt>
                <c:pt idx="1595">
                  <c:v>39948</c:v>
                </c:pt>
                <c:pt idx="1596">
                  <c:v>39949</c:v>
                </c:pt>
                <c:pt idx="1597">
                  <c:v>39950</c:v>
                </c:pt>
                <c:pt idx="1598">
                  <c:v>39951</c:v>
                </c:pt>
                <c:pt idx="1599">
                  <c:v>39952</c:v>
                </c:pt>
                <c:pt idx="1600">
                  <c:v>39953</c:v>
                </c:pt>
                <c:pt idx="1601">
                  <c:v>39954</c:v>
                </c:pt>
                <c:pt idx="1602">
                  <c:v>39955</c:v>
                </c:pt>
                <c:pt idx="1603">
                  <c:v>39956</c:v>
                </c:pt>
                <c:pt idx="1604">
                  <c:v>39957</c:v>
                </c:pt>
                <c:pt idx="1605">
                  <c:v>39958</c:v>
                </c:pt>
                <c:pt idx="1606">
                  <c:v>39959</c:v>
                </c:pt>
                <c:pt idx="1607">
                  <c:v>39960</c:v>
                </c:pt>
                <c:pt idx="1608">
                  <c:v>39961</c:v>
                </c:pt>
                <c:pt idx="1609">
                  <c:v>39962</c:v>
                </c:pt>
                <c:pt idx="1610">
                  <c:v>39963</c:v>
                </c:pt>
                <c:pt idx="1611">
                  <c:v>39964</c:v>
                </c:pt>
                <c:pt idx="1612">
                  <c:v>39965</c:v>
                </c:pt>
                <c:pt idx="1613">
                  <c:v>39966</c:v>
                </c:pt>
                <c:pt idx="1614">
                  <c:v>39967</c:v>
                </c:pt>
                <c:pt idx="1615">
                  <c:v>39968</c:v>
                </c:pt>
                <c:pt idx="1616">
                  <c:v>39969</c:v>
                </c:pt>
                <c:pt idx="1617">
                  <c:v>39970</c:v>
                </c:pt>
                <c:pt idx="1618">
                  <c:v>39971</c:v>
                </c:pt>
                <c:pt idx="1619">
                  <c:v>39972</c:v>
                </c:pt>
                <c:pt idx="1620">
                  <c:v>39973</c:v>
                </c:pt>
                <c:pt idx="1621">
                  <c:v>39974</c:v>
                </c:pt>
                <c:pt idx="1622">
                  <c:v>39975</c:v>
                </c:pt>
                <c:pt idx="1623">
                  <c:v>39976</c:v>
                </c:pt>
                <c:pt idx="1624">
                  <c:v>39977</c:v>
                </c:pt>
                <c:pt idx="1625">
                  <c:v>39978</c:v>
                </c:pt>
                <c:pt idx="1626">
                  <c:v>39979</c:v>
                </c:pt>
                <c:pt idx="1627">
                  <c:v>39980</c:v>
                </c:pt>
                <c:pt idx="1628">
                  <c:v>39981</c:v>
                </c:pt>
                <c:pt idx="1629">
                  <c:v>39982</c:v>
                </c:pt>
                <c:pt idx="1630">
                  <c:v>39983</c:v>
                </c:pt>
                <c:pt idx="1631">
                  <c:v>39984</c:v>
                </c:pt>
                <c:pt idx="1632">
                  <c:v>39985</c:v>
                </c:pt>
                <c:pt idx="1633">
                  <c:v>39986</c:v>
                </c:pt>
                <c:pt idx="1634">
                  <c:v>39987</c:v>
                </c:pt>
                <c:pt idx="1635">
                  <c:v>39988</c:v>
                </c:pt>
                <c:pt idx="1636">
                  <c:v>39989</c:v>
                </c:pt>
                <c:pt idx="1637">
                  <c:v>39990</c:v>
                </c:pt>
                <c:pt idx="1638">
                  <c:v>39991</c:v>
                </c:pt>
                <c:pt idx="1639">
                  <c:v>39992</c:v>
                </c:pt>
                <c:pt idx="1640">
                  <c:v>39993</c:v>
                </c:pt>
                <c:pt idx="1641">
                  <c:v>39994</c:v>
                </c:pt>
                <c:pt idx="1642">
                  <c:v>39995</c:v>
                </c:pt>
                <c:pt idx="1643">
                  <c:v>39996</c:v>
                </c:pt>
                <c:pt idx="1644">
                  <c:v>39997</c:v>
                </c:pt>
                <c:pt idx="1645">
                  <c:v>39998</c:v>
                </c:pt>
                <c:pt idx="1646">
                  <c:v>39999</c:v>
                </c:pt>
                <c:pt idx="1647">
                  <c:v>40000</c:v>
                </c:pt>
                <c:pt idx="1648">
                  <c:v>40001</c:v>
                </c:pt>
                <c:pt idx="1649">
                  <c:v>40002</c:v>
                </c:pt>
                <c:pt idx="1650">
                  <c:v>40003</c:v>
                </c:pt>
                <c:pt idx="1651">
                  <c:v>40004</c:v>
                </c:pt>
                <c:pt idx="1652">
                  <c:v>40005</c:v>
                </c:pt>
                <c:pt idx="1653">
                  <c:v>40006</c:v>
                </c:pt>
                <c:pt idx="1654">
                  <c:v>40007</c:v>
                </c:pt>
                <c:pt idx="1655">
                  <c:v>40008</c:v>
                </c:pt>
                <c:pt idx="1656">
                  <c:v>40009</c:v>
                </c:pt>
                <c:pt idx="1657">
                  <c:v>40010</c:v>
                </c:pt>
                <c:pt idx="1658">
                  <c:v>40011</c:v>
                </c:pt>
                <c:pt idx="1659">
                  <c:v>40012</c:v>
                </c:pt>
                <c:pt idx="1660">
                  <c:v>40013</c:v>
                </c:pt>
                <c:pt idx="1661">
                  <c:v>40014</c:v>
                </c:pt>
                <c:pt idx="1662">
                  <c:v>40015</c:v>
                </c:pt>
                <c:pt idx="1663">
                  <c:v>40016</c:v>
                </c:pt>
                <c:pt idx="1664">
                  <c:v>40017</c:v>
                </c:pt>
                <c:pt idx="1665">
                  <c:v>40018</c:v>
                </c:pt>
                <c:pt idx="1666">
                  <c:v>40019</c:v>
                </c:pt>
                <c:pt idx="1667">
                  <c:v>40020</c:v>
                </c:pt>
                <c:pt idx="1668">
                  <c:v>40021</c:v>
                </c:pt>
                <c:pt idx="1669">
                  <c:v>40022</c:v>
                </c:pt>
                <c:pt idx="1670">
                  <c:v>40023</c:v>
                </c:pt>
                <c:pt idx="1671">
                  <c:v>40024</c:v>
                </c:pt>
                <c:pt idx="1672">
                  <c:v>40025</c:v>
                </c:pt>
                <c:pt idx="1673">
                  <c:v>40026</c:v>
                </c:pt>
                <c:pt idx="1674">
                  <c:v>40027</c:v>
                </c:pt>
                <c:pt idx="1675">
                  <c:v>40028</c:v>
                </c:pt>
                <c:pt idx="1676">
                  <c:v>40029</c:v>
                </c:pt>
                <c:pt idx="1677">
                  <c:v>40030</c:v>
                </c:pt>
                <c:pt idx="1678">
                  <c:v>40031</c:v>
                </c:pt>
                <c:pt idx="1679">
                  <c:v>40032</c:v>
                </c:pt>
                <c:pt idx="1680">
                  <c:v>40033</c:v>
                </c:pt>
                <c:pt idx="1681">
                  <c:v>40034</c:v>
                </c:pt>
                <c:pt idx="1682">
                  <c:v>40035</c:v>
                </c:pt>
                <c:pt idx="1683">
                  <c:v>40036</c:v>
                </c:pt>
                <c:pt idx="1684">
                  <c:v>40037</c:v>
                </c:pt>
                <c:pt idx="1685">
                  <c:v>40038</c:v>
                </c:pt>
                <c:pt idx="1686">
                  <c:v>40039</c:v>
                </c:pt>
                <c:pt idx="1687">
                  <c:v>40040</c:v>
                </c:pt>
                <c:pt idx="1688">
                  <c:v>40041</c:v>
                </c:pt>
                <c:pt idx="1689">
                  <c:v>40042</c:v>
                </c:pt>
                <c:pt idx="1690">
                  <c:v>40043</c:v>
                </c:pt>
                <c:pt idx="1691">
                  <c:v>40044</c:v>
                </c:pt>
                <c:pt idx="1692">
                  <c:v>40045</c:v>
                </c:pt>
                <c:pt idx="1693">
                  <c:v>40046</c:v>
                </c:pt>
                <c:pt idx="1694">
                  <c:v>40047</c:v>
                </c:pt>
                <c:pt idx="1695">
                  <c:v>40048</c:v>
                </c:pt>
                <c:pt idx="1696">
                  <c:v>40049</c:v>
                </c:pt>
                <c:pt idx="1697">
                  <c:v>40050</c:v>
                </c:pt>
                <c:pt idx="1698">
                  <c:v>40051</c:v>
                </c:pt>
                <c:pt idx="1699">
                  <c:v>40052</c:v>
                </c:pt>
                <c:pt idx="1700">
                  <c:v>40053</c:v>
                </c:pt>
                <c:pt idx="1701">
                  <c:v>40054</c:v>
                </c:pt>
                <c:pt idx="1702">
                  <c:v>40055</c:v>
                </c:pt>
                <c:pt idx="1703">
                  <c:v>40056</c:v>
                </c:pt>
                <c:pt idx="1704">
                  <c:v>40057</c:v>
                </c:pt>
                <c:pt idx="1705">
                  <c:v>40058</c:v>
                </c:pt>
                <c:pt idx="1706">
                  <c:v>40059</c:v>
                </c:pt>
                <c:pt idx="1707">
                  <c:v>40060</c:v>
                </c:pt>
                <c:pt idx="1708">
                  <c:v>40061</c:v>
                </c:pt>
                <c:pt idx="1709">
                  <c:v>40062</c:v>
                </c:pt>
                <c:pt idx="1710">
                  <c:v>40063</c:v>
                </c:pt>
                <c:pt idx="1711">
                  <c:v>40064</c:v>
                </c:pt>
                <c:pt idx="1712">
                  <c:v>40065</c:v>
                </c:pt>
                <c:pt idx="1713">
                  <c:v>40066</c:v>
                </c:pt>
                <c:pt idx="1714">
                  <c:v>40067</c:v>
                </c:pt>
                <c:pt idx="1715">
                  <c:v>40068</c:v>
                </c:pt>
                <c:pt idx="1716">
                  <c:v>40069</c:v>
                </c:pt>
                <c:pt idx="1717">
                  <c:v>40070</c:v>
                </c:pt>
                <c:pt idx="1718">
                  <c:v>40071</c:v>
                </c:pt>
                <c:pt idx="1719">
                  <c:v>40072</c:v>
                </c:pt>
                <c:pt idx="1720">
                  <c:v>40073</c:v>
                </c:pt>
                <c:pt idx="1721">
                  <c:v>40074</c:v>
                </c:pt>
                <c:pt idx="1722">
                  <c:v>40075</c:v>
                </c:pt>
                <c:pt idx="1723">
                  <c:v>40076</c:v>
                </c:pt>
                <c:pt idx="1724">
                  <c:v>40077</c:v>
                </c:pt>
                <c:pt idx="1725">
                  <c:v>40078</c:v>
                </c:pt>
                <c:pt idx="1726">
                  <c:v>40079</c:v>
                </c:pt>
                <c:pt idx="1727">
                  <c:v>40080</c:v>
                </c:pt>
                <c:pt idx="1728">
                  <c:v>40081</c:v>
                </c:pt>
                <c:pt idx="1729">
                  <c:v>40082</c:v>
                </c:pt>
                <c:pt idx="1730">
                  <c:v>40083</c:v>
                </c:pt>
                <c:pt idx="1731">
                  <c:v>40084</c:v>
                </c:pt>
                <c:pt idx="1732">
                  <c:v>40085</c:v>
                </c:pt>
                <c:pt idx="1733">
                  <c:v>40086</c:v>
                </c:pt>
                <c:pt idx="1734">
                  <c:v>40087</c:v>
                </c:pt>
                <c:pt idx="1735">
                  <c:v>40088</c:v>
                </c:pt>
                <c:pt idx="1736">
                  <c:v>40089</c:v>
                </c:pt>
                <c:pt idx="1737">
                  <c:v>40090</c:v>
                </c:pt>
                <c:pt idx="1738">
                  <c:v>40091</c:v>
                </c:pt>
                <c:pt idx="1739">
                  <c:v>40092</c:v>
                </c:pt>
                <c:pt idx="1740">
                  <c:v>40093</c:v>
                </c:pt>
                <c:pt idx="1741">
                  <c:v>40094</c:v>
                </c:pt>
                <c:pt idx="1742">
                  <c:v>40095</c:v>
                </c:pt>
                <c:pt idx="1743">
                  <c:v>40096</c:v>
                </c:pt>
                <c:pt idx="1744">
                  <c:v>40097</c:v>
                </c:pt>
                <c:pt idx="1745">
                  <c:v>40098</c:v>
                </c:pt>
                <c:pt idx="1746">
                  <c:v>40099</c:v>
                </c:pt>
                <c:pt idx="1747">
                  <c:v>40100</c:v>
                </c:pt>
                <c:pt idx="1748">
                  <c:v>40101</c:v>
                </c:pt>
                <c:pt idx="1749">
                  <c:v>40102</c:v>
                </c:pt>
                <c:pt idx="1750">
                  <c:v>40103</c:v>
                </c:pt>
                <c:pt idx="1751">
                  <c:v>40104</c:v>
                </c:pt>
                <c:pt idx="1752">
                  <c:v>40105</c:v>
                </c:pt>
                <c:pt idx="1753">
                  <c:v>40106</c:v>
                </c:pt>
                <c:pt idx="1754">
                  <c:v>40107</c:v>
                </c:pt>
                <c:pt idx="1755">
                  <c:v>40108</c:v>
                </c:pt>
                <c:pt idx="1756">
                  <c:v>40109</c:v>
                </c:pt>
                <c:pt idx="1757">
                  <c:v>40110</c:v>
                </c:pt>
                <c:pt idx="1758">
                  <c:v>40111</c:v>
                </c:pt>
                <c:pt idx="1759">
                  <c:v>40112</c:v>
                </c:pt>
                <c:pt idx="1760">
                  <c:v>40113</c:v>
                </c:pt>
                <c:pt idx="1761">
                  <c:v>40114</c:v>
                </c:pt>
                <c:pt idx="1762">
                  <c:v>40115</c:v>
                </c:pt>
                <c:pt idx="1763">
                  <c:v>40116</c:v>
                </c:pt>
                <c:pt idx="1764">
                  <c:v>40117</c:v>
                </c:pt>
                <c:pt idx="1765">
                  <c:v>40118</c:v>
                </c:pt>
                <c:pt idx="1766">
                  <c:v>40119</c:v>
                </c:pt>
                <c:pt idx="1767">
                  <c:v>40120</c:v>
                </c:pt>
                <c:pt idx="1768">
                  <c:v>40121</c:v>
                </c:pt>
                <c:pt idx="1769">
                  <c:v>40122</c:v>
                </c:pt>
                <c:pt idx="1770">
                  <c:v>40123</c:v>
                </c:pt>
                <c:pt idx="1771">
                  <c:v>40124</c:v>
                </c:pt>
                <c:pt idx="1772">
                  <c:v>40125</c:v>
                </c:pt>
                <c:pt idx="1773">
                  <c:v>40126</c:v>
                </c:pt>
                <c:pt idx="1774">
                  <c:v>40127</c:v>
                </c:pt>
                <c:pt idx="1775">
                  <c:v>40128</c:v>
                </c:pt>
                <c:pt idx="1776">
                  <c:v>40129</c:v>
                </c:pt>
                <c:pt idx="1777">
                  <c:v>40130</c:v>
                </c:pt>
                <c:pt idx="1778">
                  <c:v>40131</c:v>
                </c:pt>
                <c:pt idx="1779">
                  <c:v>40132</c:v>
                </c:pt>
                <c:pt idx="1780">
                  <c:v>40133</c:v>
                </c:pt>
                <c:pt idx="1781">
                  <c:v>40134</c:v>
                </c:pt>
                <c:pt idx="1782">
                  <c:v>40135</c:v>
                </c:pt>
                <c:pt idx="1783">
                  <c:v>40136</c:v>
                </c:pt>
                <c:pt idx="1784">
                  <c:v>40137</c:v>
                </c:pt>
                <c:pt idx="1785">
                  <c:v>40138</c:v>
                </c:pt>
                <c:pt idx="1786">
                  <c:v>40139</c:v>
                </c:pt>
                <c:pt idx="1787">
                  <c:v>40140</c:v>
                </c:pt>
                <c:pt idx="1788">
                  <c:v>40141</c:v>
                </c:pt>
                <c:pt idx="1789">
                  <c:v>40142</c:v>
                </c:pt>
                <c:pt idx="1790">
                  <c:v>40143</c:v>
                </c:pt>
                <c:pt idx="1791">
                  <c:v>40144</c:v>
                </c:pt>
                <c:pt idx="1792">
                  <c:v>40145</c:v>
                </c:pt>
                <c:pt idx="1793">
                  <c:v>40146</c:v>
                </c:pt>
                <c:pt idx="1794">
                  <c:v>40147</c:v>
                </c:pt>
                <c:pt idx="1795">
                  <c:v>40148</c:v>
                </c:pt>
                <c:pt idx="1796">
                  <c:v>40149</c:v>
                </c:pt>
                <c:pt idx="1797">
                  <c:v>40150</c:v>
                </c:pt>
                <c:pt idx="1798">
                  <c:v>40151</c:v>
                </c:pt>
                <c:pt idx="1799">
                  <c:v>40152</c:v>
                </c:pt>
                <c:pt idx="1800">
                  <c:v>40153</c:v>
                </c:pt>
                <c:pt idx="1801">
                  <c:v>40154</c:v>
                </c:pt>
                <c:pt idx="1802">
                  <c:v>40155</c:v>
                </c:pt>
                <c:pt idx="1803">
                  <c:v>40156</c:v>
                </c:pt>
                <c:pt idx="1804">
                  <c:v>40157</c:v>
                </c:pt>
                <c:pt idx="1805">
                  <c:v>40158</c:v>
                </c:pt>
                <c:pt idx="1806">
                  <c:v>40159</c:v>
                </c:pt>
                <c:pt idx="1807">
                  <c:v>40160</c:v>
                </c:pt>
                <c:pt idx="1808">
                  <c:v>40161</c:v>
                </c:pt>
                <c:pt idx="1809">
                  <c:v>40162</c:v>
                </c:pt>
                <c:pt idx="1810">
                  <c:v>40163</c:v>
                </c:pt>
                <c:pt idx="1811">
                  <c:v>40164</c:v>
                </c:pt>
                <c:pt idx="1812">
                  <c:v>40165</c:v>
                </c:pt>
                <c:pt idx="1813">
                  <c:v>40166</c:v>
                </c:pt>
                <c:pt idx="1814">
                  <c:v>40167</c:v>
                </c:pt>
                <c:pt idx="1815">
                  <c:v>40168</c:v>
                </c:pt>
                <c:pt idx="1816">
                  <c:v>40169</c:v>
                </c:pt>
                <c:pt idx="1817">
                  <c:v>40170</c:v>
                </c:pt>
                <c:pt idx="1818">
                  <c:v>40171</c:v>
                </c:pt>
                <c:pt idx="1819">
                  <c:v>40172</c:v>
                </c:pt>
                <c:pt idx="1820">
                  <c:v>40173</c:v>
                </c:pt>
                <c:pt idx="1821">
                  <c:v>40174</c:v>
                </c:pt>
                <c:pt idx="1822">
                  <c:v>40175</c:v>
                </c:pt>
                <c:pt idx="1823">
                  <c:v>40176</c:v>
                </c:pt>
                <c:pt idx="1824">
                  <c:v>40177</c:v>
                </c:pt>
                <c:pt idx="1825">
                  <c:v>40178</c:v>
                </c:pt>
                <c:pt idx="1826">
                  <c:v>40182</c:v>
                </c:pt>
                <c:pt idx="1827">
                  <c:v>40183</c:v>
                </c:pt>
                <c:pt idx="1828">
                  <c:v>40184</c:v>
                </c:pt>
                <c:pt idx="1829">
                  <c:v>40185</c:v>
                </c:pt>
                <c:pt idx="1830">
                  <c:v>40186</c:v>
                </c:pt>
                <c:pt idx="1831">
                  <c:v>40189</c:v>
                </c:pt>
                <c:pt idx="1832">
                  <c:v>40190</c:v>
                </c:pt>
                <c:pt idx="1833">
                  <c:v>40191</c:v>
                </c:pt>
                <c:pt idx="1834">
                  <c:v>40192</c:v>
                </c:pt>
                <c:pt idx="1835">
                  <c:v>40193</c:v>
                </c:pt>
                <c:pt idx="1836">
                  <c:v>40197</c:v>
                </c:pt>
                <c:pt idx="1837">
                  <c:v>40198</c:v>
                </c:pt>
                <c:pt idx="1838">
                  <c:v>40199</c:v>
                </c:pt>
                <c:pt idx="1839">
                  <c:v>40200</c:v>
                </c:pt>
                <c:pt idx="1840">
                  <c:v>40203</c:v>
                </c:pt>
                <c:pt idx="1841">
                  <c:v>40204</c:v>
                </c:pt>
                <c:pt idx="1842">
                  <c:v>40205</c:v>
                </c:pt>
                <c:pt idx="1843">
                  <c:v>40206</c:v>
                </c:pt>
                <c:pt idx="1844">
                  <c:v>40207</c:v>
                </c:pt>
                <c:pt idx="1845">
                  <c:v>40210</c:v>
                </c:pt>
                <c:pt idx="1846">
                  <c:v>40211</c:v>
                </c:pt>
                <c:pt idx="1847">
                  <c:v>40212</c:v>
                </c:pt>
                <c:pt idx="1848">
                  <c:v>40213</c:v>
                </c:pt>
                <c:pt idx="1849">
                  <c:v>40214</c:v>
                </c:pt>
                <c:pt idx="1850">
                  <c:v>40217</c:v>
                </c:pt>
                <c:pt idx="1851">
                  <c:v>40218</c:v>
                </c:pt>
                <c:pt idx="1852">
                  <c:v>40219</c:v>
                </c:pt>
                <c:pt idx="1853">
                  <c:v>40220</c:v>
                </c:pt>
                <c:pt idx="1854">
                  <c:v>40221</c:v>
                </c:pt>
                <c:pt idx="1855">
                  <c:v>40224</c:v>
                </c:pt>
                <c:pt idx="1856">
                  <c:v>40225</c:v>
                </c:pt>
                <c:pt idx="1857">
                  <c:v>40226</c:v>
                </c:pt>
                <c:pt idx="1858">
                  <c:v>40227</c:v>
                </c:pt>
                <c:pt idx="1859">
                  <c:v>40228</c:v>
                </c:pt>
                <c:pt idx="1860">
                  <c:v>40231</c:v>
                </c:pt>
                <c:pt idx="1861">
                  <c:v>40232</c:v>
                </c:pt>
                <c:pt idx="1862">
                  <c:v>40233</c:v>
                </c:pt>
                <c:pt idx="1863">
                  <c:v>40234</c:v>
                </c:pt>
                <c:pt idx="1864">
                  <c:v>40235</c:v>
                </c:pt>
                <c:pt idx="1865">
                  <c:v>40238</c:v>
                </c:pt>
                <c:pt idx="1866">
                  <c:v>40239</c:v>
                </c:pt>
                <c:pt idx="1867">
                  <c:v>40240</c:v>
                </c:pt>
                <c:pt idx="1868">
                  <c:v>40241</c:v>
                </c:pt>
                <c:pt idx="1869">
                  <c:v>40242</c:v>
                </c:pt>
                <c:pt idx="1870">
                  <c:v>40245</c:v>
                </c:pt>
                <c:pt idx="1871">
                  <c:v>40246</c:v>
                </c:pt>
                <c:pt idx="1872">
                  <c:v>40247</c:v>
                </c:pt>
                <c:pt idx="1873">
                  <c:v>40248</c:v>
                </c:pt>
                <c:pt idx="1874">
                  <c:v>40249</c:v>
                </c:pt>
                <c:pt idx="1875">
                  <c:v>40252</c:v>
                </c:pt>
                <c:pt idx="1876">
                  <c:v>40253</c:v>
                </c:pt>
                <c:pt idx="1877">
                  <c:v>40254</c:v>
                </c:pt>
                <c:pt idx="1878">
                  <c:v>40255</c:v>
                </c:pt>
                <c:pt idx="1879">
                  <c:v>40256</c:v>
                </c:pt>
                <c:pt idx="1880">
                  <c:v>40259</c:v>
                </c:pt>
                <c:pt idx="1881">
                  <c:v>40260</c:v>
                </c:pt>
                <c:pt idx="1882">
                  <c:v>40261</c:v>
                </c:pt>
                <c:pt idx="1883">
                  <c:v>40262</c:v>
                </c:pt>
                <c:pt idx="1884">
                  <c:v>40263</c:v>
                </c:pt>
                <c:pt idx="1885">
                  <c:v>40266</c:v>
                </c:pt>
                <c:pt idx="1886">
                  <c:v>40267</c:v>
                </c:pt>
                <c:pt idx="1887">
                  <c:v>40268</c:v>
                </c:pt>
                <c:pt idx="1888">
                  <c:v>40269</c:v>
                </c:pt>
                <c:pt idx="1889">
                  <c:v>40273</c:v>
                </c:pt>
                <c:pt idx="1890">
                  <c:v>40274</c:v>
                </c:pt>
                <c:pt idx="1891">
                  <c:v>40275</c:v>
                </c:pt>
                <c:pt idx="1892">
                  <c:v>40276</c:v>
                </c:pt>
                <c:pt idx="1893">
                  <c:v>40277</c:v>
                </c:pt>
                <c:pt idx="1894">
                  <c:v>40280</c:v>
                </c:pt>
                <c:pt idx="1895">
                  <c:v>40281</c:v>
                </c:pt>
                <c:pt idx="1896">
                  <c:v>40282</c:v>
                </c:pt>
                <c:pt idx="1897">
                  <c:v>40283</c:v>
                </c:pt>
                <c:pt idx="1898">
                  <c:v>40284</c:v>
                </c:pt>
                <c:pt idx="1899">
                  <c:v>40287</c:v>
                </c:pt>
                <c:pt idx="1900">
                  <c:v>40288</c:v>
                </c:pt>
                <c:pt idx="1901">
                  <c:v>40289</c:v>
                </c:pt>
                <c:pt idx="1902">
                  <c:v>40290</c:v>
                </c:pt>
                <c:pt idx="1903">
                  <c:v>40291</c:v>
                </c:pt>
                <c:pt idx="1904">
                  <c:v>40294</c:v>
                </c:pt>
                <c:pt idx="1905">
                  <c:v>40295</c:v>
                </c:pt>
                <c:pt idx="1906">
                  <c:v>40296</c:v>
                </c:pt>
                <c:pt idx="1907">
                  <c:v>40297</c:v>
                </c:pt>
                <c:pt idx="1908">
                  <c:v>40298</c:v>
                </c:pt>
                <c:pt idx="1909">
                  <c:v>40301</c:v>
                </c:pt>
                <c:pt idx="1910">
                  <c:v>40302</c:v>
                </c:pt>
                <c:pt idx="1911">
                  <c:v>40303</c:v>
                </c:pt>
                <c:pt idx="1912">
                  <c:v>40304</c:v>
                </c:pt>
                <c:pt idx="1913">
                  <c:v>40305</c:v>
                </c:pt>
                <c:pt idx="1914">
                  <c:v>40308</c:v>
                </c:pt>
                <c:pt idx="1915">
                  <c:v>40309</c:v>
                </c:pt>
                <c:pt idx="1916">
                  <c:v>40310</c:v>
                </c:pt>
                <c:pt idx="1917">
                  <c:v>40311</c:v>
                </c:pt>
                <c:pt idx="1918">
                  <c:v>40312</c:v>
                </c:pt>
                <c:pt idx="1919">
                  <c:v>40315</c:v>
                </c:pt>
                <c:pt idx="1920">
                  <c:v>40316</c:v>
                </c:pt>
                <c:pt idx="1921">
                  <c:v>40317</c:v>
                </c:pt>
                <c:pt idx="1922">
                  <c:v>40318</c:v>
                </c:pt>
                <c:pt idx="1923">
                  <c:v>40319</c:v>
                </c:pt>
                <c:pt idx="1924">
                  <c:v>40322</c:v>
                </c:pt>
                <c:pt idx="1925">
                  <c:v>40323</c:v>
                </c:pt>
                <c:pt idx="1926">
                  <c:v>40324</c:v>
                </c:pt>
                <c:pt idx="1927">
                  <c:v>40325</c:v>
                </c:pt>
                <c:pt idx="1928">
                  <c:v>40326</c:v>
                </c:pt>
                <c:pt idx="1929">
                  <c:v>40330</c:v>
                </c:pt>
                <c:pt idx="1930">
                  <c:v>40331</c:v>
                </c:pt>
                <c:pt idx="1931">
                  <c:v>40332</c:v>
                </c:pt>
                <c:pt idx="1932">
                  <c:v>40333</c:v>
                </c:pt>
                <c:pt idx="1933">
                  <c:v>40336</c:v>
                </c:pt>
                <c:pt idx="1934">
                  <c:v>40337</c:v>
                </c:pt>
                <c:pt idx="1935">
                  <c:v>40338</c:v>
                </c:pt>
                <c:pt idx="1936">
                  <c:v>40339</c:v>
                </c:pt>
                <c:pt idx="1937">
                  <c:v>40340</c:v>
                </c:pt>
                <c:pt idx="1938">
                  <c:v>40343</c:v>
                </c:pt>
                <c:pt idx="1939">
                  <c:v>40344</c:v>
                </c:pt>
                <c:pt idx="1940">
                  <c:v>40345</c:v>
                </c:pt>
                <c:pt idx="1941">
                  <c:v>40346</c:v>
                </c:pt>
                <c:pt idx="1942">
                  <c:v>40347</c:v>
                </c:pt>
                <c:pt idx="1943">
                  <c:v>40350</c:v>
                </c:pt>
                <c:pt idx="1944">
                  <c:v>40351</c:v>
                </c:pt>
                <c:pt idx="1945">
                  <c:v>40352</c:v>
                </c:pt>
                <c:pt idx="1946">
                  <c:v>40353</c:v>
                </c:pt>
                <c:pt idx="1947">
                  <c:v>40354</c:v>
                </c:pt>
                <c:pt idx="1948">
                  <c:v>40357</c:v>
                </c:pt>
                <c:pt idx="1949">
                  <c:v>40358</c:v>
                </c:pt>
                <c:pt idx="1950">
                  <c:v>40359</c:v>
                </c:pt>
                <c:pt idx="1951">
                  <c:v>40360</c:v>
                </c:pt>
                <c:pt idx="1952">
                  <c:v>40361</c:v>
                </c:pt>
                <c:pt idx="1953">
                  <c:v>40365</c:v>
                </c:pt>
                <c:pt idx="1954">
                  <c:v>40366</c:v>
                </c:pt>
                <c:pt idx="1955">
                  <c:v>40367</c:v>
                </c:pt>
                <c:pt idx="1956">
                  <c:v>40368</c:v>
                </c:pt>
                <c:pt idx="1957">
                  <c:v>40371</c:v>
                </c:pt>
                <c:pt idx="1958">
                  <c:v>40372</c:v>
                </c:pt>
                <c:pt idx="1959">
                  <c:v>40373</c:v>
                </c:pt>
                <c:pt idx="1960">
                  <c:v>40374</c:v>
                </c:pt>
                <c:pt idx="1961">
                  <c:v>40378</c:v>
                </c:pt>
                <c:pt idx="1962">
                  <c:v>40379</c:v>
                </c:pt>
                <c:pt idx="1963">
                  <c:v>40380</c:v>
                </c:pt>
                <c:pt idx="1964">
                  <c:v>40381</c:v>
                </c:pt>
                <c:pt idx="1965">
                  <c:v>40382</c:v>
                </c:pt>
                <c:pt idx="1966">
                  <c:v>40385</c:v>
                </c:pt>
                <c:pt idx="1967">
                  <c:v>40386</c:v>
                </c:pt>
                <c:pt idx="1968">
                  <c:v>40387</c:v>
                </c:pt>
                <c:pt idx="1969">
                  <c:v>40388</c:v>
                </c:pt>
                <c:pt idx="1970">
                  <c:v>40389</c:v>
                </c:pt>
                <c:pt idx="1971">
                  <c:v>40392</c:v>
                </c:pt>
                <c:pt idx="1972">
                  <c:v>40393</c:v>
                </c:pt>
                <c:pt idx="1973">
                  <c:v>40394</c:v>
                </c:pt>
                <c:pt idx="1974">
                  <c:v>40395</c:v>
                </c:pt>
                <c:pt idx="1975">
                  <c:v>40396</c:v>
                </c:pt>
                <c:pt idx="1976">
                  <c:v>40399</c:v>
                </c:pt>
                <c:pt idx="1977">
                  <c:v>40400</c:v>
                </c:pt>
                <c:pt idx="1978">
                  <c:v>40401</c:v>
                </c:pt>
                <c:pt idx="1979">
                  <c:v>40402</c:v>
                </c:pt>
                <c:pt idx="1980">
                  <c:v>40403</c:v>
                </c:pt>
                <c:pt idx="1981">
                  <c:v>40406</c:v>
                </c:pt>
                <c:pt idx="1982">
                  <c:v>40407</c:v>
                </c:pt>
                <c:pt idx="1983">
                  <c:v>40408</c:v>
                </c:pt>
                <c:pt idx="1984">
                  <c:v>40409</c:v>
                </c:pt>
                <c:pt idx="1985">
                  <c:v>40410</c:v>
                </c:pt>
                <c:pt idx="1986">
                  <c:v>40413</c:v>
                </c:pt>
                <c:pt idx="1987">
                  <c:v>40414</c:v>
                </c:pt>
                <c:pt idx="1988">
                  <c:v>40415</c:v>
                </c:pt>
                <c:pt idx="1989">
                  <c:v>40416</c:v>
                </c:pt>
                <c:pt idx="1990">
                  <c:v>40417</c:v>
                </c:pt>
                <c:pt idx="1991">
                  <c:v>40420</c:v>
                </c:pt>
                <c:pt idx="1992">
                  <c:v>40421</c:v>
                </c:pt>
                <c:pt idx="1993">
                  <c:v>40422</c:v>
                </c:pt>
                <c:pt idx="1994">
                  <c:v>40423</c:v>
                </c:pt>
                <c:pt idx="1995">
                  <c:v>40424</c:v>
                </c:pt>
                <c:pt idx="1996">
                  <c:v>40428</c:v>
                </c:pt>
                <c:pt idx="1997">
                  <c:v>40429</c:v>
                </c:pt>
                <c:pt idx="1998">
                  <c:v>40430</c:v>
                </c:pt>
                <c:pt idx="1999">
                  <c:v>40431</c:v>
                </c:pt>
                <c:pt idx="2000">
                  <c:v>40434</c:v>
                </c:pt>
                <c:pt idx="2001">
                  <c:v>40435</c:v>
                </c:pt>
                <c:pt idx="2002">
                  <c:v>40436</c:v>
                </c:pt>
                <c:pt idx="2003">
                  <c:v>40437</c:v>
                </c:pt>
                <c:pt idx="2004">
                  <c:v>40438</c:v>
                </c:pt>
                <c:pt idx="2005">
                  <c:v>40441</c:v>
                </c:pt>
                <c:pt idx="2006">
                  <c:v>40442</c:v>
                </c:pt>
                <c:pt idx="2007">
                  <c:v>40443</c:v>
                </c:pt>
                <c:pt idx="2008">
                  <c:v>40444</c:v>
                </c:pt>
                <c:pt idx="2009">
                  <c:v>40445</c:v>
                </c:pt>
                <c:pt idx="2010">
                  <c:v>40448</c:v>
                </c:pt>
                <c:pt idx="2011">
                  <c:v>40449</c:v>
                </c:pt>
                <c:pt idx="2012">
                  <c:v>40450</c:v>
                </c:pt>
                <c:pt idx="2013">
                  <c:v>40451</c:v>
                </c:pt>
                <c:pt idx="2014">
                  <c:v>40452</c:v>
                </c:pt>
                <c:pt idx="2015">
                  <c:v>40455</c:v>
                </c:pt>
                <c:pt idx="2016">
                  <c:v>40456</c:v>
                </c:pt>
                <c:pt idx="2017">
                  <c:v>40457</c:v>
                </c:pt>
                <c:pt idx="2018">
                  <c:v>40458</c:v>
                </c:pt>
                <c:pt idx="2019">
                  <c:v>40459</c:v>
                </c:pt>
                <c:pt idx="2020">
                  <c:v>40462</c:v>
                </c:pt>
                <c:pt idx="2021">
                  <c:v>40463</c:v>
                </c:pt>
                <c:pt idx="2022">
                  <c:v>40464</c:v>
                </c:pt>
                <c:pt idx="2023">
                  <c:v>40465</c:v>
                </c:pt>
                <c:pt idx="2024">
                  <c:v>40466</c:v>
                </c:pt>
                <c:pt idx="2025">
                  <c:v>40469</c:v>
                </c:pt>
                <c:pt idx="2026">
                  <c:v>40470</c:v>
                </c:pt>
                <c:pt idx="2027">
                  <c:v>40471</c:v>
                </c:pt>
                <c:pt idx="2028">
                  <c:v>40472</c:v>
                </c:pt>
                <c:pt idx="2029">
                  <c:v>40473</c:v>
                </c:pt>
                <c:pt idx="2030">
                  <c:v>40476</c:v>
                </c:pt>
                <c:pt idx="2031">
                  <c:v>40477</c:v>
                </c:pt>
                <c:pt idx="2032">
                  <c:v>40478</c:v>
                </c:pt>
                <c:pt idx="2033">
                  <c:v>40479</c:v>
                </c:pt>
                <c:pt idx="2034">
                  <c:v>40480</c:v>
                </c:pt>
                <c:pt idx="2035">
                  <c:v>40483</c:v>
                </c:pt>
                <c:pt idx="2036">
                  <c:v>40484</c:v>
                </c:pt>
                <c:pt idx="2037">
                  <c:v>40485</c:v>
                </c:pt>
                <c:pt idx="2038">
                  <c:v>40486</c:v>
                </c:pt>
                <c:pt idx="2039">
                  <c:v>40487</c:v>
                </c:pt>
                <c:pt idx="2040">
                  <c:v>40490</c:v>
                </c:pt>
                <c:pt idx="2041">
                  <c:v>40491</c:v>
                </c:pt>
                <c:pt idx="2042">
                  <c:v>40492</c:v>
                </c:pt>
                <c:pt idx="2043">
                  <c:v>40493</c:v>
                </c:pt>
                <c:pt idx="2044">
                  <c:v>40494</c:v>
                </c:pt>
                <c:pt idx="2045">
                  <c:v>40497</c:v>
                </c:pt>
                <c:pt idx="2046">
                  <c:v>40498</c:v>
                </c:pt>
                <c:pt idx="2047">
                  <c:v>40499</c:v>
                </c:pt>
                <c:pt idx="2048">
                  <c:v>40500</c:v>
                </c:pt>
                <c:pt idx="2049">
                  <c:v>40501</c:v>
                </c:pt>
                <c:pt idx="2050">
                  <c:v>40504</c:v>
                </c:pt>
                <c:pt idx="2051">
                  <c:v>40505</c:v>
                </c:pt>
                <c:pt idx="2052">
                  <c:v>40506</c:v>
                </c:pt>
                <c:pt idx="2053">
                  <c:v>40510</c:v>
                </c:pt>
                <c:pt idx="2054">
                  <c:v>40511</c:v>
                </c:pt>
                <c:pt idx="2055">
                  <c:v>40513</c:v>
                </c:pt>
                <c:pt idx="2056">
                  <c:v>40514</c:v>
                </c:pt>
                <c:pt idx="2057">
                  <c:v>40515</c:v>
                </c:pt>
                <c:pt idx="2058">
                  <c:v>40518</c:v>
                </c:pt>
                <c:pt idx="2059">
                  <c:v>40519</c:v>
                </c:pt>
                <c:pt idx="2060">
                  <c:v>40520</c:v>
                </c:pt>
                <c:pt idx="2061">
                  <c:v>40521</c:v>
                </c:pt>
                <c:pt idx="2062">
                  <c:v>40522</c:v>
                </c:pt>
                <c:pt idx="2063">
                  <c:v>40525</c:v>
                </c:pt>
                <c:pt idx="2064">
                  <c:v>40526</c:v>
                </c:pt>
                <c:pt idx="2065">
                  <c:v>40527</c:v>
                </c:pt>
                <c:pt idx="2066">
                  <c:v>40528</c:v>
                </c:pt>
                <c:pt idx="2067">
                  <c:v>40529</c:v>
                </c:pt>
                <c:pt idx="2068">
                  <c:v>40532</c:v>
                </c:pt>
                <c:pt idx="2069">
                  <c:v>40533</c:v>
                </c:pt>
                <c:pt idx="2070">
                  <c:v>40534</c:v>
                </c:pt>
                <c:pt idx="2071">
                  <c:v>40535</c:v>
                </c:pt>
                <c:pt idx="2072">
                  <c:v>40539</c:v>
                </c:pt>
                <c:pt idx="2073">
                  <c:v>40540</c:v>
                </c:pt>
                <c:pt idx="2074">
                  <c:v>40541</c:v>
                </c:pt>
                <c:pt idx="2075">
                  <c:v>40542</c:v>
                </c:pt>
                <c:pt idx="2076">
                  <c:v>40543</c:v>
                </c:pt>
                <c:pt idx="2077">
                  <c:v>40546</c:v>
                </c:pt>
                <c:pt idx="2078">
                  <c:v>40547</c:v>
                </c:pt>
                <c:pt idx="2079">
                  <c:v>40548</c:v>
                </c:pt>
                <c:pt idx="2080">
                  <c:v>40549</c:v>
                </c:pt>
                <c:pt idx="2081">
                  <c:v>40550</c:v>
                </c:pt>
                <c:pt idx="2082">
                  <c:v>40553</c:v>
                </c:pt>
                <c:pt idx="2083">
                  <c:v>40554</c:v>
                </c:pt>
                <c:pt idx="2084">
                  <c:v>40555</c:v>
                </c:pt>
                <c:pt idx="2085">
                  <c:v>40556</c:v>
                </c:pt>
                <c:pt idx="2086">
                  <c:v>40557</c:v>
                </c:pt>
                <c:pt idx="2087">
                  <c:v>40561</c:v>
                </c:pt>
                <c:pt idx="2088">
                  <c:v>40562</c:v>
                </c:pt>
                <c:pt idx="2089">
                  <c:v>40563</c:v>
                </c:pt>
                <c:pt idx="2090">
                  <c:v>40564</c:v>
                </c:pt>
                <c:pt idx="2091">
                  <c:v>40567</c:v>
                </c:pt>
                <c:pt idx="2092">
                  <c:v>40568</c:v>
                </c:pt>
                <c:pt idx="2093">
                  <c:v>40569</c:v>
                </c:pt>
                <c:pt idx="2094">
                  <c:v>40570</c:v>
                </c:pt>
                <c:pt idx="2095">
                  <c:v>40571</c:v>
                </c:pt>
                <c:pt idx="2096">
                  <c:v>40574</c:v>
                </c:pt>
                <c:pt idx="2097">
                  <c:v>40575</c:v>
                </c:pt>
                <c:pt idx="2098">
                  <c:v>40576</c:v>
                </c:pt>
                <c:pt idx="2099">
                  <c:v>40577</c:v>
                </c:pt>
                <c:pt idx="2100">
                  <c:v>40578</c:v>
                </c:pt>
                <c:pt idx="2101">
                  <c:v>40581</c:v>
                </c:pt>
                <c:pt idx="2102">
                  <c:v>40582</c:v>
                </c:pt>
                <c:pt idx="2103">
                  <c:v>40583</c:v>
                </c:pt>
                <c:pt idx="2104">
                  <c:v>40584</c:v>
                </c:pt>
                <c:pt idx="2105">
                  <c:v>40585</c:v>
                </c:pt>
                <c:pt idx="2106">
                  <c:v>40588</c:v>
                </c:pt>
                <c:pt idx="2107">
                  <c:v>40589</c:v>
                </c:pt>
                <c:pt idx="2108">
                  <c:v>40590</c:v>
                </c:pt>
                <c:pt idx="2109">
                  <c:v>40591</c:v>
                </c:pt>
                <c:pt idx="2110">
                  <c:v>40592</c:v>
                </c:pt>
                <c:pt idx="2111">
                  <c:v>40596</c:v>
                </c:pt>
                <c:pt idx="2112">
                  <c:v>40597</c:v>
                </c:pt>
                <c:pt idx="2113">
                  <c:v>40598</c:v>
                </c:pt>
                <c:pt idx="2114">
                  <c:v>40599</c:v>
                </c:pt>
                <c:pt idx="2115">
                  <c:v>40602</c:v>
                </c:pt>
                <c:pt idx="2116">
                  <c:v>40603</c:v>
                </c:pt>
                <c:pt idx="2117">
                  <c:v>40604</c:v>
                </c:pt>
                <c:pt idx="2118">
                  <c:v>40605</c:v>
                </c:pt>
                <c:pt idx="2119">
                  <c:v>40606</c:v>
                </c:pt>
                <c:pt idx="2120">
                  <c:v>40609</c:v>
                </c:pt>
                <c:pt idx="2121">
                  <c:v>40610</c:v>
                </c:pt>
                <c:pt idx="2122">
                  <c:v>40611</c:v>
                </c:pt>
                <c:pt idx="2123">
                  <c:v>40612</c:v>
                </c:pt>
                <c:pt idx="2124">
                  <c:v>40613</c:v>
                </c:pt>
                <c:pt idx="2125">
                  <c:v>40616</c:v>
                </c:pt>
                <c:pt idx="2126">
                  <c:v>40617</c:v>
                </c:pt>
                <c:pt idx="2127">
                  <c:v>40618</c:v>
                </c:pt>
                <c:pt idx="2128">
                  <c:v>40619</c:v>
                </c:pt>
                <c:pt idx="2129">
                  <c:v>40620</c:v>
                </c:pt>
                <c:pt idx="2130">
                  <c:v>40623</c:v>
                </c:pt>
                <c:pt idx="2131">
                  <c:v>40624</c:v>
                </c:pt>
                <c:pt idx="2132">
                  <c:v>40625</c:v>
                </c:pt>
                <c:pt idx="2133">
                  <c:v>40626</c:v>
                </c:pt>
                <c:pt idx="2134">
                  <c:v>40627</c:v>
                </c:pt>
                <c:pt idx="2135">
                  <c:v>40630</c:v>
                </c:pt>
                <c:pt idx="2136">
                  <c:v>40631</c:v>
                </c:pt>
                <c:pt idx="2137">
                  <c:v>40632</c:v>
                </c:pt>
                <c:pt idx="2138">
                  <c:v>40633</c:v>
                </c:pt>
                <c:pt idx="2139">
                  <c:v>40634</c:v>
                </c:pt>
                <c:pt idx="2140">
                  <c:v>40637</c:v>
                </c:pt>
                <c:pt idx="2141">
                  <c:v>40638</c:v>
                </c:pt>
                <c:pt idx="2142">
                  <c:v>40639</c:v>
                </c:pt>
                <c:pt idx="2143">
                  <c:v>40640</c:v>
                </c:pt>
                <c:pt idx="2144">
                  <c:v>40641</c:v>
                </c:pt>
                <c:pt idx="2145">
                  <c:v>40644</c:v>
                </c:pt>
                <c:pt idx="2146">
                  <c:v>40645</c:v>
                </c:pt>
                <c:pt idx="2147">
                  <c:v>40646</c:v>
                </c:pt>
                <c:pt idx="2148">
                  <c:v>40647</c:v>
                </c:pt>
                <c:pt idx="2149">
                  <c:v>40648</c:v>
                </c:pt>
                <c:pt idx="2150">
                  <c:v>40651</c:v>
                </c:pt>
                <c:pt idx="2151">
                  <c:v>40652</c:v>
                </c:pt>
                <c:pt idx="2152">
                  <c:v>40653</c:v>
                </c:pt>
                <c:pt idx="2153">
                  <c:v>40654</c:v>
                </c:pt>
                <c:pt idx="2154">
                  <c:v>40655</c:v>
                </c:pt>
                <c:pt idx="2155">
                  <c:v>40658</c:v>
                </c:pt>
                <c:pt idx="2156">
                  <c:v>40659</c:v>
                </c:pt>
                <c:pt idx="2157">
                  <c:v>40661</c:v>
                </c:pt>
                <c:pt idx="2158">
                  <c:v>40662</c:v>
                </c:pt>
                <c:pt idx="2159">
                  <c:v>40665</c:v>
                </c:pt>
                <c:pt idx="2160">
                  <c:v>40666</c:v>
                </c:pt>
                <c:pt idx="2161">
                  <c:v>40667</c:v>
                </c:pt>
                <c:pt idx="2162">
                  <c:v>40668</c:v>
                </c:pt>
                <c:pt idx="2163">
                  <c:v>40669</c:v>
                </c:pt>
                <c:pt idx="2164">
                  <c:v>40672</c:v>
                </c:pt>
                <c:pt idx="2165">
                  <c:v>40673</c:v>
                </c:pt>
                <c:pt idx="2166">
                  <c:v>40674</c:v>
                </c:pt>
                <c:pt idx="2167">
                  <c:v>40675</c:v>
                </c:pt>
                <c:pt idx="2168">
                  <c:v>40676</c:v>
                </c:pt>
                <c:pt idx="2169">
                  <c:v>40679</c:v>
                </c:pt>
                <c:pt idx="2170">
                  <c:v>40680</c:v>
                </c:pt>
                <c:pt idx="2171">
                  <c:v>40681</c:v>
                </c:pt>
                <c:pt idx="2172">
                  <c:v>40682</c:v>
                </c:pt>
                <c:pt idx="2173">
                  <c:v>40683</c:v>
                </c:pt>
                <c:pt idx="2174">
                  <c:v>40686</c:v>
                </c:pt>
                <c:pt idx="2175">
                  <c:v>40687</c:v>
                </c:pt>
                <c:pt idx="2176">
                  <c:v>40688</c:v>
                </c:pt>
                <c:pt idx="2177">
                  <c:v>40689</c:v>
                </c:pt>
                <c:pt idx="2178">
                  <c:v>40690</c:v>
                </c:pt>
                <c:pt idx="2179">
                  <c:v>40694</c:v>
                </c:pt>
                <c:pt idx="2180">
                  <c:v>40695</c:v>
                </c:pt>
                <c:pt idx="2181">
                  <c:v>40696</c:v>
                </c:pt>
                <c:pt idx="2182">
                  <c:v>40697</c:v>
                </c:pt>
                <c:pt idx="2183">
                  <c:v>40700</c:v>
                </c:pt>
                <c:pt idx="2184">
                  <c:v>40701</c:v>
                </c:pt>
                <c:pt idx="2185">
                  <c:v>40702</c:v>
                </c:pt>
                <c:pt idx="2186">
                  <c:v>40703</c:v>
                </c:pt>
                <c:pt idx="2187">
                  <c:v>40704</c:v>
                </c:pt>
                <c:pt idx="2188">
                  <c:v>40707</c:v>
                </c:pt>
                <c:pt idx="2189">
                  <c:v>40708</c:v>
                </c:pt>
                <c:pt idx="2190">
                  <c:v>40709</c:v>
                </c:pt>
                <c:pt idx="2191">
                  <c:v>40710</c:v>
                </c:pt>
                <c:pt idx="2192">
                  <c:v>40711</c:v>
                </c:pt>
                <c:pt idx="2193">
                  <c:v>40714</c:v>
                </c:pt>
                <c:pt idx="2194">
                  <c:v>40715</c:v>
                </c:pt>
                <c:pt idx="2195">
                  <c:v>40716</c:v>
                </c:pt>
                <c:pt idx="2196">
                  <c:v>40717</c:v>
                </c:pt>
                <c:pt idx="2197">
                  <c:v>40718</c:v>
                </c:pt>
                <c:pt idx="2198">
                  <c:v>40721</c:v>
                </c:pt>
                <c:pt idx="2199">
                  <c:v>40722</c:v>
                </c:pt>
                <c:pt idx="2200">
                  <c:v>40723</c:v>
                </c:pt>
                <c:pt idx="2201">
                  <c:v>40724</c:v>
                </c:pt>
                <c:pt idx="2202">
                  <c:v>40725</c:v>
                </c:pt>
                <c:pt idx="2203">
                  <c:v>40729</c:v>
                </c:pt>
                <c:pt idx="2204">
                  <c:v>40730</c:v>
                </c:pt>
                <c:pt idx="2205">
                  <c:v>40731</c:v>
                </c:pt>
                <c:pt idx="2206">
                  <c:v>40732</c:v>
                </c:pt>
                <c:pt idx="2207">
                  <c:v>40735</c:v>
                </c:pt>
                <c:pt idx="2208">
                  <c:v>40736</c:v>
                </c:pt>
                <c:pt idx="2209">
                  <c:v>40737</c:v>
                </c:pt>
                <c:pt idx="2210">
                  <c:v>40738</c:v>
                </c:pt>
                <c:pt idx="2211">
                  <c:v>40739</c:v>
                </c:pt>
                <c:pt idx="2212">
                  <c:v>40742</c:v>
                </c:pt>
                <c:pt idx="2213">
                  <c:v>40743</c:v>
                </c:pt>
                <c:pt idx="2214">
                  <c:v>40744</c:v>
                </c:pt>
              </c:numCache>
            </c:numRef>
          </c:cat>
          <c:val>
            <c:numRef>
              <c:f>'SO2 Prices from 2005'!$H$7:$H$2221</c:f>
              <c:numCache>
                <c:formatCode>"$"#,##0.00_);\("$"#,##0.00\)</c:formatCode>
                <c:ptCount val="2215"/>
                <c:pt idx="0">
                  <c:v>606.29999999999995</c:v>
                </c:pt>
                <c:pt idx="1">
                  <c:v>606.29999999999995</c:v>
                </c:pt>
                <c:pt idx="2">
                  <c:v>606.29999999999995</c:v>
                </c:pt>
                <c:pt idx="3">
                  <c:v>614.9</c:v>
                </c:pt>
                <c:pt idx="4">
                  <c:v>614.9</c:v>
                </c:pt>
                <c:pt idx="5">
                  <c:v>597.70000000000005</c:v>
                </c:pt>
                <c:pt idx="6">
                  <c:v>609.65</c:v>
                </c:pt>
                <c:pt idx="7">
                  <c:v>609.65</c:v>
                </c:pt>
                <c:pt idx="8">
                  <c:v>609.65</c:v>
                </c:pt>
                <c:pt idx="9">
                  <c:v>609.65</c:v>
                </c:pt>
                <c:pt idx="10">
                  <c:v>624.78000000000054</c:v>
                </c:pt>
                <c:pt idx="11">
                  <c:v>624.78000000000054</c:v>
                </c:pt>
                <c:pt idx="12">
                  <c:v>618.54999999999939</c:v>
                </c:pt>
                <c:pt idx="13">
                  <c:v>635.91999999999996</c:v>
                </c:pt>
                <c:pt idx="14">
                  <c:v>635.91999999999996</c:v>
                </c:pt>
                <c:pt idx="15">
                  <c:v>635.91999999999996</c:v>
                </c:pt>
                <c:pt idx="16">
                  <c:v>635.91999999999996</c:v>
                </c:pt>
                <c:pt idx="17">
                  <c:v>640.5</c:v>
                </c:pt>
                <c:pt idx="18">
                  <c:v>648.6</c:v>
                </c:pt>
                <c:pt idx="19">
                  <c:v>653.20000000000005</c:v>
                </c:pt>
                <c:pt idx="20">
                  <c:v>648.6</c:v>
                </c:pt>
                <c:pt idx="21">
                  <c:v>648.6</c:v>
                </c:pt>
                <c:pt idx="22">
                  <c:v>648.6</c:v>
                </c:pt>
                <c:pt idx="23">
                  <c:v>648.6</c:v>
                </c:pt>
                <c:pt idx="24">
                  <c:v>644</c:v>
                </c:pt>
                <c:pt idx="25">
                  <c:v>630.20000000000005</c:v>
                </c:pt>
                <c:pt idx="26">
                  <c:v>630.20000000000005</c:v>
                </c:pt>
                <c:pt idx="27">
                  <c:v>639.4</c:v>
                </c:pt>
                <c:pt idx="28">
                  <c:v>639.4</c:v>
                </c:pt>
                <c:pt idx="29">
                  <c:v>639.4</c:v>
                </c:pt>
                <c:pt idx="30">
                  <c:v>639.4</c:v>
                </c:pt>
                <c:pt idx="31">
                  <c:v>639.4</c:v>
                </c:pt>
                <c:pt idx="32">
                  <c:v>625.6</c:v>
                </c:pt>
                <c:pt idx="33">
                  <c:v>607.20000000000005</c:v>
                </c:pt>
                <c:pt idx="34">
                  <c:v>607.20000000000005</c:v>
                </c:pt>
                <c:pt idx="35">
                  <c:v>607.20000000000005</c:v>
                </c:pt>
                <c:pt idx="36">
                  <c:v>607.20000000000005</c:v>
                </c:pt>
                <c:pt idx="37">
                  <c:v>611.79999999999995</c:v>
                </c:pt>
                <c:pt idx="38">
                  <c:v>602.6</c:v>
                </c:pt>
                <c:pt idx="39">
                  <c:v>588.79999999999995</c:v>
                </c:pt>
                <c:pt idx="40">
                  <c:v>588.79999999999995</c:v>
                </c:pt>
                <c:pt idx="41">
                  <c:v>588.79999999999995</c:v>
                </c:pt>
                <c:pt idx="42">
                  <c:v>588.79999999999995</c:v>
                </c:pt>
                <c:pt idx="43">
                  <c:v>588.79999999999995</c:v>
                </c:pt>
                <c:pt idx="44">
                  <c:v>579.6</c:v>
                </c:pt>
                <c:pt idx="45">
                  <c:v>588.79999999999995</c:v>
                </c:pt>
                <c:pt idx="46">
                  <c:v>607.20000000000005</c:v>
                </c:pt>
                <c:pt idx="47">
                  <c:v>588.79999999999995</c:v>
                </c:pt>
                <c:pt idx="48">
                  <c:v>588.79999999999995</c:v>
                </c:pt>
                <c:pt idx="49">
                  <c:v>588.79999999999995</c:v>
                </c:pt>
                <c:pt idx="50">
                  <c:v>588.79999999999995</c:v>
                </c:pt>
                <c:pt idx="51">
                  <c:v>588.79999999999995</c:v>
                </c:pt>
                <c:pt idx="52">
                  <c:v>593.4</c:v>
                </c:pt>
                <c:pt idx="53">
                  <c:v>602.6</c:v>
                </c:pt>
                <c:pt idx="54">
                  <c:v>602.6</c:v>
                </c:pt>
                <c:pt idx="55">
                  <c:v>602.6</c:v>
                </c:pt>
                <c:pt idx="56">
                  <c:v>602.6</c:v>
                </c:pt>
                <c:pt idx="57">
                  <c:v>602.6</c:v>
                </c:pt>
                <c:pt idx="58">
                  <c:v>607.20000000000005</c:v>
                </c:pt>
                <c:pt idx="59">
                  <c:v>616.4</c:v>
                </c:pt>
                <c:pt idx="60">
                  <c:v>611.79999999999995</c:v>
                </c:pt>
                <c:pt idx="61">
                  <c:v>611.57000000000005</c:v>
                </c:pt>
                <c:pt idx="62">
                  <c:v>611.79999999999995</c:v>
                </c:pt>
                <c:pt idx="63">
                  <c:v>611.79999999999995</c:v>
                </c:pt>
                <c:pt idx="64">
                  <c:v>611.79999999999995</c:v>
                </c:pt>
                <c:pt idx="65">
                  <c:v>616.4</c:v>
                </c:pt>
                <c:pt idx="66">
                  <c:v>616.4</c:v>
                </c:pt>
                <c:pt idx="67">
                  <c:v>621</c:v>
                </c:pt>
                <c:pt idx="68">
                  <c:v>621</c:v>
                </c:pt>
                <c:pt idx="69">
                  <c:v>621</c:v>
                </c:pt>
                <c:pt idx="70">
                  <c:v>621</c:v>
                </c:pt>
                <c:pt idx="71">
                  <c:v>621</c:v>
                </c:pt>
                <c:pt idx="72">
                  <c:v>621</c:v>
                </c:pt>
                <c:pt idx="73">
                  <c:v>626.77000000000055</c:v>
                </c:pt>
                <c:pt idx="74">
                  <c:v>631.34999999999798</c:v>
                </c:pt>
                <c:pt idx="75">
                  <c:v>631.34999999999798</c:v>
                </c:pt>
                <c:pt idx="76">
                  <c:v>631.34999999999798</c:v>
                </c:pt>
                <c:pt idx="77">
                  <c:v>631.34999999999798</c:v>
                </c:pt>
                <c:pt idx="78">
                  <c:v>631.34999999999798</c:v>
                </c:pt>
                <c:pt idx="79">
                  <c:v>631.34999999999798</c:v>
                </c:pt>
                <c:pt idx="80">
                  <c:v>635.91999999999996</c:v>
                </c:pt>
                <c:pt idx="81">
                  <c:v>645.08000000000004</c:v>
                </c:pt>
                <c:pt idx="82">
                  <c:v>640.5</c:v>
                </c:pt>
                <c:pt idx="83">
                  <c:v>640.5</c:v>
                </c:pt>
                <c:pt idx="84">
                  <c:v>640.5</c:v>
                </c:pt>
                <c:pt idx="85">
                  <c:v>640.5</c:v>
                </c:pt>
                <c:pt idx="86">
                  <c:v>645.08000000000004</c:v>
                </c:pt>
                <c:pt idx="87">
                  <c:v>663.38</c:v>
                </c:pt>
                <c:pt idx="88">
                  <c:v>663.38</c:v>
                </c:pt>
                <c:pt idx="89">
                  <c:v>663.38</c:v>
                </c:pt>
                <c:pt idx="90">
                  <c:v>663.38</c:v>
                </c:pt>
                <c:pt idx="91">
                  <c:v>663.38</c:v>
                </c:pt>
                <c:pt idx="92">
                  <c:v>663.38</c:v>
                </c:pt>
                <c:pt idx="93">
                  <c:v>672.52</c:v>
                </c:pt>
                <c:pt idx="94">
                  <c:v>713.7</c:v>
                </c:pt>
                <c:pt idx="95">
                  <c:v>745.73</c:v>
                </c:pt>
                <c:pt idx="96">
                  <c:v>768.6</c:v>
                </c:pt>
                <c:pt idx="97">
                  <c:v>796.05</c:v>
                </c:pt>
                <c:pt idx="98">
                  <c:v>796.05</c:v>
                </c:pt>
                <c:pt idx="99">
                  <c:v>796.05</c:v>
                </c:pt>
                <c:pt idx="100">
                  <c:v>796.05</c:v>
                </c:pt>
                <c:pt idx="101">
                  <c:v>800.63</c:v>
                </c:pt>
                <c:pt idx="102">
                  <c:v>805.2</c:v>
                </c:pt>
                <c:pt idx="103">
                  <c:v>805.2</c:v>
                </c:pt>
                <c:pt idx="104">
                  <c:v>800.63</c:v>
                </c:pt>
                <c:pt idx="105">
                  <c:v>800.63</c:v>
                </c:pt>
                <c:pt idx="106">
                  <c:v>800.63</c:v>
                </c:pt>
                <c:pt idx="107">
                  <c:v>796.05</c:v>
                </c:pt>
                <c:pt idx="108">
                  <c:v>796.05</c:v>
                </c:pt>
                <c:pt idx="109">
                  <c:v>796.05</c:v>
                </c:pt>
                <c:pt idx="110">
                  <c:v>768.6</c:v>
                </c:pt>
                <c:pt idx="111">
                  <c:v>768.6</c:v>
                </c:pt>
                <c:pt idx="112">
                  <c:v>768.6</c:v>
                </c:pt>
                <c:pt idx="113">
                  <c:v>768.6</c:v>
                </c:pt>
                <c:pt idx="114">
                  <c:v>773.17000000000053</c:v>
                </c:pt>
                <c:pt idx="115">
                  <c:v>773.17000000000053</c:v>
                </c:pt>
                <c:pt idx="116">
                  <c:v>773.17000000000053</c:v>
                </c:pt>
                <c:pt idx="117">
                  <c:v>773.17000000000053</c:v>
                </c:pt>
                <c:pt idx="118">
                  <c:v>773.17000000000053</c:v>
                </c:pt>
                <c:pt idx="119">
                  <c:v>773.17000000000053</c:v>
                </c:pt>
                <c:pt idx="120">
                  <c:v>773.17000000000053</c:v>
                </c:pt>
                <c:pt idx="121">
                  <c:v>773.17000000000053</c:v>
                </c:pt>
                <c:pt idx="122">
                  <c:v>773.17000000000053</c:v>
                </c:pt>
                <c:pt idx="123">
                  <c:v>768.6</c:v>
                </c:pt>
                <c:pt idx="124">
                  <c:v>764.02</c:v>
                </c:pt>
                <c:pt idx="125">
                  <c:v>768.6</c:v>
                </c:pt>
                <c:pt idx="126">
                  <c:v>768.6</c:v>
                </c:pt>
                <c:pt idx="127">
                  <c:v>768.6</c:v>
                </c:pt>
                <c:pt idx="128">
                  <c:v>768.6</c:v>
                </c:pt>
                <c:pt idx="129">
                  <c:v>768.6</c:v>
                </c:pt>
                <c:pt idx="130">
                  <c:v>734.25</c:v>
                </c:pt>
                <c:pt idx="131">
                  <c:v>698.65</c:v>
                </c:pt>
                <c:pt idx="132">
                  <c:v>698.65</c:v>
                </c:pt>
                <c:pt idx="133">
                  <c:v>698.65</c:v>
                </c:pt>
                <c:pt idx="134">
                  <c:v>698.65</c:v>
                </c:pt>
                <c:pt idx="135">
                  <c:v>703.1</c:v>
                </c:pt>
                <c:pt idx="136">
                  <c:v>703.1</c:v>
                </c:pt>
                <c:pt idx="137">
                  <c:v>703.1</c:v>
                </c:pt>
                <c:pt idx="138">
                  <c:v>703.1</c:v>
                </c:pt>
                <c:pt idx="139">
                  <c:v>703.1</c:v>
                </c:pt>
                <c:pt idx="140">
                  <c:v>703.1</c:v>
                </c:pt>
                <c:pt idx="141">
                  <c:v>703.1</c:v>
                </c:pt>
                <c:pt idx="142">
                  <c:v>703.1</c:v>
                </c:pt>
                <c:pt idx="143">
                  <c:v>702.71</c:v>
                </c:pt>
                <c:pt idx="144">
                  <c:v>693.81</c:v>
                </c:pt>
                <c:pt idx="145">
                  <c:v>693.81</c:v>
                </c:pt>
                <c:pt idx="146">
                  <c:v>680.47</c:v>
                </c:pt>
                <c:pt idx="147">
                  <c:v>680.47</c:v>
                </c:pt>
                <c:pt idx="148">
                  <c:v>680.47</c:v>
                </c:pt>
                <c:pt idx="149">
                  <c:v>680.47</c:v>
                </c:pt>
                <c:pt idx="150">
                  <c:v>676.02</c:v>
                </c:pt>
                <c:pt idx="151">
                  <c:v>693.81</c:v>
                </c:pt>
                <c:pt idx="152">
                  <c:v>693.81</c:v>
                </c:pt>
                <c:pt idx="153">
                  <c:v>693.81</c:v>
                </c:pt>
                <c:pt idx="154">
                  <c:v>693.81</c:v>
                </c:pt>
                <c:pt idx="155">
                  <c:v>693.81</c:v>
                </c:pt>
                <c:pt idx="156">
                  <c:v>678.93999999999949</c:v>
                </c:pt>
                <c:pt idx="157">
                  <c:v>681.44999999999948</c:v>
                </c:pt>
                <c:pt idx="158">
                  <c:v>672.6</c:v>
                </c:pt>
                <c:pt idx="159">
                  <c:v>677.02</c:v>
                </c:pt>
                <c:pt idx="160">
                  <c:v>672.6</c:v>
                </c:pt>
                <c:pt idx="161">
                  <c:v>672.6</c:v>
                </c:pt>
                <c:pt idx="162">
                  <c:v>672.6</c:v>
                </c:pt>
                <c:pt idx="163">
                  <c:v>646.04999999999939</c:v>
                </c:pt>
                <c:pt idx="164">
                  <c:v>659.32999999999947</c:v>
                </c:pt>
                <c:pt idx="165">
                  <c:v>672.6</c:v>
                </c:pt>
                <c:pt idx="166">
                  <c:v>663.75</c:v>
                </c:pt>
                <c:pt idx="167">
                  <c:v>672.6</c:v>
                </c:pt>
                <c:pt idx="168">
                  <c:v>672.6</c:v>
                </c:pt>
                <c:pt idx="169">
                  <c:v>672.6</c:v>
                </c:pt>
                <c:pt idx="170">
                  <c:v>668.17000000000053</c:v>
                </c:pt>
                <c:pt idx="171">
                  <c:v>668.17000000000053</c:v>
                </c:pt>
                <c:pt idx="172">
                  <c:v>668.17000000000053</c:v>
                </c:pt>
                <c:pt idx="173">
                  <c:v>668.17000000000053</c:v>
                </c:pt>
                <c:pt idx="174">
                  <c:v>659.32999999999947</c:v>
                </c:pt>
                <c:pt idx="175">
                  <c:v>659.32999999999947</c:v>
                </c:pt>
                <c:pt idx="176">
                  <c:v>659.32999999999947</c:v>
                </c:pt>
                <c:pt idx="177">
                  <c:v>668.17000000000053</c:v>
                </c:pt>
                <c:pt idx="178">
                  <c:v>659.32999999999947</c:v>
                </c:pt>
                <c:pt idx="179">
                  <c:v>659.32999999999947</c:v>
                </c:pt>
                <c:pt idx="180">
                  <c:v>670.97</c:v>
                </c:pt>
                <c:pt idx="181">
                  <c:v>670.97</c:v>
                </c:pt>
                <c:pt idx="182">
                  <c:v>670.97</c:v>
                </c:pt>
                <c:pt idx="183">
                  <c:v>670.97</c:v>
                </c:pt>
                <c:pt idx="184">
                  <c:v>670.97</c:v>
                </c:pt>
                <c:pt idx="185">
                  <c:v>670.97</c:v>
                </c:pt>
                <c:pt idx="186">
                  <c:v>684.3</c:v>
                </c:pt>
                <c:pt idx="187">
                  <c:v>679.85999999999797</c:v>
                </c:pt>
                <c:pt idx="188">
                  <c:v>679.85999999999797</c:v>
                </c:pt>
                <c:pt idx="189">
                  <c:v>679.85999999999797</c:v>
                </c:pt>
                <c:pt idx="190">
                  <c:v>679.85999999999797</c:v>
                </c:pt>
                <c:pt idx="191">
                  <c:v>684.3</c:v>
                </c:pt>
                <c:pt idx="192">
                  <c:v>710.95999999999947</c:v>
                </c:pt>
                <c:pt idx="193">
                  <c:v>710.95999999999947</c:v>
                </c:pt>
                <c:pt idx="194">
                  <c:v>715.4</c:v>
                </c:pt>
                <c:pt idx="195">
                  <c:v>719.84999999999798</c:v>
                </c:pt>
                <c:pt idx="196">
                  <c:v>719.84999999999798</c:v>
                </c:pt>
                <c:pt idx="197">
                  <c:v>719.84999999999798</c:v>
                </c:pt>
                <c:pt idx="198">
                  <c:v>733.18000000000052</c:v>
                </c:pt>
                <c:pt idx="199">
                  <c:v>759.83999999999946</c:v>
                </c:pt>
                <c:pt idx="200">
                  <c:v>755.39</c:v>
                </c:pt>
                <c:pt idx="201">
                  <c:v>755.39</c:v>
                </c:pt>
                <c:pt idx="202">
                  <c:v>755.39</c:v>
                </c:pt>
                <c:pt idx="203">
                  <c:v>755.39</c:v>
                </c:pt>
                <c:pt idx="204">
                  <c:v>755.39</c:v>
                </c:pt>
                <c:pt idx="205">
                  <c:v>759.83999999999946</c:v>
                </c:pt>
                <c:pt idx="206">
                  <c:v>746.51</c:v>
                </c:pt>
                <c:pt idx="207">
                  <c:v>737.62</c:v>
                </c:pt>
                <c:pt idx="208">
                  <c:v>746.51</c:v>
                </c:pt>
                <c:pt idx="209">
                  <c:v>746.51</c:v>
                </c:pt>
                <c:pt idx="210">
                  <c:v>746.51</c:v>
                </c:pt>
                <c:pt idx="211">
                  <c:v>746.51</c:v>
                </c:pt>
                <c:pt idx="212">
                  <c:v>759.83999999999946</c:v>
                </c:pt>
                <c:pt idx="213">
                  <c:v>764.28000000000054</c:v>
                </c:pt>
                <c:pt idx="214">
                  <c:v>759.83999999999946</c:v>
                </c:pt>
                <c:pt idx="215">
                  <c:v>764.28000000000054</c:v>
                </c:pt>
                <c:pt idx="216">
                  <c:v>764.28000000000054</c:v>
                </c:pt>
                <c:pt idx="217">
                  <c:v>764.28000000000054</c:v>
                </c:pt>
                <c:pt idx="218">
                  <c:v>764.28000000000054</c:v>
                </c:pt>
                <c:pt idx="219">
                  <c:v>764.28000000000054</c:v>
                </c:pt>
                <c:pt idx="220">
                  <c:v>757.62</c:v>
                </c:pt>
                <c:pt idx="221">
                  <c:v>759.83999999999946</c:v>
                </c:pt>
                <c:pt idx="222">
                  <c:v>770.94999999999948</c:v>
                </c:pt>
                <c:pt idx="223">
                  <c:v>764.28000000000054</c:v>
                </c:pt>
                <c:pt idx="224">
                  <c:v>764.28000000000054</c:v>
                </c:pt>
                <c:pt idx="225">
                  <c:v>764.28000000000054</c:v>
                </c:pt>
                <c:pt idx="226">
                  <c:v>764.28000000000054</c:v>
                </c:pt>
                <c:pt idx="227">
                  <c:v>764.28000000000054</c:v>
                </c:pt>
                <c:pt idx="228">
                  <c:v>759.83999999999946</c:v>
                </c:pt>
                <c:pt idx="229">
                  <c:v>757.62</c:v>
                </c:pt>
                <c:pt idx="230">
                  <c:v>758.94999999999948</c:v>
                </c:pt>
                <c:pt idx="231">
                  <c:v>758.94999999999948</c:v>
                </c:pt>
                <c:pt idx="232">
                  <c:v>758.94999999999948</c:v>
                </c:pt>
                <c:pt idx="233">
                  <c:v>758.94999999999948</c:v>
                </c:pt>
                <c:pt idx="234">
                  <c:v>755.39</c:v>
                </c:pt>
                <c:pt idx="235">
                  <c:v>755.39</c:v>
                </c:pt>
                <c:pt idx="236">
                  <c:v>755.39</c:v>
                </c:pt>
                <c:pt idx="237">
                  <c:v>745.88</c:v>
                </c:pt>
                <c:pt idx="238">
                  <c:v>745.88</c:v>
                </c:pt>
                <c:pt idx="239">
                  <c:v>745.88</c:v>
                </c:pt>
                <c:pt idx="240">
                  <c:v>745.88</c:v>
                </c:pt>
                <c:pt idx="241">
                  <c:v>759.04</c:v>
                </c:pt>
                <c:pt idx="242">
                  <c:v>772.2</c:v>
                </c:pt>
                <c:pt idx="243">
                  <c:v>776.59</c:v>
                </c:pt>
                <c:pt idx="244">
                  <c:v>776.59</c:v>
                </c:pt>
                <c:pt idx="245">
                  <c:v>776.59</c:v>
                </c:pt>
                <c:pt idx="246">
                  <c:v>776.59</c:v>
                </c:pt>
                <c:pt idx="247">
                  <c:v>776.59</c:v>
                </c:pt>
                <c:pt idx="248">
                  <c:v>776.59</c:v>
                </c:pt>
                <c:pt idx="249">
                  <c:v>776.59</c:v>
                </c:pt>
                <c:pt idx="250">
                  <c:v>776.59</c:v>
                </c:pt>
                <c:pt idx="251">
                  <c:v>774.39</c:v>
                </c:pt>
                <c:pt idx="252">
                  <c:v>774.39</c:v>
                </c:pt>
                <c:pt idx="253">
                  <c:v>774.39</c:v>
                </c:pt>
                <c:pt idx="254">
                  <c:v>767.81</c:v>
                </c:pt>
                <c:pt idx="255">
                  <c:v>763.42</c:v>
                </c:pt>
                <c:pt idx="256">
                  <c:v>759.04</c:v>
                </c:pt>
                <c:pt idx="257">
                  <c:v>759.04</c:v>
                </c:pt>
                <c:pt idx="258">
                  <c:v>759.04</c:v>
                </c:pt>
                <c:pt idx="259">
                  <c:v>759.04</c:v>
                </c:pt>
                <c:pt idx="260">
                  <c:v>759.04</c:v>
                </c:pt>
                <c:pt idx="261">
                  <c:v>785.35999999999797</c:v>
                </c:pt>
                <c:pt idx="262">
                  <c:v>794.14</c:v>
                </c:pt>
                <c:pt idx="263">
                  <c:v>789.75</c:v>
                </c:pt>
                <c:pt idx="264">
                  <c:v>785.35999999999797</c:v>
                </c:pt>
                <c:pt idx="265">
                  <c:v>785.35999999999797</c:v>
                </c:pt>
                <c:pt idx="266">
                  <c:v>785.35999999999797</c:v>
                </c:pt>
                <c:pt idx="267">
                  <c:v>785.35999999999797</c:v>
                </c:pt>
                <c:pt idx="268">
                  <c:v>772.19</c:v>
                </c:pt>
                <c:pt idx="269">
                  <c:v>772.19</c:v>
                </c:pt>
                <c:pt idx="270">
                  <c:v>781.01</c:v>
                </c:pt>
                <c:pt idx="271">
                  <c:v>789.83999999999946</c:v>
                </c:pt>
                <c:pt idx="272">
                  <c:v>794.25</c:v>
                </c:pt>
                <c:pt idx="273">
                  <c:v>794.25</c:v>
                </c:pt>
                <c:pt idx="274">
                  <c:v>794.25</c:v>
                </c:pt>
                <c:pt idx="275">
                  <c:v>798.66</c:v>
                </c:pt>
                <c:pt idx="276">
                  <c:v>803.08</c:v>
                </c:pt>
                <c:pt idx="277">
                  <c:v>811.9</c:v>
                </c:pt>
                <c:pt idx="278">
                  <c:v>803.08</c:v>
                </c:pt>
                <c:pt idx="279">
                  <c:v>803.08</c:v>
                </c:pt>
                <c:pt idx="280">
                  <c:v>803.08</c:v>
                </c:pt>
                <c:pt idx="281">
                  <c:v>803.08</c:v>
                </c:pt>
                <c:pt idx="282">
                  <c:v>807.49</c:v>
                </c:pt>
                <c:pt idx="283">
                  <c:v>807.49</c:v>
                </c:pt>
                <c:pt idx="284">
                  <c:v>807.49</c:v>
                </c:pt>
                <c:pt idx="285">
                  <c:v>827.33999999999946</c:v>
                </c:pt>
                <c:pt idx="286">
                  <c:v>840.58</c:v>
                </c:pt>
                <c:pt idx="287">
                  <c:v>840.58</c:v>
                </c:pt>
                <c:pt idx="288">
                  <c:v>840.58</c:v>
                </c:pt>
                <c:pt idx="289">
                  <c:v>842.79000000000053</c:v>
                </c:pt>
                <c:pt idx="290">
                  <c:v>847.2</c:v>
                </c:pt>
                <c:pt idx="291">
                  <c:v>847.2</c:v>
                </c:pt>
                <c:pt idx="292">
                  <c:v>870.39</c:v>
                </c:pt>
                <c:pt idx="293">
                  <c:v>872.63</c:v>
                </c:pt>
                <c:pt idx="294">
                  <c:v>872.63</c:v>
                </c:pt>
                <c:pt idx="295">
                  <c:v>872.63</c:v>
                </c:pt>
                <c:pt idx="296">
                  <c:v>872.63</c:v>
                </c:pt>
                <c:pt idx="297">
                  <c:v>911.25</c:v>
                </c:pt>
                <c:pt idx="298">
                  <c:v>945</c:v>
                </c:pt>
                <c:pt idx="299">
                  <c:v>945</c:v>
                </c:pt>
                <c:pt idx="300">
                  <c:v>976.5</c:v>
                </c:pt>
                <c:pt idx="301">
                  <c:v>976.5</c:v>
                </c:pt>
                <c:pt idx="302">
                  <c:v>976.5</c:v>
                </c:pt>
                <c:pt idx="303">
                  <c:v>1003.5</c:v>
                </c:pt>
                <c:pt idx="304">
                  <c:v>1053</c:v>
                </c:pt>
                <c:pt idx="305">
                  <c:v>1125</c:v>
                </c:pt>
                <c:pt idx="306">
                  <c:v>1170</c:v>
                </c:pt>
                <c:pt idx="307">
                  <c:v>1170</c:v>
                </c:pt>
                <c:pt idx="308">
                  <c:v>1170</c:v>
                </c:pt>
                <c:pt idx="309">
                  <c:v>1170</c:v>
                </c:pt>
                <c:pt idx="310">
                  <c:v>1170</c:v>
                </c:pt>
                <c:pt idx="311">
                  <c:v>1170</c:v>
                </c:pt>
                <c:pt idx="312">
                  <c:v>1179</c:v>
                </c:pt>
                <c:pt idx="313">
                  <c:v>1170</c:v>
                </c:pt>
                <c:pt idx="314">
                  <c:v>1144</c:v>
                </c:pt>
                <c:pt idx="315">
                  <c:v>1144</c:v>
                </c:pt>
                <c:pt idx="316">
                  <c:v>1144</c:v>
                </c:pt>
                <c:pt idx="317">
                  <c:v>1139.5999999999999</c:v>
                </c:pt>
                <c:pt idx="318">
                  <c:v>1139.5999999999999</c:v>
                </c:pt>
                <c:pt idx="319">
                  <c:v>1139.5999999999999</c:v>
                </c:pt>
                <c:pt idx="320">
                  <c:v>1148.4000000000001</c:v>
                </c:pt>
                <c:pt idx="321">
                  <c:v>1148.4000000000001</c:v>
                </c:pt>
                <c:pt idx="322">
                  <c:v>1148.4000000000001</c:v>
                </c:pt>
                <c:pt idx="323">
                  <c:v>1148.4000000000001</c:v>
                </c:pt>
                <c:pt idx="324">
                  <c:v>1157.2</c:v>
                </c:pt>
                <c:pt idx="325">
                  <c:v>1188</c:v>
                </c:pt>
                <c:pt idx="326">
                  <c:v>1205.5999999999999</c:v>
                </c:pt>
                <c:pt idx="327">
                  <c:v>1205.5999999999999</c:v>
                </c:pt>
                <c:pt idx="328">
                  <c:v>1205.5999999999999</c:v>
                </c:pt>
                <c:pt idx="329">
                  <c:v>1205.5999999999999</c:v>
                </c:pt>
                <c:pt idx="330">
                  <c:v>1205.5999999999999</c:v>
                </c:pt>
                <c:pt idx="331">
                  <c:v>1205.5999999999999</c:v>
                </c:pt>
                <c:pt idx="332">
                  <c:v>1232</c:v>
                </c:pt>
                <c:pt idx="333">
                  <c:v>1298</c:v>
                </c:pt>
                <c:pt idx="334">
                  <c:v>1342</c:v>
                </c:pt>
                <c:pt idx="335">
                  <c:v>1350.8</c:v>
                </c:pt>
                <c:pt idx="336">
                  <c:v>1350.8</c:v>
                </c:pt>
                <c:pt idx="337">
                  <c:v>1350.8</c:v>
                </c:pt>
                <c:pt idx="338">
                  <c:v>1381.6</c:v>
                </c:pt>
                <c:pt idx="339">
                  <c:v>1408</c:v>
                </c:pt>
                <c:pt idx="340">
                  <c:v>1408</c:v>
                </c:pt>
                <c:pt idx="341">
                  <c:v>1416.8</c:v>
                </c:pt>
                <c:pt idx="342">
                  <c:v>1434.4</c:v>
                </c:pt>
                <c:pt idx="343">
                  <c:v>1434.4</c:v>
                </c:pt>
                <c:pt idx="344">
                  <c:v>1434.4</c:v>
                </c:pt>
                <c:pt idx="345">
                  <c:v>1430</c:v>
                </c:pt>
                <c:pt idx="346">
                  <c:v>1421.2</c:v>
                </c:pt>
                <c:pt idx="347">
                  <c:v>1421.2</c:v>
                </c:pt>
                <c:pt idx="348">
                  <c:v>1421.2</c:v>
                </c:pt>
                <c:pt idx="349">
                  <c:v>1390.4</c:v>
                </c:pt>
                <c:pt idx="350">
                  <c:v>1390.4</c:v>
                </c:pt>
                <c:pt idx="351">
                  <c:v>1390.4</c:v>
                </c:pt>
                <c:pt idx="352">
                  <c:v>1364</c:v>
                </c:pt>
                <c:pt idx="353">
                  <c:v>1364</c:v>
                </c:pt>
                <c:pt idx="354">
                  <c:v>1328.8</c:v>
                </c:pt>
                <c:pt idx="355">
                  <c:v>1386</c:v>
                </c:pt>
                <c:pt idx="356">
                  <c:v>1399.2</c:v>
                </c:pt>
                <c:pt idx="357">
                  <c:v>1399.2</c:v>
                </c:pt>
                <c:pt idx="358">
                  <c:v>1399.2</c:v>
                </c:pt>
                <c:pt idx="359">
                  <c:v>1399.2</c:v>
                </c:pt>
                <c:pt idx="360">
                  <c:v>1397</c:v>
                </c:pt>
                <c:pt idx="361">
                  <c:v>1397</c:v>
                </c:pt>
                <c:pt idx="362">
                  <c:v>1397</c:v>
                </c:pt>
                <c:pt idx="363">
                  <c:v>1397</c:v>
                </c:pt>
                <c:pt idx="364">
                  <c:v>1397</c:v>
                </c:pt>
                <c:pt idx="365">
                  <c:v>1397</c:v>
                </c:pt>
                <c:pt idx="366">
                  <c:v>1397</c:v>
                </c:pt>
                <c:pt idx="367">
                  <c:v>1394.8</c:v>
                </c:pt>
                <c:pt idx="368">
                  <c:v>1394.8</c:v>
                </c:pt>
                <c:pt idx="369">
                  <c:v>1364</c:v>
                </c:pt>
                <c:pt idx="370">
                  <c:v>1355.2</c:v>
                </c:pt>
                <c:pt idx="371">
                  <c:v>1355.2</c:v>
                </c:pt>
                <c:pt idx="372">
                  <c:v>1355.2</c:v>
                </c:pt>
                <c:pt idx="373">
                  <c:v>1364</c:v>
                </c:pt>
                <c:pt idx="374">
                  <c:v>1364</c:v>
                </c:pt>
                <c:pt idx="375">
                  <c:v>1340.75</c:v>
                </c:pt>
                <c:pt idx="376">
                  <c:v>1324.4</c:v>
                </c:pt>
                <c:pt idx="377">
                  <c:v>1324.4</c:v>
                </c:pt>
                <c:pt idx="378">
                  <c:v>1324.4</c:v>
                </c:pt>
                <c:pt idx="379">
                  <c:v>1324.4</c:v>
                </c:pt>
                <c:pt idx="380">
                  <c:v>1324.4</c:v>
                </c:pt>
                <c:pt idx="381">
                  <c:v>1298.5999999999999</c:v>
                </c:pt>
                <c:pt idx="382">
                  <c:v>1298.5999999999999</c:v>
                </c:pt>
                <c:pt idx="383">
                  <c:v>1311.5</c:v>
                </c:pt>
                <c:pt idx="384">
                  <c:v>1315.8</c:v>
                </c:pt>
                <c:pt idx="385">
                  <c:v>1315.8</c:v>
                </c:pt>
                <c:pt idx="386">
                  <c:v>1315.8</c:v>
                </c:pt>
                <c:pt idx="387">
                  <c:v>1311.5</c:v>
                </c:pt>
                <c:pt idx="388">
                  <c:v>1264.2</c:v>
                </c:pt>
                <c:pt idx="389">
                  <c:v>1222.2</c:v>
                </c:pt>
                <c:pt idx="390">
                  <c:v>1148</c:v>
                </c:pt>
                <c:pt idx="391">
                  <c:v>1107</c:v>
                </c:pt>
                <c:pt idx="392">
                  <c:v>1107</c:v>
                </c:pt>
                <c:pt idx="393">
                  <c:v>1107</c:v>
                </c:pt>
                <c:pt idx="394">
                  <c:v>1107</c:v>
                </c:pt>
                <c:pt idx="395">
                  <c:v>1120.5</c:v>
                </c:pt>
                <c:pt idx="396">
                  <c:v>1016.75</c:v>
                </c:pt>
                <c:pt idx="397">
                  <c:v>850.75</c:v>
                </c:pt>
                <c:pt idx="398">
                  <c:v>892.25</c:v>
                </c:pt>
                <c:pt idx="399">
                  <c:v>892.25</c:v>
                </c:pt>
                <c:pt idx="400">
                  <c:v>892.25</c:v>
                </c:pt>
                <c:pt idx="401">
                  <c:v>892.25</c:v>
                </c:pt>
                <c:pt idx="402">
                  <c:v>892.25</c:v>
                </c:pt>
                <c:pt idx="403">
                  <c:v>830</c:v>
                </c:pt>
                <c:pt idx="404">
                  <c:v>830</c:v>
                </c:pt>
                <c:pt idx="405">
                  <c:v>788.5</c:v>
                </c:pt>
                <c:pt idx="406">
                  <c:v>788.5</c:v>
                </c:pt>
                <c:pt idx="407">
                  <c:v>788.5</c:v>
                </c:pt>
                <c:pt idx="408">
                  <c:v>767.75</c:v>
                </c:pt>
                <c:pt idx="409">
                  <c:v>780.2</c:v>
                </c:pt>
                <c:pt idx="410">
                  <c:v>771.9</c:v>
                </c:pt>
                <c:pt idx="411">
                  <c:v>763.6</c:v>
                </c:pt>
                <c:pt idx="412">
                  <c:v>763.6</c:v>
                </c:pt>
                <c:pt idx="413">
                  <c:v>763.6</c:v>
                </c:pt>
                <c:pt idx="414">
                  <c:v>763.6</c:v>
                </c:pt>
                <c:pt idx="415">
                  <c:v>763.6</c:v>
                </c:pt>
                <c:pt idx="416">
                  <c:v>784.34999999999798</c:v>
                </c:pt>
                <c:pt idx="417">
                  <c:v>767.6</c:v>
                </c:pt>
                <c:pt idx="418">
                  <c:v>808</c:v>
                </c:pt>
                <c:pt idx="419">
                  <c:v>808</c:v>
                </c:pt>
                <c:pt idx="420">
                  <c:v>808</c:v>
                </c:pt>
                <c:pt idx="421">
                  <c:v>808</c:v>
                </c:pt>
                <c:pt idx="422">
                  <c:v>791.83999999999946</c:v>
                </c:pt>
                <c:pt idx="423">
                  <c:v>783.76</c:v>
                </c:pt>
                <c:pt idx="424">
                  <c:v>783.76</c:v>
                </c:pt>
                <c:pt idx="425">
                  <c:v>783.76</c:v>
                </c:pt>
                <c:pt idx="426">
                  <c:v>767.6</c:v>
                </c:pt>
                <c:pt idx="427">
                  <c:v>767.6</c:v>
                </c:pt>
                <c:pt idx="428">
                  <c:v>767.6</c:v>
                </c:pt>
                <c:pt idx="429">
                  <c:v>763.56</c:v>
                </c:pt>
                <c:pt idx="430">
                  <c:v>751.43999999999949</c:v>
                </c:pt>
                <c:pt idx="431">
                  <c:v>702.95999999999947</c:v>
                </c:pt>
                <c:pt idx="432">
                  <c:v>723.16</c:v>
                </c:pt>
                <c:pt idx="433">
                  <c:v>694.88</c:v>
                </c:pt>
                <c:pt idx="434">
                  <c:v>694.88</c:v>
                </c:pt>
                <c:pt idx="435">
                  <c:v>694.88</c:v>
                </c:pt>
                <c:pt idx="436">
                  <c:v>727.2</c:v>
                </c:pt>
                <c:pt idx="437">
                  <c:v>727.2</c:v>
                </c:pt>
                <c:pt idx="438">
                  <c:v>727.2</c:v>
                </c:pt>
                <c:pt idx="439">
                  <c:v>711.04</c:v>
                </c:pt>
                <c:pt idx="440">
                  <c:v>711.04</c:v>
                </c:pt>
                <c:pt idx="441">
                  <c:v>711.04</c:v>
                </c:pt>
                <c:pt idx="442">
                  <c:v>711.04</c:v>
                </c:pt>
                <c:pt idx="443">
                  <c:v>723.16</c:v>
                </c:pt>
                <c:pt idx="444">
                  <c:v>723.16</c:v>
                </c:pt>
                <c:pt idx="445">
                  <c:v>725.18000000000052</c:v>
                </c:pt>
                <c:pt idx="446">
                  <c:v>725.18000000000052</c:v>
                </c:pt>
                <c:pt idx="447">
                  <c:v>725.18000000000052</c:v>
                </c:pt>
                <c:pt idx="448">
                  <c:v>725.18000000000052</c:v>
                </c:pt>
                <c:pt idx="449">
                  <c:v>725.18000000000052</c:v>
                </c:pt>
                <c:pt idx="450">
                  <c:v>725.18000000000052</c:v>
                </c:pt>
                <c:pt idx="451">
                  <c:v>709.02</c:v>
                </c:pt>
                <c:pt idx="452">
                  <c:v>682.76</c:v>
                </c:pt>
                <c:pt idx="453">
                  <c:v>678.72</c:v>
                </c:pt>
                <c:pt idx="454">
                  <c:v>666.6</c:v>
                </c:pt>
                <c:pt idx="455">
                  <c:v>666.6</c:v>
                </c:pt>
                <c:pt idx="456">
                  <c:v>666.6</c:v>
                </c:pt>
                <c:pt idx="457">
                  <c:v>654.48</c:v>
                </c:pt>
                <c:pt idx="458">
                  <c:v>656.5</c:v>
                </c:pt>
                <c:pt idx="459">
                  <c:v>646.4</c:v>
                </c:pt>
                <c:pt idx="460">
                  <c:v>626.20000000000005</c:v>
                </c:pt>
                <c:pt idx="461">
                  <c:v>581.76</c:v>
                </c:pt>
                <c:pt idx="462">
                  <c:v>581.76</c:v>
                </c:pt>
                <c:pt idx="463">
                  <c:v>581.76</c:v>
                </c:pt>
                <c:pt idx="464">
                  <c:v>581.76</c:v>
                </c:pt>
                <c:pt idx="465">
                  <c:v>589.83999999999946</c:v>
                </c:pt>
                <c:pt idx="466">
                  <c:v>589.83999999999946</c:v>
                </c:pt>
                <c:pt idx="467">
                  <c:v>589.83999999999946</c:v>
                </c:pt>
                <c:pt idx="468">
                  <c:v>589.83999999999946</c:v>
                </c:pt>
                <c:pt idx="469">
                  <c:v>589.83999999999946</c:v>
                </c:pt>
                <c:pt idx="470">
                  <c:v>589.83999999999946</c:v>
                </c:pt>
                <c:pt idx="471">
                  <c:v>595.9</c:v>
                </c:pt>
                <c:pt idx="472">
                  <c:v>593.88</c:v>
                </c:pt>
                <c:pt idx="473">
                  <c:v>591.85999999999797</c:v>
                </c:pt>
                <c:pt idx="474">
                  <c:v>591.85999999999797</c:v>
                </c:pt>
                <c:pt idx="475">
                  <c:v>599.93999999999949</c:v>
                </c:pt>
                <c:pt idx="476">
                  <c:v>599.93999999999949</c:v>
                </c:pt>
                <c:pt idx="477">
                  <c:v>599.93999999999949</c:v>
                </c:pt>
                <c:pt idx="478">
                  <c:v>603.16999999999996</c:v>
                </c:pt>
                <c:pt idx="479">
                  <c:v>603.16999999999996</c:v>
                </c:pt>
                <c:pt idx="480">
                  <c:v>601.95999999999947</c:v>
                </c:pt>
                <c:pt idx="481">
                  <c:v>585.79999999999995</c:v>
                </c:pt>
                <c:pt idx="482">
                  <c:v>549.43999999999949</c:v>
                </c:pt>
                <c:pt idx="483">
                  <c:v>549.43999999999949</c:v>
                </c:pt>
                <c:pt idx="484">
                  <c:v>549.43999999999949</c:v>
                </c:pt>
                <c:pt idx="485">
                  <c:v>549.43999999999949</c:v>
                </c:pt>
                <c:pt idx="486">
                  <c:v>525.20000000000005</c:v>
                </c:pt>
                <c:pt idx="487">
                  <c:v>505</c:v>
                </c:pt>
                <c:pt idx="488">
                  <c:v>500.96</c:v>
                </c:pt>
                <c:pt idx="489">
                  <c:v>505</c:v>
                </c:pt>
                <c:pt idx="490">
                  <c:v>505</c:v>
                </c:pt>
                <c:pt idx="491">
                  <c:v>505</c:v>
                </c:pt>
                <c:pt idx="492">
                  <c:v>505</c:v>
                </c:pt>
                <c:pt idx="493">
                  <c:v>488.84000000000032</c:v>
                </c:pt>
                <c:pt idx="494">
                  <c:v>488.84000000000032</c:v>
                </c:pt>
                <c:pt idx="495">
                  <c:v>488.84000000000032</c:v>
                </c:pt>
                <c:pt idx="496">
                  <c:v>484.8</c:v>
                </c:pt>
                <c:pt idx="497">
                  <c:v>484.8</c:v>
                </c:pt>
                <c:pt idx="498">
                  <c:v>484.8</c:v>
                </c:pt>
                <c:pt idx="499">
                  <c:v>476.71999999999969</c:v>
                </c:pt>
                <c:pt idx="500">
                  <c:v>432.28</c:v>
                </c:pt>
                <c:pt idx="501">
                  <c:v>468.64000000000038</c:v>
                </c:pt>
                <c:pt idx="502">
                  <c:v>468.64000000000038</c:v>
                </c:pt>
                <c:pt idx="503">
                  <c:v>468.64000000000038</c:v>
                </c:pt>
                <c:pt idx="504">
                  <c:v>468.64000000000038</c:v>
                </c:pt>
                <c:pt idx="505">
                  <c:v>468.64000000000038</c:v>
                </c:pt>
                <c:pt idx="506">
                  <c:v>468.64000000000038</c:v>
                </c:pt>
                <c:pt idx="507">
                  <c:v>484.8</c:v>
                </c:pt>
                <c:pt idx="508">
                  <c:v>509.04</c:v>
                </c:pt>
                <c:pt idx="509">
                  <c:v>488.84000000000032</c:v>
                </c:pt>
                <c:pt idx="510">
                  <c:v>488.84000000000032</c:v>
                </c:pt>
                <c:pt idx="511">
                  <c:v>488.84000000000032</c:v>
                </c:pt>
                <c:pt idx="512">
                  <c:v>488.84000000000032</c:v>
                </c:pt>
                <c:pt idx="513">
                  <c:v>488.84000000000032</c:v>
                </c:pt>
                <c:pt idx="514">
                  <c:v>492</c:v>
                </c:pt>
                <c:pt idx="515">
                  <c:v>492</c:v>
                </c:pt>
                <c:pt idx="516">
                  <c:v>508.95</c:v>
                </c:pt>
                <c:pt idx="517">
                  <c:v>508.95</c:v>
                </c:pt>
                <c:pt idx="518">
                  <c:v>508.95</c:v>
                </c:pt>
                <c:pt idx="519">
                  <c:v>508.95</c:v>
                </c:pt>
                <c:pt idx="520">
                  <c:v>513.29999999999995</c:v>
                </c:pt>
                <c:pt idx="521">
                  <c:v>503.1</c:v>
                </c:pt>
                <c:pt idx="522">
                  <c:v>503.1</c:v>
                </c:pt>
                <c:pt idx="523">
                  <c:v>507.4</c:v>
                </c:pt>
                <c:pt idx="524">
                  <c:v>511.56</c:v>
                </c:pt>
                <c:pt idx="525">
                  <c:v>511.56</c:v>
                </c:pt>
                <c:pt idx="526">
                  <c:v>511.56</c:v>
                </c:pt>
                <c:pt idx="527">
                  <c:v>511.56</c:v>
                </c:pt>
                <c:pt idx="528">
                  <c:v>517.65</c:v>
                </c:pt>
                <c:pt idx="529">
                  <c:v>517.65</c:v>
                </c:pt>
                <c:pt idx="530">
                  <c:v>535.04999999999939</c:v>
                </c:pt>
                <c:pt idx="531">
                  <c:v>535.04999999999939</c:v>
                </c:pt>
                <c:pt idx="532">
                  <c:v>535.04999999999939</c:v>
                </c:pt>
                <c:pt idx="533">
                  <c:v>535.04999999999939</c:v>
                </c:pt>
                <c:pt idx="534">
                  <c:v>530.70000000000005</c:v>
                </c:pt>
                <c:pt idx="535">
                  <c:v>528.52</c:v>
                </c:pt>
                <c:pt idx="536">
                  <c:v>530.70000000000005</c:v>
                </c:pt>
                <c:pt idx="537">
                  <c:v>553.5</c:v>
                </c:pt>
                <c:pt idx="538">
                  <c:v>551.25</c:v>
                </c:pt>
                <c:pt idx="539">
                  <c:v>551.25</c:v>
                </c:pt>
                <c:pt idx="540">
                  <c:v>551.25</c:v>
                </c:pt>
                <c:pt idx="541">
                  <c:v>551.25</c:v>
                </c:pt>
                <c:pt idx="542">
                  <c:v>553.5</c:v>
                </c:pt>
                <c:pt idx="543">
                  <c:v>565.75</c:v>
                </c:pt>
                <c:pt idx="544">
                  <c:v>565.75</c:v>
                </c:pt>
                <c:pt idx="545">
                  <c:v>575</c:v>
                </c:pt>
                <c:pt idx="546">
                  <c:v>575</c:v>
                </c:pt>
                <c:pt idx="547">
                  <c:v>575</c:v>
                </c:pt>
                <c:pt idx="548">
                  <c:v>575</c:v>
                </c:pt>
                <c:pt idx="549">
                  <c:v>575</c:v>
                </c:pt>
                <c:pt idx="550">
                  <c:v>575</c:v>
                </c:pt>
                <c:pt idx="551">
                  <c:v>579.6</c:v>
                </c:pt>
                <c:pt idx="552">
                  <c:v>579.6</c:v>
                </c:pt>
                <c:pt idx="553">
                  <c:v>579.6</c:v>
                </c:pt>
                <c:pt idx="554">
                  <c:v>579.6</c:v>
                </c:pt>
                <c:pt idx="555">
                  <c:v>579.6</c:v>
                </c:pt>
                <c:pt idx="556">
                  <c:v>574.26</c:v>
                </c:pt>
                <c:pt idx="557">
                  <c:v>574.26</c:v>
                </c:pt>
                <c:pt idx="558">
                  <c:v>562.73</c:v>
                </c:pt>
                <c:pt idx="559">
                  <c:v>571.94999999999948</c:v>
                </c:pt>
                <c:pt idx="560">
                  <c:v>571.94999999999948</c:v>
                </c:pt>
                <c:pt idx="561">
                  <c:v>571.94999999999948</c:v>
                </c:pt>
                <c:pt idx="562">
                  <c:v>571.94999999999948</c:v>
                </c:pt>
                <c:pt idx="563">
                  <c:v>562.73</c:v>
                </c:pt>
                <c:pt idx="564">
                  <c:v>567.29999999999995</c:v>
                </c:pt>
                <c:pt idx="565">
                  <c:v>571.94999999999948</c:v>
                </c:pt>
                <c:pt idx="566">
                  <c:v>571.94999999999948</c:v>
                </c:pt>
                <c:pt idx="567">
                  <c:v>571.94999999999948</c:v>
                </c:pt>
                <c:pt idx="568">
                  <c:v>571.94999999999948</c:v>
                </c:pt>
                <c:pt idx="569">
                  <c:v>591.38</c:v>
                </c:pt>
                <c:pt idx="570">
                  <c:v>606.41999999999996</c:v>
                </c:pt>
                <c:pt idx="571">
                  <c:v>615.98</c:v>
                </c:pt>
                <c:pt idx="572">
                  <c:v>623.14</c:v>
                </c:pt>
                <c:pt idx="573">
                  <c:v>649.4</c:v>
                </c:pt>
                <c:pt idx="574">
                  <c:v>649.4</c:v>
                </c:pt>
                <c:pt idx="575">
                  <c:v>649.4</c:v>
                </c:pt>
                <c:pt idx="576">
                  <c:v>716.25</c:v>
                </c:pt>
                <c:pt idx="577">
                  <c:v>692.38</c:v>
                </c:pt>
                <c:pt idx="578">
                  <c:v>663.73</c:v>
                </c:pt>
                <c:pt idx="579">
                  <c:v>642.24</c:v>
                </c:pt>
                <c:pt idx="580">
                  <c:v>642.24</c:v>
                </c:pt>
                <c:pt idx="581">
                  <c:v>642.24</c:v>
                </c:pt>
                <c:pt idx="582">
                  <c:v>642.24</c:v>
                </c:pt>
                <c:pt idx="583">
                  <c:v>620.75</c:v>
                </c:pt>
                <c:pt idx="584">
                  <c:v>639.84999999999798</c:v>
                </c:pt>
                <c:pt idx="585">
                  <c:v>658.94999999999948</c:v>
                </c:pt>
                <c:pt idx="586">
                  <c:v>639.84999999999798</c:v>
                </c:pt>
                <c:pt idx="587">
                  <c:v>635.08000000000004</c:v>
                </c:pt>
                <c:pt idx="588">
                  <c:v>635.08000000000004</c:v>
                </c:pt>
                <c:pt idx="589">
                  <c:v>635.08000000000004</c:v>
                </c:pt>
                <c:pt idx="590">
                  <c:v>632.08000000000004</c:v>
                </c:pt>
                <c:pt idx="591">
                  <c:v>659.6</c:v>
                </c:pt>
                <c:pt idx="592">
                  <c:v>664.44999999999948</c:v>
                </c:pt>
                <c:pt idx="593">
                  <c:v>654.75</c:v>
                </c:pt>
                <c:pt idx="594">
                  <c:v>649.9</c:v>
                </c:pt>
                <c:pt idx="595">
                  <c:v>649.9</c:v>
                </c:pt>
                <c:pt idx="596">
                  <c:v>649.9</c:v>
                </c:pt>
                <c:pt idx="597">
                  <c:v>649.9</c:v>
                </c:pt>
                <c:pt idx="598">
                  <c:v>659.6</c:v>
                </c:pt>
                <c:pt idx="599">
                  <c:v>657.17000000000053</c:v>
                </c:pt>
                <c:pt idx="600">
                  <c:v>657.17000000000053</c:v>
                </c:pt>
                <c:pt idx="601">
                  <c:v>663</c:v>
                </c:pt>
                <c:pt idx="602">
                  <c:v>663</c:v>
                </c:pt>
                <c:pt idx="603">
                  <c:v>663</c:v>
                </c:pt>
                <c:pt idx="604">
                  <c:v>653.25</c:v>
                </c:pt>
                <c:pt idx="605">
                  <c:v>643.5</c:v>
                </c:pt>
                <c:pt idx="606">
                  <c:v>645.93999999999949</c:v>
                </c:pt>
                <c:pt idx="607">
                  <c:v>638.63</c:v>
                </c:pt>
                <c:pt idx="608">
                  <c:v>638.63</c:v>
                </c:pt>
                <c:pt idx="609">
                  <c:v>638.63</c:v>
                </c:pt>
                <c:pt idx="610">
                  <c:v>638.63</c:v>
                </c:pt>
                <c:pt idx="611">
                  <c:v>638.63</c:v>
                </c:pt>
                <c:pt idx="612">
                  <c:v>643.5</c:v>
                </c:pt>
                <c:pt idx="613">
                  <c:v>638.63</c:v>
                </c:pt>
                <c:pt idx="614">
                  <c:v>638.63</c:v>
                </c:pt>
                <c:pt idx="615">
                  <c:v>628.88</c:v>
                </c:pt>
                <c:pt idx="616">
                  <c:v>628.88</c:v>
                </c:pt>
                <c:pt idx="617">
                  <c:v>628.88</c:v>
                </c:pt>
                <c:pt idx="618">
                  <c:v>619.13</c:v>
                </c:pt>
                <c:pt idx="619">
                  <c:v>609.38</c:v>
                </c:pt>
                <c:pt idx="620">
                  <c:v>604.5</c:v>
                </c:pt>
                <c:pt idx="621">
                  <c:v>589.88</c:v>
                </c:pt>
                <c:pt idx="622">
                  <c:v>575.25</c:v>
                </c:pt>
                <c:pt idx="623">
                  <c:v>575.25</c:v>
                </c:pt>
                <c:pt idx="624">
                  <c:v>575.25</c:v>
                </c:pt>
                <c:pt idx="625">
                  <c:v>575.25</c:v>
                </c:pt>
                <c:pt idx="626">
                  <c:v>560.63</c:v>
                </c:pt>
                <c:pt idx="627">
                  <c:v>555.75</c:v>
                </c:pt>
                <c:pt idx="628">
                  <c:v>526.5</c:v>
                </c:pt>
                <c:pt idx="629">
                  <c:v>516.75</c:v>
                </c:pt>
                <c:pt idx="630">
                  <c:v>516.75</c:v>
                </c:pt>
                <c:pt idx="631">
                  <c:v>516.75</c:v>
                </c:pt>
                <c:pt idx="632">
                  <c:v>502.13</c:v>
                </c:pt>
                <c:pt idx="633">
                  <c:v>511.88</c:v>
                </c:pt>
                <c:pt idx="634">
                  <c:v>511.88</c:v>
                </c:pt>
                <c:pt idx="635">
                  <c:v>511.88</c:v>
                </c:pt>
                <c:pt idx="636">
                  <c:v>507</c:v>
                </c:pt>
                <c:pt idx="637">
                  <c:v>507</c:v>
                </c:pt>
                <c:pt idx="638">
                  <c:v>507</c:v>
                </c:pt>
                <c:pt idx="639">
                  <c:v>511.88</c:v>
                </c:pt>
                <c:pt idx="640">
                  <c:v>531.38</c:v>
                </c:pt>
                <c:pt idx="641">
                  <c:v>536.25</c:v>
                </c:pt>
                <c:pt idx="642">
                  <c:v>553.79999999999995</c:v>
                </c:pt>
                <c:pt idx="643">
                  <c:v>555.75</c:v>
                </c:pt>
                <c:pt idx="644">
                  <c:v>555.75</c:v>
                </c:pt>
                <c:pt idx="645">
                  <c:v>555.75</c:v>
                </c:pt>
                <c:pt idx="646">
                  <c:v>575.25</c:v>
                </c:pt>
                <c:pt idx="647">
                  <c:v>580.13</c:v>
                </c:pt>
                <c:pt idx="648">
                  <c:v>565.5</c:v>
                </c:pt>
                <c:pt idx="649">
                  <c:v>536.25</c:v>
                </c:pt>
                <c:pt idx="650">
                  <c:v>536.25</c:v>
                </c:pt>
                <c:pt idx="651">
                  <c:v>536.25</c:v>
                </c:pt>
                <c:pt idx="652">
                  <c:v>536.25</c:v>
                </c:pt>
                <c:pt idx="653">
                  <c:v>553.30999999999949</c:v>
                </c:pt>
                <c:pt idx="654">
                  <c:v>550.88</c:v>
                </c:pt>
                <c:pt idx="655">
                  <c:v>550.88</c:v>
                </c:pt>
                <c:pt idx="656">
                  <c:v>560.63</c:v>
                </c:pt>
                <c:pt idx="657">
                  <c:v>541.13</c:v>
                </c:pt>
                <c:pt idx="658">
                  <c:v>541.13</c:v>
                </c:pt>
                <c:pt idx="659">
                  <c:v>541.13</c:v>
                </c:pt>
                <c:pt idx="660">
                  <c:v>541.13</c:v>
                </c:pt>
                <c:pt idx="661">
                  <c:v>536.25</c:v>
                </c:pt>
                <c:pt idx="662">
                  <c:v>536.25</c:v>
                </c:pt>
                <c:pt idx="663">
                  <c:v>525.52</c:v>
                </c:pt>
                <c:pt idx="664">
                  <c:v>525.52</c:v>
                </c:pt>
                <c:pt idx="665">
                  <c:v>525.52</c:v>
                </c:pt>
                <c:pt idx="666">
                  <c:v>525.52</c:v>
                </c:pt>
                <c:pt idx="667">
                  <c:v>525.52</c:v>
                </c:pt>
                <c:pt idx="668">
                  <c:v>525.52</c:v>
                </c:pt>
                <c:pt idx="669">
                  <c:v>507</c:v>
                </c:pt>
                <c:pt idx="670">
                  <c:v>502.13</c:v>
                </c:pt>
                <c:pt idx="671">
                  <c:v>499.69</c:v>
                </c:pt>
                <c:pt idx="672">
                  <c:v>499.69</c:v>
                </c:pt>
                <c:pt idx="673">
                  <c:v>499.69</c:v>
                </c:pt>
                <c:pt idx="674">
                  <c:v>495.78999999999894</c:v>
                </c:pt>
                <c:pt idx="675">
                  <c:v>496.76</c:v>
                </c:pt>
                <c:pt idx="676">
                  <c:v>496.52</c:v>
                </c:pt>
                <c:pt idx="677">
                  <c:v>487.5</c:v>
                </c:pt>
                <c:pt idx="678">
                  <c:v>472.88</c:v>
                </c:pt>
                <c:pt idx="679">
                  <c:v>472.88</c:v>
                </c:pt>
                <c:pt idx="680">
                  <c:v>472.88</c:v>
                </c:pt>
                <c:pt idx="681">
                  <c:v>472.88</c:v>
                </c:pt>
                <c:pt idx="682">
                  <c:v>443.63</c:v>
                </c:pt>
                <c:pt idx="683">
                  <c:v>446.06</c:v>
                </c:pt>
                <c:pt idx="684">
                  <c:v>446.06</c:v>
                </c:pt>
                <c:pt idx="685">
                  <c:v>446.06</c:v>
                </c:pt>
                <c:pt idx="686">
                  <c:v>446.06</c:v>
                </c:pt>
                <c:pt idx="687">
                  <c:v>446.06</c:v>
                </c:pt>
                <c:pt idx="688">
                  <c:v>453.25</c:v>
                </c:pt>
                <c:pt idx="689">
                  <c:v>453.25</c:v>
                </c:pt>
                <c:pt idx="690">
                  <c:v>490</c:v>
                </c:pt>
                <c:pt idx="691">
                  <c:v>490</c:v>
                </c:pt>
                <c:pt idx="692">
                  <c:v>490</c:v>
                </c:pt>
                <c:pt idx="693">
                  <c:v>490</c:v>
                </c:pt>
                <c:pt idx="694">
                  <c:v>490</c:v>
                </c:pt>
                <c:pt idx="695">
                  <c:v>480.2</c:v>
                </c:pt>
                <c:pt idx="696">
                  <c:v>480.2</c:v>
                </c:pt>
                <c:pt idx="697">
                  <c:v>480.2</c:v>
                </c:pt>
                <c:pt idx="698">
                  <c:v>465.5</c:v>
                </c:pt>
                <c:pt idx="699">
                  <c:v>468</c:v>
                </c:pt>
                <c:pt idx="700">
                  <c:v>468</c:v>
                </c:pt>
                <c:pt idx="701">
                  <c:v>468</c:v>
                </c:pt>
                <c:pt idx="702">
                  <c:v>468</c:v>
                </c:pt>
                <c:pt idx="703">
                  <c:v>458.25</c:v>
                </c:pt>
                <c:pt idx="704">
                  <c:v>458.25</c:v>
                </c:pt>
                <c:pt idx="705">
                  <c:v>458.25</c:v>
                </c:pt>
                <c:pt idx="706">
                  <c:v>477.75</c:v>
                </c:pt>
                <c:pt idx="707">
                  <c:v>477.75</c:v>
                </c:pt>
                <c:pt idx="708">
                  <c:v>477.75</c:v>
                </c:pt>
                <c:pt idx="709">
                  <c:v>480.19</c:v>
                </c:pt>
                <c:pt idx="710">
                  <c:v>482.63</c:v>
                </c:pt>
                <c:pt idx="711">
                  <c:v>482.63</c:v>
                </c:pt>
                <c:pt idx="712">
                  <c:v>476.51</c:v>
                </c:pt>
                <c:pt idx="713">
                  <c:v>476.51</c:v>
                </c:pt>
                <c:pt idx="714">
                  <c:v>476.51</c:v>
                </c:pt>
                <c:pt idx="715">
                  <c:v>476.51</c:v>
                </c:pt>
                <c:pt idx="716">
                  <c:v>481.42999999999893</c:v>
                </c:pt>
                <c:pt idx="717">
                  <c:v>476.51</c:v>
                </c:pt>
                <c:pt idx="718">
                  <c:v>471.6</c:v>
                </c:pt>
                <c:pt idx="719">
                  <c:v>478.94</c:v>
                </c:pt>
                <c:pt idx="720">
                  <c:v>475.97999999999894</c:v>
                </c:pt>
                <c:pt idx="721">
                  <c:v>475.97999999999894</c:v>
                </c:pt>
                <c:pt idx="722">
                  <c:v>475.97999999999894</c:v>
                </c:pt>
                <c:pt idx="723">
                  <c:v>475.97999999999894</c:v>
                </c:pt>
                <c:pt idx="724">
                  <c:v>474</c:v>
                </c:pt>
                <c:pt idx="725">
                  <c:v>466.59</c:v>
                </c:pt>
                <c:pt idx="726">
                  <c:v>464.13</c:v>
                </c:pt>
                <c:pt idx="727">
                  <c:v>466.1</c:v>
                </c:pt>
                <c:pt idx="728">
                  <c:v>466.1</c:v>
                </c:pt>
                <c:pt idx="729">
                  <c:v>466.1</c:v>
                </c:pt>
                <c:pt idx="730">
                  <c:v>466.1</c:v>
                </c:pt>
                <c:pt idx="731">
                  <c:v>469.64000000000038</c:v>
                </c:pt>
                <c:pt idx="732">
                  <c:v>470.63</c:v>
                </c:pt>
                <c:pt idx="733">
                  <c:v>455.71</c:v>
                </c:pt>
                <c:pt idx="734">
                  <c:v>457.7</c:v>
                </c:pt>
                <c:pt idx="735">
                  <c:v>457.7</c:v>
                </c:pt>
                <c:pt idx="736">
                  <c:v>457.7</c:v>
                </c:pt>
                <c:pt idx="737">
                  <c:v>402.97999999999894</c:v>
                </c:pt>
                <c:pt idx="738">
                  <c:v>422.88</c:v>
                </c:pt>
                <c:pt idx="739">
                  <c:v>448.88</c:v>
                </c:pt>
                <c:pt idx="740">
                  <c:v>433.90999999999963</c:v>
                </c:pt>
                <c:pt idx="741">
                  <c:v>433.90999999999963</c:v>
                </c:pt>
                <c:pt idx="742">
                  <c:v>433.90999999999963</c:v>
                </c:pt>
                <c:pt idx="743">
                  <c:v>433.90999999999963</c:v>
                </c:pt>
                <c:pt idx="744">
                  <c:v>433.90999999999963</c:v>
                </c:pt>
                <c:pt idx="745">
                  <c:v>463.84000000000032</c:v>
                </c:pt>
                <c:pt idx="746">
                  <c:v>458.85</c:v>
                </c:pt>
                <c:pt idx="747">
                  <c:v>438.9</c:v>
                </c:pt>
                <c:pt idx="748">
                  <c:v>448.88</c:v>
                </c:pt>
                <c:pt idx="749">
                  <c:v>448.88</c:v>
                </c:pt>
                <c:pt idx="750">
                  <c:v>448.88</c:v>
                </c:pt>
                <c:pt idx="751">
                  <c:v>458.85</c:v>
                </c:pt>
                <c:pt idx="752">
                  <c:v>458.85</c:v>
                </c:pt>
                <c:pt idx="753">
                  <c:v>458.85</c:v>
                </c:pt>
                <c:pt idx="754">
                  <c:v>458.85</c:v>
                </c:pt>
                <c:pt idx="755">
                  <c:v>466.33</c:v>
                </c:pt>
                <c:pt idx="756">
                  <c:v>466.33</c:v>
                </c:pt>
                <c:pt idx="757">
                  <c:v>466.33</c:v>
                </c:pt>
                <c:pt idx="758">
                  <c:v>466.33</c:v>
                </c:pt>
                <c:pt idx="759">
                  <c:v>471.32</c:v>
                </c:pt>
                <c:pt idx="760">
                  <c:v>478.8</c:v>
                </c:pt>
                <c:pt idx="761">
                  <c:v>468.82</c:v>
                </c:pt>
                <c:pt idx="762">
                  <c:v>463.84000000000032</c:v>
                </c:pt>
                <c:pt idx="763">
                  <c:v>463.84000000000032</c:v>
                </c:pt>
                <c:pt idx="764">
                  <c:v>463.84000000000032</c:v>
                </c:pt>
                <c:pt idx="765">
                  <c:v>464.83</c:v>
                </c:pt>
                <c:pt idx="766">
                  <c:v>473.81</c:v>
                </c:pt>
                <c:pt idx="767">
                  <c:v>488.77</c:v>
                </c:pt>
                <c:pt idx="768">
                  <c:v>493.76</c:v>
                </c:pt>
                <c:pt idx="769">
                  <c:v>491.27</c:v>
                </c:pt>
                <c:pt idx="770">
                  <c:v>491.27</c:v>
                </c:pt>
                <c:pt idx="771">
                  <c:v>491.27</c:v>
                </c:pt>
                <c:pt idx="772">
                  <c:v>493.76</c:v>
                </c:pt>
                <c:pt idx="773">
                  <c:v>498.75</c:v>
                </c:pt>
                <c:pt idx="774">
                  <c:v>501.24</c:v>
                </c:pt>
                <c:pt idx="775">
                  <c:v>496.26</c:v>
                </c:pt>
                <c:pt idx="776">
                  <c:v>493.76</c:v>
                </c:pt>
                <c:pt idx="777">
                  <c:v>493.76</c:v>
                </c:pt>
                <c:pt idx="778">
                  <c:v>493.76</c:v>
                </c:pt>
                <c:pt idx="779">
                  <c:v>493.76</c:v>
                </c:pt>
                <c:pt idx="780">
                  <c:v>488.77</c:v>
                </c:pt>
                <c:pt idx="781">
                  <c:v>483.78999999999894</c:v>
                </c:pt>
                <c:pt idx="782">
                  <c:v>480.8</c:v>
                </c:pt>
                <c:pt idx="783">
                  <c:v>472.81</c:v>
                </c:pt>
                <c:pt idx="784">
                  <c:v>472.81</c:v>
                </c:pt>
                <c:pt idx="785">
                  <c:v>472.81</c:v>
                </c:pt>
                <c:pt idx="786">
                  <c:v>476.31</c:v>
                </c:pt>
                <c:pt idx="787">
                  <c:v>473.81</c:v>
                </c:pt>
                <c:pt idx="788">
                  <c:v>463.84000000000032</c:v>
                </c:pt>
                <c:pt idx="789">
                  <c:v>466.33</c:v>
                </c:pt>
                <c:pt idx="790">
                  <c:v>463.84000000000032</c:v>
                </c:pt>
                <c:pt idx="791">
                  <c:v>463.84000000000032</c:v>
                </c:pt>
                <c:pt idx="792">
                  <c:v>463.84000000000032</c:v>
                </c:pt>
                <c:pt idx="793">
                  <c:v>463.84000000000032</c:v>
                </c:pt>
                <c:pt idx="794">
                  <c:v>473.81</c:v>
                </c:pt>
                <c:pt idx="795">
                  <c:v>473.81</c:v>
                </c:pt>
                <c:pt idx="796">
                  <c:v>458.85</c:v>
                </c:pt>
                <c:pt idx="797">
                  <c:v>468.82</c:v>
                </c:pt>
                <c:pt idx="798">
                  <c:v>468.82</c:v>
                </c:pt>
                <c:pt idx="799">
                  <c:v>468.82</c:v>
                </c:pt>
                <c:pt idx="800">
                  <c:v>468.82</c:v>
                </c:pt>
                <c:pt idx="801">
                  <c:v>466.83</c:v>
                </c:pt>
                <c:pt idx="802">
                  <c:v>463.84000000000032</c:v>
                </c:pt>
                <c:pt idx="803">
                  <c:v>463.84000000000032</c:v>
                </c:pt>
                <c:pt idx="804">
                  <c:v>458.85</c:v>
                </c:pt>
                <c:pt idx="805">
                  <c:v>458.85</c:v>
                </c:pt>
                <c:pt idx="806">
                  <c:v>458.85</c:v>
                </c:pt>
                <c:pt idx="807">
                  <c:v>458.85</c:v>
                </c:pt>
                <c:pt idx="808">
                  <c:v>456.86</c:v>
                </c:pt>
                <c:pt idx="809">
                  <c:v>455.86</c:v>
                </c:pt>
                <c:pt idx="810">
                  <c:v>455.86</c:v>
                </c:pt>
                <c:pt idx="811">
                  <c:v>455.86</c:v>
                </c:pt>
                <c:pt idx="812">
                  <c:v>455.86</c:v>
                </c:pt>
                <c:pt idx="813">
                  <c:v>455.86</c:v>
                </c:pt>
                <c:pt idx="814">
                  <c:v>443.89</c:v>
                </c:pt>
                <c:pt idx="815">
                  <c:v>433.90999999999963</c:v>
                </c:pt>
                <c:pt idx="816">
                  <c:v>413.96</c:v>
                </c:pt>
                <c:pt idx="817">
                  <c:v>426.42999999999893</c:v>
                </c:pt>
                <c:pt idx="818">
                  <c:v>434.90999999999963</c:v>
                </c:pt>
                <c:pt idx="819">
                  <c:v>434.90999999999963</c:v>
                </c:pt>
                <c:pt idx="820">
                  <c:v>434.90999999999963</c:v>
                </c:pt>
                <c:pt idx="821">
                  <c:v>429.91999999999899</c:v>
                </c:pt>
                <c:pt idx="822">
                  <c:v>421.44</c:v>
                </c:pt>
                <c:pt idx="823">
                  <c:v>413.96</c:v>
                </c:pt>
                <c:pt idx="824">
                  <c:v>413.96</c:v>
                </c:pt>
                <c:pt idx="825">
                  <c:v>413.96</c:v>
                </c:pt>
                <c:pt idx="826">
                  <c:v>413.96</c:v>
                </c:pt>
                <c:pt idx="827">
                  <c:v>413.96</c:v>
                </c:pt>
                <c:pt idx="828">
                  <c:v>418.95</c:v>
                </c:pt>
                <c:pt idx="829">
                  <c:v>423.94</c:v>
                </c:pt>
                <c:pt idx="830">
                  <c:v>423.94</c:v>
                </c:pt>
                <c:pt idx="831">
                  <c:v>425.92999999999893</c:v>
                </c:pt>
                <c:pt idx="832">
                  <c:v>431.91999999999899</c:v>
                </c:pt>
                <c:pt idx="833">
                  <c:v>431.91999999999899</c:v>
                </c:pt>
                <c:pt idx="834">
                  <c:v>431.91999999999899</c:v>
                </c:pt>
                <c:pt idx="835">
                  <c:v>444.88</c:v>
                </c:pt>
                <c:pt idx="836">
                  <c:v>453.86</c:v>
                </c:pt>
                <c:pt idx="837">
                  <c:v>466.83</c:v>
                </c:pt>
                <c:pt idx="838">
                  <c:v>473.81</c:v>
                </c:pt>
                <c:pt idx="839">
                  <c:v>473.81</c:v>
                </c:pt>
                <c:pt idx="840">
                  <c:v>473.81</c:v>
                </c:pt>
                <c:pt idx="841">
                  <c:v>473.81</c:v>
                </c:pt>
                <c:pt idx="842">
                  <c:v>469.82</c:v>
                </c:pt>
                <c:pt idx="843">
                  <c:v>469.82</c:v>
                </c:pt>
                <c:pt idx="844">
                  <c:v>483.78999999999894</c:v>
                </c:pt>
                <c:pt idx="845">
                  <c:v>493.76</c:v>
                </c:pt>
                <c:pt idx="846">
                  <c:v>494.76</c:v>
                </c:pt>
                <c:pt idx="847">
                  <c:v>494.76</c:v>
                </c:pt>
                <c:pt idx="848">
                  <c:v>494.76</c:v>
                </c:pt>
                <c:pt idx="849">
                  <c:v>510.71999999999969</c:v>
                </c:pt>
                <c:pt idx="850">
                  <c:v>538.65</c:v>
                </c:pt>
                <c:pt idx="851">
                  <c:v>546.13</c:v>
                </c:pt>
                <c:pt idx="852">
                  <c:v>541.64</c:v>
                </c:pt>
                <c:pt idx="853">
                  <c:v>535.66</c:v>
                </c:pt>
                <c:pt idx="854">
                  <c:v>535.66</c:v>
                </c:pt>
                <c:pt idx="855">
                  <c:v>535.66</c:v>
                </c:pt>
                <c:pt idx="856">
                  <c:v>535.66</c:v>
                </c:pt>
                <c:pt idx="857">
                  <c:v>540.64</c:v>
                </c:pt>
                <c:pt idx="858">
                  <c:v>597.5</c:v>
                </c:pt>
                <c:pt idx="859">
                  <c:v>584.53</c:v>
                </c:pt>
                <c:pt idx="860">
                  <c:v>605.98</c:v>
                </c:pt>
                <c:pt idx="861">
                  <c:v>605.98</c:v>
                </c:pt>
                <c:pt idx="862">
                  <c:v>605.98</c:v>
                </c:pt>
                <c:pt idx="863">
                  <c:v>610.47</c:v>
                </c:pt>
                <c:pt idx="864">
                  <c:v>613.45999999999947</c:v>
                </c:pt>
                <c:pt idx="865">
                  <c:v>605.98</c:v>
                </c:pt>
                <c:pt idx="866">
                  <c:v>605.98</c:v>
                </c:pt>
                <c:pt idx="867">
                  <c:v>621.43999999999949</c:v>
                </c:pt>
                <c:pt idx="868">
                  <c:v>621.43999999999949</c:v>
                </c:pt>
                <c:pt idx="869">
                  <c:v>621.43999999999949</c:v>
                </c:pt>
                <c:pt idx="870">
                  <c:v>614.45999999999947</c:v>
                </c:pt>
                <c:pt idx="871">
                  <c:v>611.47</c:v>
                </c:pt>
                <c:pt idx="872">
                  <c:v>614.45999999999947</c:v>
                </c:pt>
                <c:pt idx="873">
                  <c:v>622.43999999999949</c:v>
                </c:pt>
                <c:pt idx="874">
                  <c:v>621.43999999999949</c:v>
                </c:pt>
                <c:pt idx="875">
                  <c:v>621.43999999999949</c:v>
                </c:pt>
                <c:pt idx="876">
                  <c:v>621.43999999999949</c:v>
                </c:pt>
                <c:pt idx="877">
                  <c:v>621.43999999999949</c:v>
                </c:pt>
                <c:pt idx="878">
                  <c:v>620.93999999999949</c:v>
                </c:pt>
                <c:pt idx="879">
                  <c:v>622.43999999999949</c:v>
                </c:pt>
                <c:pt idx="880">
                  <c:v>643.39</c:v>
                </c:pt>
                <c:pt idx="881">
                  <c:v>683.29000000000053</c:v>
                </c:pt>
                <c:pt idx="882">
                  <c:v>683.29000000000053</c:v>
                </c:pt>
                <c:pt idx="883">
                  <c:v>683.29000000000053</c:v>
                </c:pt>
                <c:pt idx="884">
                  <c:v>713.21</c:v>
                </c:pt>
                <c:pt idx="885">
                  <c:v>683.29000000000053</c:v>
                </c:pt>
                <c:pt idx="886">
                  <c:v>639.97</c:v>
                </c:pt>
                <c:pt idx="887">
                  <c:v>639.97</c:v>
                </c:pt>
                <c:pt idx="888">
                  <c:v>595.31999999999948</c:v>
                </c:pt>
                <c:pt idx="889">
                  <c:v>595.31999999999948</c:v>
                </c:pt>
                <c:pt idx="890">
                  <c:v>595.31999999999948</c:v>
                </c:pt>
                <c:pt idx="891">
                  <c:v>580.43999999999949</c:v>
                </c:pt>
                <c:pt idx="892">
                  <c:v>565.54999999999939</c:v>
                </c:pt>
                <c:pt idx="893">
                  <c:v>595.31999999999948</c:v>
                </c:pt>
                <c:pt idx="894">
                  <c:v>595.31999999999948</c:v>
                </c:pt>
                <c:pt idx="895">
                  <c:v>600.28000000000054</c:v>
                </c:pt>
                <c:pt idx="896">
                  <c:v>600.28000000000054</c:v>
                </c:pt>
                <c:pt idx="897">
                  <c:v>600.28000000000054</c:v>
                </c:pt>
                <c:pt idx="898">
                  <c:v>600.28000000000054</c:v>
                </c:pt>
                <c:pt idx="899">
                  <c:v>580.43999999999949</c:v>
                </c:pt>
                <c:pt idx="900">
                  <c:v>575.48</c:v>
                </c:pt>
                <c:pt idx="901">
                  <c:v>575.48</c:v>
                </c:pt>
                <c:pt idx="902">
                  <c:v>555.63</c:v>
                </c:pt>
                <c:pt idx="903">
                  <c:v>555.63</c:v>
                </c:pt>
                <c:pt idx="904">
                  <c:v>555.63</c:v>
                </c:pt>
                <c:pt idx="905">
                  <c:v>535.79000000000053</c:v>
                </c:pt>
                <c:pt idx="906">
                  <c:v>535.79000000000053</c:v>
                </c:pt>
                <c:pt idx="907">
                  <c:v>535.79000000000053</c:v>
                </c:pt>
                <c:pt idx="908">
                  <c:v>496.1</c:v>
                </c:pt>
                <c:pt idx="909">
                  <c:v>520.9</c:v>
                </c:pt>
                <c:pt idx="910">
                  <c:v>520.9</c:v>
                </c:pt>
                <c:pt idx="911">
                  <c:v>520.9</c:v>
                </c:pt>
                <c:pt idx="912">
                  <c:v>538.27000000000055</c:v>
                </c:pt>
                <c:pt idx="913">
                  <c:v>558.11</c:v>
                </c:pt>
                <c:pt idx="914">
                  <c:v>558.11</c:v>
                </c:pt>
                <c:pt idx="915">
                  <c:v>560.59</c:v>
                </c:pt>
                <c:pt idx="916">
                  <c:v>545.71</c:v>
                </c:pt>
                <c:pt idx="917">
                  <c:v>545.71</c:v>
                </c:pt>
                <c:pt idx="918">
                  <c:v>545.71</c:v>
                </c:pt>
                <c:pt idx="919">
                  <c:v>545.71</c:v>
                </c:pt>
                <c:pt idx="920">
                  <c:v>558.11</c:v>
                </c:pt>
                <c:pt idx="921">
                  <c:v>565.54999999999939</c:v>
                </c:pt>
                <c:pt idx="922">
                  <c:v>565.54999999999939</c:v>
                </c:pt>
                <c:pt idx="923">
                  <c:v>565.54999999999939</c:v>
                </c:pt>
                <c:pt idx="924">
                  <c:v>565.54999999999939</c:v>
                </c:pt>
                <c:pt idx="925">
                  <c:v>565.54999999999939</c:v>
                </c:pt>
                <c:pt idx="926">
                  <c:v>545.71</c:v>
                </c:pt>
                <c:pt idx="927">
                  <c:v>535.79000000000053</c:v>
                </c:pt>
                <c:pt idx="928">
                  <c:v>540.75</c:v>
                </c:pt>
                <c:pt idx="929">
                  <c:v>540.75</c:v>
                </c:pt>
                <c:pt idx="930">
                  <c:v>543.73</c:v>
                </c:pt>
                <c:pt idx="931">
                  <c:v>543.73</c:v>
                </c:pt>
                <c:pt idx="932">
                  <c:v>543.73</c:v>
                </c:pt>
                <c:pt idx="933">
                  <c:v>540.75</c:v>
                </c:pt>
                <c:pt idx="934">
                  <c:v>525.87</c:v>
                </c:pt>
                <c:pt idx="935">
                  <c:v>526.85999999999797</c:v>
                </c:pt>
                <c:pt idx="936">
                  <c:v>525.87</c:v>
                </c:pt>
                <c:pt idx="937">
                  <c:v>524.87</c:v>
                </c:pt>
                <c:pt idx="938">
                  <c:v>524.87</c:v>
                </c:pt>
                <c:pt idx="939">
                  <c:v>524.87</c:v>
                </c:pt>
                <c:pt idx="940">
                  <c:v>531.81999999999948</c:v>
                </c:pt>
                <c:pt idx="941">
                  <c:v>538.76</c:v>
                </c:pt>
                <c:pt idx="942">
                  <c:v>550.66999999999996</c:v>
                </c:pt>
                <c:pt idx="943">
                  <c:v>545.71</c:v>
                </c:pt>
                <c:pt idx="944">
                  <c:v>543.23</c:v>
                </c:pt>
                <c:pt idx="945">
                  <c:v>543.23</c:v>
                </c:pt>
                <c:pt idx="946">
                  <c:v>543.23</c:v>
                </c:pt>
                <c:pt idx="947">
                  <c:v>544.22</c:v>
                </c:pt>
                <c:pt idx="948">
                  <c:v>543.73</c:v>
                </c:pt>
                <c:pt idx="949">
                  <c:v>544.22</c:v>
                </c:pt>
                <c:pt idx="950">
                  <c:v>550.66999999999996</c:v>
                </c:pt>
                <c:pt idx="951">
                  <c:v>555.63</c:v>
                </c:pt>
                <c:pt idx="952">
                  <c:v>555.63</c:v>
                </c:pt>
                <c:pt idx="953">
                  <c:v>555.63</c:v>
                </c:pt>
                <c:pt idx="954">
                  <c:v>555.63</c:v>
                </c:pt>
                <c:pt idx="955">
                  <c:v>550.66999999999996</c:v>
                </c:pt>
                <c:pt idx="956">
                  <c:v>555.63</c:v>
                </c:pt>
                <c:pt idx="957">
                  <c:v>545.71</c:v>
                </c:pt>
                <c:pt idx="958">
                  <c:v>535.79000000000053</c:v>
                </c:pt>
                <c:pt idx="959">
                  <c:v>535.79000000000053</c:v>
                </c:pt>
                <c:pt idx="960">
                  <c:v>535.79000000000053</c:v>
                </c:pt>
                <c:pt idx="961">
                  <c:v>506.02</c:v>
                </c:pt>
                <c:pt idx="962">
                  <c:v>491.14000000000038</c:v>
                </c:pt>
                <c:pt idx="963">
                  <c:v>476.26</c:v>
                </c:pt>
                <c:pt idx="964">
                  <c:v>478.24</c:v>
                </c:pt>
                <c:pt idx="965">
                  <c:v>478.24</c:v>
                </c:pt>
                <c:pt idx="966">
                  <c:v>478.24</c:v>
                </c:pt>
                <c:pt idx="967">
                  <c:v>478.24</c:v>
                </c:pt>
                <c:pt idx="968">
                  <c:v>501.06</c:v>
                </c:pt>
                <c:pt idx="969">
                  <c:v>515.93999999999949</c:v>
                </c:pt>
                <c:pt idx="970">
                  <c:v>501.06</c:v>
                </c:pt>
                <c:pt idx="971">
                  <c:v>501.06</c:v>
                </c:pt>
                <c:pt idx="972">
                  <c:v>506.02</c:v>
                </c:pt>
                <c:pt idx="973">
                  <c:v>506.02</c:v>
                </c:pt>
                <c:pt idx="974">
                  <c:v>506.02</c:v>
                </c:pt>
                <c:pt idx="975">
                  <c:v>506.02</c:v>
                </c:pt>
                <c:pt idx="976">
                  <c:v>510.97999999999894</c:v>
                </c:pt>
                <c:pt idx="977">
                  <c:v>520.9</c:v>
                </c:pt>
                <c:pt idx="978">
                  <c:v>520.9</c:v>
                </c:pt>
                <c:pt idx="979">
                  <c:v>515.93999999999949</c:v>
                </c:pt>
                <c:pt idx="980">
                  <c:v>515.93999999999949</c:v>
                </c:pt>
                <c:pt idx="981">
                  <c:v>515.93999999999949</c:v>
                </c:pt>
                <c:pt idx="982">
                  <c:v>525.87</c:v>
                </c:pt>
                <c:pt idx="983">
                  <c:v>520.9</c:v>
                </c:pt>
                <c:pt idx="984">
                  <c:v>523.39</c:v>
                </c:pt>
                <c:pt idx="985">
                  <c:v>515.93999999999949</c:v>
                </c:pt>
                <c:pt idx="986">
                  <c:v>509.48999999999899</c:v>
                </c:pt>
                <c:pt idx="987">
                  <c:v>509.48999999999899</c:v>
                </c:pt>
                <c:pt idx="988">
                  <c:v>509.48999999999899</c:v>
                </c:pt>
                <c:pt idx="989">
                  <c:v>520.9</c:v>
                </c:pt>
                <c:pt idx="990">
                  <c:v>515.93999999999949</c:v>
                </c:pt>
                <c:pt idx="991">
                  <c:v>518.41999999999996</c:v>
                </c:pt>
                <c:pt idx="992">
                  <c:v>528.34999999999798</c:v>
                </c:pt>
                <c:pt idx="993">
                  <c:v>535.79000000000053</c:v>
                </c:pt>
                <c:pt idx="994">
                  <c:v>535.79000000000053</c:v>
                </c:pt>
                <c:pt idx="995">
                  <c:v>535.79000000000053</c:v>
                </c:pt>
                <c:pt idx="996">
                  <c:v>530.82999999999947</c:v>
                </c:pt>
                <c:pt idx="997">
                  <c:v>528.34999999999798</c:v>
                </c:pt>
                <c:pt idx="998">
                  <c:v>543.23</c:v>
                </c:pt>
                <c:pt idx="999">
                  <c:v>550.66999999999996</c:v>
                </c:pt>
                <c:pt idx="1000">
                  <c:v>553.15</c:v>
                </c:pt>
                <c:pt idx="1001">
                  <c:v>553.15</c:v>
                </c:pt>
                <c:pt idx="1002">
                  <c:v>553.15</c:v>
                </c:pt>
                <c:pt idx="1003">
                  <c:v>553.65</c:v>
                </c:pt>
                <c:pt idx="1004">
                  <c:v>553.15</c:v>
                </c:pt>
                <c:pt idx="1005">
                  <c:v>555.63</c:v>
                </c:pt>
                <c:pt idx="1006">
                  <c:v>559.6</c:v>
                </c:pt>
                <c:pt idx="1007">
                  <c:v>565.54999999999939</c:v>
                </c:pt>
                <c:pt idx="1008">
                  <c:v>565.54999999999939</c:v>
                </c:pt>
                <c:pt idx="1009">
                  <c:v>565.54999999999939</c:v>
                </c:pt>
                <c:pt idx="1010">
                  <c:v>570.51</c:v>
                </c:pt>
                <c:pt idx="1011">
                  <c:v>570.51</c:v>
                </c:pt>
                <c:pt idx="1012">
                  <c:v>570.51</c:v>
                </c:pt>
                <c:pt idx="1013">
                  <c:v>555.63</c:v>
                </c:pt>
                <c:pt idx="1014">
                  <c:v>545.71</c:v>
                </c:pt>
                <c:pt idx="1015">
                  <c:v>545.71</c:v>
                </c:pt>
                <c:pt idx="1016">
                  <c:v>545.71</c:v>
                </c:pt>
                <c:pt idx="1017">
                  <c:v>540.75</c:v>
                </c:pt>
                <c:pt idx="1018">
                  <c:v>545.71</c:v>
                </c:pt>
                <c:pt idx="1019">
                  <c:v>535.79000000000053</c:v>
                </c:pt>
                <c:pt idx="1020">
                  <c:v>535.79000000000053</c:v>
                </c:pt>
                <c:pt idx="1021">
                  <c:v>535.79000000000053</c:v>
                </c:pt>
                <c:pt idx="1022">
                  <c:v>535.79000000000053</c:v>
                </c:pt>
                <c:pt idx="1023">
                  <c:v>535.79000000000053</c:v>
                </c:pt>
                <c:pt idx="1024">
                  <c:v>535.79000000000053</c:v>
                </c:pt>
                <c:pt idx="1025">
                  <c:v>528.34999999999798</c:v>
                </c:pt>
                <c:pt idx="1026">
                  <c:v>535.79000000000053</c:v>
                </c:pt>
                <c:pt idx="1027">
                  <c:v>535.79000000000053</c:v>
                </c:pt>
                <c:pt idx="1028">
                  <c:v>535.79000000000053</c:v>
                </c:pt>
                <c:pt idx="1029">
                  <c:v>535.79000000000053</c:v>
                </c:pt>
                <c:pt idx="1030">
                  <c:v>535.79000000000053</c:v>
                </c:pt>
                <c:pt idx="1031">
                  <c:v>540.75</c:v>
                </c:pt>
                <c:pt idx="1032">
                  <c:v>545.71</c:v>
                </c:pt>
                <c:pt idx="1033">
                  <c:v>555.63</c:v>
                </c:pt>
                <c:pt idx="1034">
                  <c:v>560.59</c:v>
                </c:pt>
                <c:pt idx="1035">
                  <c:v>550.66999999999996</c:v>
                </c:pt>
                <c:pt idx="1036">
                  <c:v>550.66999999999996</c:v>
                </c:pt>
                <c:pt idx="1037">
                  <c:v>550.66999999999996</c:v>
                </c:pt>
                <c:pt idx="1038">
                  <c:v>545.71</c:v>
                </c:pt>
                <c:pt idx="1039">
                  <c:v>545.71</c:v>
                </c:pt>
                <c:pt idx="1040">
                  <c:v>545.71</c:v>
                </c:pt>
                <c:pt idx="1041">
                  <c:v>545.71</c:v>
                </c:pt>
                <c:pt idx="1042">
                  <c:v>550.66999999999996</c:v>
                </c:pt>
                <c:pt idx="1043">
                  <c:v>550.66999999999996</c:v>
                </c:pt>
                <c:pt idx="1044">
                  <c:v>550.66999999999996</c:v>
                </c:pt>
                <c:pt idx="1045">
                  <c:v>550.66999999999996</c:v>
                </c:pt>
                <c:pt idx="1046">
                  <c:v>551.12</c:v>
                </c:pt>
                <c:pt idx="1047">
                  <c:v>551.12</c:v>
                </c:pt>
                <c:pt idx="1048">
                  <c:v>545.16</c:v>
                </c:pt>
                <c:pt idx="1049">
                  <c:v>545.16</c:v>
                </c:pt>
                <c:pt idx="1050">
                  <c:v>545.16</c:v>
                </c:pt>
                <c:pt idx="1051">
                  <c:v>545.16</c:v>
                </c:pt>
                <c:pt idx="1052">
                  <c:v>543.66999999999996</c:v>
                </c:pt>
                <c:pt idx="1053">
                  <c:v>543.66999999999996</c:v>
                </c:pt>
                <c:pt idx="1054">
                  <c:v>543.66999999999996</c:v>
                </c:pt>
                <c:pt idx="1055">
                  <c:v>543.66999999999996</c:v>
                </c:pt>
                <c:pt idx="1056">
                  <c:v>543.66999999999996</c:v>
                </c:pt>
                <c:pt idx="1057">
                  <c:v>543.66999999999996</c:v>
                </c:pt>
                <c:pt idx="1058">
                  <c:v>543.66999999999996</c:v>
                </c:pt>
                <c:pt idx="1059">
                  <c:v>548.63</c:v>
                </c:pt>
                <c:pt idx="1060">
                  <c:v>548.63</c:v>
                </c:pt>
                <c:pt idx="1061">
                  <c:v>552.11</c:v>
                </c:pt>
                <c:pt idx="1062">
                  <c:v>551.12</c:v>
                </c:pt>
                <c:pt idx="1063">
                  <c:v>553.1</c:v>
                </c:pt>
                <c:pt idx="1064">
                  <c:v>553.1</c:v>
                </c:pt>
                <c:pt idx="1065">
                  <c:v>553.1</c:v>
                </c:pt>
                <c:pt idx="1066">
                  <c:v>550.12</c:v>
                </c:pt>
                <c:pt idx="1067">
                  <c:v>542.17999999999995</c:v>
                </c:pt>
                <c:pt idx="1068">
                  <c:v>531.25</c:v>
                </c:pt>
                <c:pt idx="1069">
                  <c:v>536.22</c:v>
                </c:pt>
                <c:pt idx="1070">
                  <c:v>536.22</c:v>
                </c:pt>
                <c:pt idx="1071">
                  <c:v>536.22</c:v>
                </c:pt>
                <c:pt idx="1072">
                  <c:v>536.22</c:v>
                </c:pt>
                <c:pt idx="1073">
                  <c:v>536.22</c:v>
                </c:pt>
                <c:pt idx="1074">
                  <c:v>541.17999999999995</c:v>
                </c:pt>
                <c:pt idx="1075">
                  <c:v>536.22</c:v>
                </c:pt>
                <c:pt idx="1076">
                  <c:v>536.22</c:v>
                </c:pt>
                <c:pt idx="1077">
                  <c:v>536.22</c:v>
                </c:pt>
                <c:pt idx="1078">
                  <c:v>536.22</c:v>
                </c:pt>
                <c:pt idx="1079">
                  <c:v>536.22</c:v>
                </c:pt>
                <c:pt idx="1080">
                  <c:v>521.32999999999947</c:v>
                </c:pt>
                <c:pt idx="1081">
                  <c:v>531.25</c:v>
                </c:pt>
                <c:pt idx="1082">
                  <c:v>531.25</c:v>
                </c:pt>
                <c:pt idx="1083">
                  <c:v>531.25</c:v>
                </c:pt>
                <c:pt idx="1084">
                  <c:v>534.23</c:v>
                </c:pt>
                <c:pt idx="1085">
                  <c:v>534.23</c:v>
                </c:pt>
                <c:pt idx="1086">
                  <c:v>534.23</c:v>
                </c:pt>
                <c:pt idx="1087">
                  <c:v>534.23</c:v>
                </c:pt>
                <c:pt idx="1088">
                  <c:v>534.23</c:v>
                </c:pt>
                <c:pt idx="1089">
                  <c:v>536.22</c:v>
                </c:pt>
                <c:pt idx="1090">
                  <c:v>533.74</c:v>
                </c:pt>
                <c:pt idx="1091">
                  <c:v>531.25</c:v>
                </c:pt>
                <c:pt idx="1092">
                  <c:v>531.25</c:v>
                </c:pt>
                <c:pt idx="1093">
                  <c:v>531.25</c:v>
                </c:pt>
                <c:pt idx="1094">
                  <c:v>533.92999999999938</c:v>
                </c:pt>
                <c:pt idx="1095">
                  <c:v>533.92999999999938</c:v>
                </c:pt>
                <c:pt idx="1096">
                  <c:v>533.92999999999938</c:v>
                </c:pt>
                <c:pt idx="1097">
                  <c:v>523.94999999999948</c:v>
                </c:pt>
                <c:pt idx="1098">
                  <c:v>518.95999999999947</c:v>
                </c:pt>
                <c:pt idx="1099">
                  <c:v>518.95999999999947</c:v>
                </c:pt>
                <c:pt idx="1100">
                  <c:v>518.95999999999947</c:v>
                </c:pt>
                <c:pt idx="1101">
                  <c:v>518.95999999999947</c:v>
                </c:pt>
                <c:pt idx="1102">
                  <c:v>513.97</c:v>
                </c:pt>
                <c:pt idx="1103">
                  <c:v>523.94999999999948</c:v>
                </c:pt>
                <c:pt idx="1104">
                  <c:v>523.94999999999948</c:v>
                </c:pt>
                <c:pt idx="1105">
                  <c:v>523.94999999999948</c:v>
                </c:pt>
                <c:pt idx="1106">
                  <c:v>523.94999999999948</c:v>
                </c:pt>
                <c:pt idx="1107">
                  <c:v>523.94999999999948</c:v>
                </c:pt>
                <c:pt idx="1108">
                  <c:v>517.45999999999947</c:v>
                </c:pt>
                <c:pt idx="1109">
                  <c:v>513.97</c:v>
                </c:pt>
                <c:pt idx="1110">
                  <c:v>506.97999999999894</c:v>
                </c:pt>
                <c:pt idx="1111">
                  <c:v>508.97999999999894</c:v>
                </c:pt>
                <c:pt idx="1112">
                  <c:v>502.98999999999899</c:v>
                </c:pt>
                <c:pt idx="1113">
                  <c:v>502.98999999999899</c:v>
                </c:pt>
                <c:pt idx="1114">
                  <c:v>502.98999999999899</c:v>
                </c:pt>
                <c:pt idx="1115">
                  <c:v>502.98999999999899</c:v>
                </c:pt>
                <c:pt idx="1116">
                  <c:v>476.55</c:v>
                </c:pt>
                <c:pt idx="1117">
                  <c:v>476.55</c:v>
                </c:pt>
                <c:pt idx="1118">
                  <c:v>476.55</c:v>
                </c:pt>
                <c:pt idx="1119">
                  <c:v>484.03</c:v>
                </c:pt>
                <c:pt idx="1120">
                  <c:v>484.03</c:v>
                </c:pt>
                <c:pt idx="1121">
                  <c:v>484.03</c:v>
                </c:pt>
                <c:pt idx="1122">
                  <c:v>479.04</c:v>
                </c:pt>
                <c:pt idx="1123">
                  <c:v>474.05</c:v>
                </c:pt>
                <c:pt idx="1124">
                  <c:v>471.56</c:v>
                </c:pt>
                <c:pt idx="1125">
                  <c:v>474.05</c:v>
                </c:pt>
                <c:pt idx="1126">
                  <c:v>471.56</c:v>
                </c:pt>
                <c:pt idx="1127">
                  <c:v>471.56</c:v>
                </c:pt>
                <c:pt idx="1128">
                  <c:v>471.56</c:v>
                </c:pt>
                <c:pt idx="1129">
                  <c:v>457.08</c:v>
                </c:pt>
                <c:pt idx="1130">
                  <c:v>449.1</c:v>
                </c:pt>
                <c:pt idx="1131">
                  <c:v>449.1</c:v>
                </c:pt>
                <c:pt idx="1132">
                  <c:v>439.12</c:v>
                </c:pt>
                <c:pt idx="1133">
                  <c:v>449.1</c:v>
                </c:pt>
                <c:pt idx="1134">
                  <c:v>449.1</c:v>
                </c:pt>
                <c:pt idx="1135">
                  <c:v>449.1</c:v>
                </c:pt>
                <c:pt idx="1136">
                  <c:v>444.11</c:v>
                </c:pt>
                <c:pt idx="1137">
                  <c:v>429.14000000000038</c:v>
                </c:pt>
                <c:pt idx="1138">
                  <c:v>426.64000000000038</c:v>
                </c:pt>
                <c:pt idx="1139">
                  <c:v>429.14000000000038</c:v>
                </c:pt>
                <c:pt idx="1140">
                  <c:v>429.14000000000038</c:v>
                </c:pt>
                <c:pt idx="1141">
                  <c:v>429.14000000000038</c:v>
                </c:pt>
                <c:pt idx="1142">
                  <c:v>429.14000000000038</c:v>
                </c:pt>
                <c:pt idx="1143">
                  <c:v>429.14000000000038</c:v>
                </c:pt>
                <c:pt idx="1144">
                  <c:v>459.08</c:v>
                </c:pt>
                <c:pt idx="1145">
                  <c:v>459.08</c:v>
                </c:pt>
                <c:pt idx="1146">
                  <c:v>459.08</c:v>
                </c:pt>
                <c:pt idx="1147">
                  <c:v>461.57</c:v>
                </c:pt>
                <c:pt idx="1148">
                  <c:v>461.57</c:v>
                </c:pt>
                <c:pt idx="1149">
                  <c:v>461.57</c:v>
                </c:pt>
                <c:pt idx="1150">
                  <c:v>461.57</c:v>
                </c:pt>
                <c:pt idx="1151">
                  <c:v>461.57</c:v>
                </c:pt>
                <c:pt idx="1152">
                  <c:v>461.57</c:v>
                </c:pt>
                <c:pt idx="1153">
                  <c:v>466.56</c:v>
                </c:pt>
                <c:pt idx="1154">
                  <c:v>460.08</c:v>
                </c:pt>
                <c:pt idx="1155">
                  <c:v>460.08</c:v>
                </c:pt>
                <c:pt idx="1156">
                  <c:v>460.08</c:v>
                </c:pt>
                <c:pt idx="1157">
                  <c:v>461.08</c:v>
                </c:pt>
                <c:pt idx="1158">
                  <c:v>461.08</c:v>
                </c:pt>
                <c:pt idx="1159">
                  <c:v>454.09</c:v>
                </c:pt>
                <c:pt idx="1160">
                  <c:v>454.09</c:v>
                </c:pt>
                <c:pt idx="1161">
                  <c:v>445.11</c:v>
                </c:pt>
                <c:pt idx="1162">
                  <c:v>445.11</c:v>
                </c:pt>
                <c:pt idx="1163">
                  <c:v>445.11</c:v>
                </c:pt>
                <c:pt idx="1164">
                  <c:v>449.1</c:v>
                </c:pt>
                <c:pt idx="1165">
                  <c:v>444.11</c:v>
                </c:pt>
                <c:pt idx="1166">
                  <c:v>439.12</c:v>
                </c:pt>
                <c:pt idx="1167">
                  <c:v>426.64000000000038</c:v>
                </c:pt>
                <c:pt idx="1168">
                  <c:v>412.17</c:v>
                </c:pt>
                <c:pt idx="1169">
                  <c:v>412.17</c:v>
                </c:pt>
                <c:pt idx="1170">
                  <c:v>412.17</c:v>
                </c:pt>
                <c:pt idx="1171">
                  <c:v>424.15000000000032</c:v>
                </c:pt>
                <c:pt idx="1172">
                  <c:v>421.65000000000032</c:v>
                </c:pt>
                <c:pt idx="1173">
                  <c:v>419.16</c:v>
                </c:pt>
                <c:pt idx="1174">
                  <c:v>414.17</c:v>
                </c:pt>
                <c:pt idx="1175">
                  <c:v>414.17</c:v>
                </c:pt>
                <c:pt idx="1176">
                  <c:v>414.17</c:v>
                </c:pt>
                <c:pt idx="1177">
                  <c:v>414.17</c:v>
                </c:pt>
                <c:pt idx="1178">
                  <c:v>404.19</c:v>
                </c:pt>
                <c:pt idx="1179">
                  <c:v>399.2</c:v>
                </c:pt>
                <c:pt idx="1180">
                  <c:v>389.21999999999969</c:v>
                </c:pt>
                <c:pt idx="1181">
                  <c:v>359.28</c:v>
                </c:pt>
                <c:pt idx="1182">
                  <c:v>339.32</c:v>
                </c:pt>
                <c:pt idx="1183">
                  <c:v>339.32</c:v>
                </c:pt>
                <c:pt idx="1184">
                  <c:v>339.32</c:v>
                </c:pt>
                <c:pt idx="1185">
                  <c:v>344.31</c:v>
                </c:pt>
                <c:pt idx="1186">
                  <c:v>339.32</c:v>
                </c:pt>
                <c:pt idx="1187">
                  <c:v>325.35000000000002</c:v>
                </c:pt>
                <c:pt idx="1188">
                  <c:v>329.34000000000032</c:v>
                </c:pt>
                <c:pt idx="1189">
                  <c:v>339.32</c:v>
                </c:pt>
                <c:pt idx="1190">
                  <c:v>339.32</c:v>
                </c:pt>
                <c:pt idx="1191">
                  <c:v>339.32</c:v>
                </c:pt>
                <c:pt idx="1192">
                  <c:v>354.28999999999894</c:v>
                </c:pt>
                <c:pt idx="1193">
                  <c:v>354.28999999999894</c:v>
                </c:pt>
                <c:pt idx="1194">
                  <c:v>356.78999999999894</c:v>
                </c:pt>
                <c:pt idx="1195">
                  <c:v>351.3</c:v>
                </c:pt>
                <c:pt idx="1196">
                  <c:v>350.3</c:v>
                </c:pt>
                <c:pt idx="1197">
                  <c:v>350.3</c:v>
                </c:pt>
                <c:pt idx="1198">
                  <c:v>350.3</c:v>
                </c:pt>
                <c:pt idx="1199">
                  <c:v>349.3</c:v>
                </c:pt>
                <c:pt idx="1200">
                  <c:v>354.28999999999894</c:v>
                </c:pt>
                <c:pt idx="1201">
                  <c:v>359.28</c:v>
                </c:pt>
                <c:pt idx="1202">
                  <c:v>359.28</c:v>
                </c:pt>
                <c:pt idx="1203">
                  <c:v>359.28</c:v>
                </c:pt>
                <c:pt idx="1204">
                  <c:v>359.28</c:v>
                </c:pt>
                <c:pt idx="1205">
                  <c:v>359.28</c:v>
                </c:pt>
                <c:pt idx="1206">
                  <c:v>364.27</c:v>
                </c:pt>
                <c:pt idx="1207">
                  <c:v>364.27</c:v>
                </c:pt>
                <c:pt idx="1208">
                  <c:v>363.27</c:v>
                </c:pt>
                <c:pt idx="1209">
                  <c:v>359.28</c:v>
                </c:pt>
                <c:pt idx="1210">
                  <c:v>349.3</c:v>
                </c:pt>
                <c:pt idx="1211">
                  <c:v>349.3</c:v>
                </c:pt>
                <c:pt idx="1212">
                  <c:v>349.3</c:v>
                </c:pt>
                <c:pt idx="1213">
                  <c:v>350.3</c:v>
                </c:pt>
                <c:pt idx="1214">
                  <c:v>349.3</c:v>
                </c:pt>
                <c:pt idx="1215">
                  <c:v>349.3</c:v>
                </c:pt>
                <c:pt idx="1216">
                  <c:v>347.3</c:v>
                </c:pt>
                <c:pt idx="1217">
                  <c:v>349.3</c:v>
                </c:pt>
                <c:pt idx="1218">
                  <c:v>349.3</c:v>
                </c:pt>
                <c:pt idx="1219">
                  <c:v>349.3</c:v>
                </c:pt>
                <c:pt idx="1220">
                  <c:v>341.81</c:v>
                </c:pt>
                <c:pt idx="1221">
                  <c:v>329.34000000000032</c:v>
                </c:pt>
                <c:pt idx="1222">
                  <c:v>312.87</c:v>
                </c:pt>
                <c:pt idx="1223">
                  <c:v>286.92999999999893</c:v>
                </c:pt>
                <c:pt idx="1224">
                  <c:v>244.51</c:v>
                </c:pt>
                <c:pt idx="1225">
                  <c:v>244.51</c:v>
                </c:pt>
                <c:pt idx="1226">
                  <c:v>244.51</c:v>
                </c:pt>
                <c:pt idx="1227">
                  <c:v>234.53</c:v>
                </c:pt>
                <c:pt idx="1228">
                  <c:v>214.57</c:v>
                </c:pt>
                <c:pt idx="1229">
                  <c:v>209.58</c:v>
                </c:pt>
                <c:pt idx="1230">
                  <c:v>207.09</c:v>
                </c:pt>
                <c:pt idx="1231">
                  <c:v>212.07</c:v>
                </c:pt>
                <c:pt idx="1232">
                  <c:v>212.07</c:v>
                </c:pt>
                <c:pt idx="1233">
                  <c:v>212.07</c:v>
                </c:pt>
                <c:pt idx="1234">
                  <c:v>244.51</c:v>
                </c:pt>
                <c:pt idx="1235">
                  <c:v>286.92999999999893</c:v>
                </c:pt>
                <c:pt idx="1236">
                  <c:v>304.39</c:v>
                </c:pt>
                <c:pt idx="1237">
                  <c:v>286.92999999999893</c:v>
                </c:pt>
                <c:pt idx="1238">
                  <c:v>284.42999999999893</c:v>
                </c:pt>
                <c:pt idx="1239">
                  <c:v>284.42999999999893</c:v>
                </c:pt>
                <c:pt idx="1240">
                  <c:v>284.42999999999893</c:v>
                </c:pt>
                <c:pt idx="1241">
                  <c:v>284.42999999999893</c:v>
                </c:pt>
                <c:pt idx="1242">
                  <c:v>289.41999999999899</c:v>
                </c:pt>
                <c:pt idx="1243">
                  <c:v>299.39999999999969</c:v>
                </c:pt>
                <c:pt idx="1244">
                  <c:v>299.39999999999969</c:v>
                </c:pt>
                <c:pt idx="1245">
                  <c:v>299.39999999999969</c:v>
                </c:pt>
                <c:pt idx="1246">
                  <c:v>299.39999999999969</c:v>
                </c:pt>
                <c:pt idx="1247">
                  <c:v>299.39999999999969</c:v>
                </c:pt>
                <c:pt idx="1248">
                  <c:v>301.89</c:v>
                </c:pt>
                <c:pt idx="1249">
                  <c:v>304.39</c:v>
                </c:pt>
                <c:pt idx="1250">
                  <c:v>301.89</c:v>
                </c:pt>
                <c:pt idx="1251">
                  <c:v>301.89</c:v>
                </c:pt>
                <c:pt idx="1252">
                  <c:v>306.39</c:v>
                </c:pt>
                <c:pt idx="1253">
                  <c:v>306.39</c:v>
                </c:pt>
                <c:pt idx="1254">
                  <c:v>306.39</c:v>
                </c:pt>
                <c:pt idx="1255">
                  <c:v>314.37</c:v>
                </c:pt>
                <c:pt idx="1256">
                  <c:v>329.34000000000032</c:v>
                </c:pt>
                <c:pt idx="1257">
                  <c:v>343.31</c:v>
                </c:pt>
                <c:pt idx="1258">
                  <c:v>344.31</c:v>
                </c:pt>
                <c:pt idx="1259">
                  <c:v>349.3</c:v>
                </c:pt>
                <c:pt idx="1260">
                  <c:v>349.3</c:v>
                </c:pt>
                <c:pt idx="1261">
                  <c:v>349.3</c:v>
                </c:pt>
                <c:pt idx="1262">
                  <c:v>334.33</c:v>
                </c:pt>
                <c:pt idx="1263">
                  <c:v>329.34000000000032</c:v>
                </c:pt>
                <c:pt idx="1264">
                  <c:v>321.86</c:v>
                </c:pt>
                <c:pt idx="1265">
                  <c:v>339.32</c:v>
                </c:pt>
                <c:pt idx="1266">
                  <c:v>341.81</c:v>
                </c:pt>
                <c:pt idx="1267">
                  <c:v>341.81</c:v>
                </c:pt>
                <c:pt idx="1268">
                  <c:v>341.81</c:v>
                </c:pt>
                <c:pt idx="1269">
                  <c:v>341.81</c:v>
                </c:pt>
                <c:pt idx="1270">
                  <c:v>334.33</c:v>
                </c:pt>
                <c:pt idx="1271">
                  <c:v>329.34000000000032</c:v>
                </c:pt>
                <c:pt idx="1272">
                  <c:v>331.83</c:v>
                </c:pt>
                <c:pt idx="1273">
                  <c:v>324.35000000000002</c:v>
                </c:pt>
                <c:pt idx="1274">
                  <c:v>324.35000000000002</c:v>
                </c:pt>
                <c:pt idx="1275">
                  <c:v>324.35000000000002</c:v>
                </c:pt>
                <c:pt idx="1276">
                  <c:v>324.35000000000002</c:v>
                </c:pt>
                <c:pt idx="1277">
                  <c:v>324.35000000000002</c:v>
                </c:pt>
                <c:pt idx="1278">
                  <c:v>304.39</c:v>
                </c:pt>
                <c:pt idx="1279">
                  <c:v>309.38</c:v>
                </c:pt>
                <c:pt idx="1280">
                  <c:v>309.38</c:v>
                </c:pt>
                <c:pt idx="1281">
                  <c:v>309.38</c:v>
                </c:pt>
                <c:pt idx="1282">
                  <c:v>309.38</c:v>
                </c:pt>
                <c:pt idx="1283">
                  <c:v>309.38</c:v>
                </c:pt>
                <c:pt idx="1284">
                  <c:v>294.41000000000003</c:v>
                </c:pt>
                <c:pt idx="1285">
                  <c:v>279.44</c:v>
                </c:pt>
                <c:pt idx="1286">
                  <c:v>299.39999999999969</c:v>
                </c:pt>
                <c:pt idx="1287">
                  <c:v>124.8</c:v>
                </c:pt>
                <c:pt idx="1288">
                  <c:v>124.8</c:v>
                </c:pt>
                <c:pt idx="1289">
                  <c:v>124.8</c:v>
                </c:pt>
                <c:pt idx="1290">
                  <c:v>115.2</c:v>
                </c:pt>
                <c:pt idx="1291">
                  <c:v>105.6</c:v>
                </c:pt>
                <c:pt idx="1292">
                  <c:v>84.48</c:v>
                </c:pt>
                <c:pt idx="1293">
                  <c:v>90.240000000000023</c:v>
                </c:pt>
                <c:pt idx="1294">
                  <c:v>105.6</c:v>
                </c:pt>
                <c:pt idx="1295">
                  <c:v>105.6</c:v>
                </c:pt>
                <c:pt idx="1296">
                  <c:v>105.6</c:v>
                </c:pt>
                <c:pt idx="1297">
                  <c:v>105.6</c:v>
                </c:pt>
                <c:pt idx="1298">
                  <c:v>96</c:v>
                </c:pt>
                <c:pt idx="1299">
                  <c:v>91.2</c:v>
                </c:pt>
                <c:pt idx="1300">
                  <c:v>102.72</c:v>
                </c:pt>
                <c:pt idx="1301">
                  <c:v>105.6</c:v>
                </c:pt>
                <c:pt idx="1302">
                  <c:v>105.6</c:v>
                </c:pt>
                <c:pt idx="1303">
                  <c:v>105.6</c:v>
                </c:pt>
                <c:pt idx="1304">
                  <c:v>105.6</c:v>
                </c:pt>
                <c:pt idx="1305">
                  <c:v>110.4</c:v>
                </c:pt>
                <c:pt idx="1306">
                  <c:v>112.32</c:v>
                </c:pt>
                <c:pt idx="1307">
                  <c:v>129.36000000000001</c:v>
                </c:pt>
                <c:pt idx="1308">
                  <c:v>137.19999999999999</c:v>
                </c:pt>
                <c:pt idx="1309">
                  <c:v>137.19999999999999</c:v>
                </c:pt>
                <c:pt idx="1310">
                  <c:v>137.19999999999999</c:v>
                </c:pt>
                <c:pt idx="1311">
                  <c:v>147</c:v>
                </c:pt>
                <c:pt idx="1312">
                  <c:v>165.62</c:v>
                </c:pt>
                <c:pt idx="1313">
                  <c:v>147</c:v>
                </c:pt>
                <c:pt idx="1314">
                  <c:v>151.9</c:v>
                </c:pt>
                <c:pt idx="1315">
                  <c:v>151.9</c:v>
                </c:pt>
                <c:pt idx="1316">
                  <c:v>151.9</c:v>
                </c:pt>
                <c:pt idx="1317">
                  <c:v>151.9</c:v>
                </c:pt>
                <c:pt idx="1318">
                  <c:v>147</c:v>
                </c:pt>
                <c:pt idx="1319">
                  <c:v>147</c:v>
                </c:pt>
                <c:pt idx="1320">
                  <c:v>153.86000000000001</c:v>
                </c:pt>
                <c:pt idx="1321">
                  <c:v>147</c:v>
                </c:pt>
                <c:pt idx="1322">
                  <c:v>147</c:v>
                </c:pt>
                <c:pt idx="1323">
                  <c:v>147</c:v>
                </c:pt>
                <c:pt idx="1324">
                  <c:v>147</c:v>
                </c:pt>
                <c:pt idx="1325">
                  <c:v>142.1</c:v>
                </c:pt>
                <c:pt idx="1326">
                  <c:v>132.30000000000001</c:v>
                </c:pt>
                <c:pt idx="1327">
                  <c:v>142.1</c:v>
                </c:pt>
                <c:pt idx="1328">
                  <c:v>142.1</c:v>
                </c:pt>
                <c:pt idx="1329">
                  <c:v>142.1</c:v>
                </c:pt>
                <c:pt idx="1330">
                  <c:v>142.1</c:v>
                </c:pt>
                <c:pt idx="1331">
                  <c:v>142.1</c:v>
                </c:pt>
                <c:pt idx="1332">
                  <c:v>137.19999999999999</c:v>
                </c:pt>
                <c:pt idx="1333">
                  <c:v>137.19999999999999</c:v>
                </c:pt>
                <c:pt idx="1334">
                  <c:v>137.19999999999999</c:v>
                </c:pt>
                <c:pt idx="1335">
                  <c:v>137.19999999999999</c:v>
                </c:pt>
                <c:pt idx="1336">
                  <c:v>137.19999999999999</c:v>
                </c:pt>
                <c:pt idx="1337">
                  <c:v>137.19999999999999</c:v>
                </c:pt>
                <c:pt idx="1338">
                  <c:v>137.19999999999999</c:v>
                </c:pt>
                <c:pt idx="1339">
                  <c:v>137.19999999999999</c:v>
                </c:pt>
                <c:pt idx="1340">
                  <c:v>137.19999999999999</c:v>
                </c:pt>
                <c:pt idx="1341">
                  <c:v>149.44999999999999</c:v>
                </c:pt>
                <c:pt idx="1342">
                  <c:v>156.80000000000001</c:v>
                </c:pt>
                <c:pt idx="1343">
                  <c:v>151.9</c:v>
                </c:pt>
                <c:pt idx="1344">
                  <c:v>151.9</c:v>
                </c:pt>
                <c:pt idx="1345">
                  <c:v>151.9</c:v>
                </c:pt>
                <c:pt idx="1346">
                  <c:v>151.9</c:v>
                </c:pt>
                <c:pt idx="1347">
                  <c:v>147</c:v>
                </c:pt>
                <c:pt idx="1348">
                  <c:v>147</c:v>
                </c:pt>
                <c:pt idx="1349">
                  <c:v>156.80000000000001</c:v>
                </c:pt>
                <c:pt idx="1350">
                  <c:v>176.4</c:v>
                </c:pt>
                <c:pt idx="1351">
                  <c:v>176.4</c:v>
                </c:pt>
                <c:pt idx="1352">
                  <c:v>176.4</c:v>
                </c:pt>
                <c:pt idx="1353">
                  <c:v>166.6</c:v>
                </c:pt>
                <c:pt idx="1354">
                  <c:v>156.80000000000001</c:v>
                </c:pt>
                <c:pt idx="1355">
                  <c:v>156.80000000000001</c:v>
                </c:pt>
                <c:pt idx="1356">
                  <c:v>142.1</c:v>
                </c:pt>
                <c:pt idx="1357">
                  <c:v>132.30000000000001</c:v>
                </c:pt>
                <c:pt idx="1358">
                  <c:v>132.30000000000001</c:v>
                </c:pt>
                <c:pt idx="1359">
                  <c:v>132.30000000000001</c:v>
                </c:pt>
                <c:pt idx="1360">
                  <c:v>132.30000000000001</c:v>
                </c:pt>
                <c:pt idx="1361">
                  <c:v>137.19999999999999</c:v>
                </c:pt>
                <c:pt idx="1362">
                  <c:v>137.19999999999999</c:v>
                </c:pt>
                <c:pt idx="1363">
                  <c:v>142.1</c:v>
                </c:pt>
                <c:pt idx="1364">
                  <c:v>151.9</c:v>
                </c:pt>
                <c:pt idx="1365">
                  <c:v>151.9</c:v>
                </c:pt>
                <c:pt idx="1366">
                  <c:v>151.9</c:v>
                </c:pt>
                <c:pt idx="1367">
                  <c:v>151.9</c:v>
                </c:pt>
                <c:pt idx="1368">
                  <c:v>151.9</c:v>
                </c:pt>
                <c:pt idx="1369">
                  <c:v>147</c:v>
                </c:pt>
                <c:pt idx="1370">
                  <c:v>142.1</c:v>
                </c:pt>
                <c:pt idx="1371">
                  <c:v>137.19999999999999</c:v>
                </c:pt>
                <c:pt idx="1372">
                  <c:v>137.19999999999999</c:v>
                </c:pt>
                <c:pt idx="1373">
                  <c:v>137.19999999999999</c:v>
                </c:pt>
                <c:pt idx="1374">
                  <c:v>124.95</c:v>
                </c:pt>
                <c:pt idx="1375">
                  <c:v>127.4</c:v>
                </c:pt>
                <c:pt idx="1376">
                  <c:v>127.4</c:v>
                </c:pt>
                <c:pt idx="1377">
                  <c:v>132.30000000000001</c:v>
                </c:pt>
                <c:pt idx="1378">
                  <c:v>132.30000000000001</c:v>
                </c:pt>
                <c:pt idx="1379">
                  <c:v>132.30000000000001</c:v>
                </c:pt>
                <c:pt idx="1380">
                  <c:v>132.30000000000001</c:v>
                </c:pt>
                <c:pt idx="1381">
                  <c:v>127.4</c:v>
                </c:pt>
                <c:pt idx="1382">
                  <c:v>127.4</c:v>
                </c:pt>
                <c:pt idx="1383">
                  <c:v>132.30000000000001</c:v>
                </c:pt>
                <c:pt idx="1384">
                  <c:v>129.36000000000001</c:v>
                </c:pt>
                <c:pt idx="1385">
                  <c:v>131.32000000000087</c:v>
                </c:pt>
                <c:pt idx="1386">
                  <c:v>131.32000000000087</c:v>
                </c:pt>
                <c:pt idx="1387">
                  <c:v>131.32000000000087</c:v>
                </c:pt>
                <c:pt idx="1388">
                  <c:v>132.30000000000001</c:v>
                </c:pt>
                <c:pt idx="1389">
                  <c:v>141.43</c:v>
                </c:pt>
                <c:pt idx="1390">
                  <c:v>188.57</c:v>
                </c:pt>
                <c:pt idx="1391">
                  <c:v>198.5</c:v>
                </c:pt>
                <c:pt idx="1392">
                  <c:v>188.57</c:v>
                </c:pt>
                <c:pt idx="1393">
                  <c:v>188.57</c:v>
                </c:pt>
                <c:pt idx="1394">
                  <c:v>188.57</c:v>
                </c:pt>
                <c:pt idx="1395">
                  <c:v>173.69</c:v>
                </c:pt>
                <c:pt idx="1396">
                  <c:v>173.69</c:v>
                </c:pt>
                <c:pt idx="1397">
                  <c:v>173.69</c:v>
                </c:pt>
                <c:pt idx="1398">
                  <c:v>173.69</c:v>
                </c:pt>
                <c:pt idx="1399">
                  <c:v>173.69</c:v>
                </c:pt>
                <c:pt idx="1400">
                  <c:v>173.69</c:v>
                </c:pt>
                <c:pt idx="1401">
                  <c:v>173.69</c:v>
                </c:pt>
                <c:pt idx="1402">
                  <c:v>173.69</c:v>
                </c:pt>
                <c:pt idx="1403">
                  <c:v>173.69</c:v>
                </c:pt>
                <c:pt idx="1404">
                  <c:v>191.06</c:v>
                </c:pt>
                <c:pt idx="1405">
                  <c:v>178.65</c:v>
                </c:pt>
                <c:pt idx="1406">
                  <c:v>158.80000000000001</c:v>
                </c:pt>
                <c:pt idx="1407">
                  <c:v>158.80000000000001</c:v>
                </c:pt>
                <c:pt idx="1408">
                  <c:v>158.80000000000001</c:v>
                </c:pt>
                <c:pt idx="1409">
                  <c:v>148.88000000000127</c:v>
                </c:pt>
                <c:pt idx="1410">
                  <c:v>148.88000000000127</c:v>
                </c:pt>
                <c:pt idx="1411">
                  <c:v>153.84</c:v>
                </c:pt>
                <c:pt idx="1412">
                  <c:v>173.69</c:v>
                </c:pt>
                <c:pt idx="1413">
                  <c:v>173.69</c:v>
                </c:pt>
                <c:pt idx="1414">
                  <c:v>173.69</c:v>
                </c:pt>
                <c:pt idx="1415">
                  <c:v>173.69</c:v>
                </c:pt>
                <c:pt idx="1416">
                  <c:v>173.69</c:v>
                </c:pt>
                <c:pt idx="1417">
                  <c:v>173.69</c:v>
                </c:pt>
                <c:pt idx="1418">
                  <c:v>173.69</c:v>
                </c:pt>
                <c:pt idx="1419">
                  <c:v>173.69</c:v>
                </c:pt>
                <c:pt idx="1420">
                  <c:v>168.72</c:v>
                </c:pt>
                <c:pt idx="1421">
                  <c:v>168.72</c:v>
                </c:pt>
                <c:pt idx="1422">
                  <c:v>168.72</c:v>
                </c:pt>
                <c:pt idx="1423">
                  <c:v>168.72</c:v>
                </c:pt>
                <c:pt idx="1424">
                  <c:v>168.72</c:v>
                </c:pt>
                <c:pt idx="1425">
                  <c:v>166.23999999999998</c:v>
                </c:pt>
                <c:pt idx="1426">
                  <c:v>166.23999999999998</c:v>
                </c:pt>
                <c:pt idx="1427">
                  <c:v>166.23999999999998</c:v>
                </c:pt>
                <c:pt idx="1428">
                  <c:v>166.23999999999998</c:v>
                </c:pt>
                <c:pt idx="1429">
                  <c:v>166.23999999999998</c:v>
                </c:pt>
                <c:pt idx="1430">
                  <c:v>163.76</c:v>
                </c:pt>
                <c:pt idx="1431">
                  <c:v>161.28</c:v>
                </c:pt>
                <c:pt idx="1432">
                  <c:v>161.28</c:v>
                </c:pt>
                <c:pt idx="1433">
                  <c:v>153.84</c:v>
                </c:pt>
                <c:pt idx="1434">
                  <c:v>153.84</c:v>
                </c:pt>
                <c:pt idx="1435">
                  <c:v>153.84</c:v>
                </c:pt>
                <c:pt idx="1436">
                  <c:v>153.84</c:v>
                </c:pt>
                <c:pt idx="1437">
                  <c:v>153.84</c:v>
                </c:pt>
                <c:pt idx="1438">
                  <c:v>148.88000000000127</c:v>
                </c:pt>
                <c:pt idx="1439">
                  <c:v>148.88000000000127</c:v>
                </c:pt>
                <c:pt idx="1440">
                  <c:v>148.88000000000127</c:v>
                </c:pt>
                <c:pt idx="1441">
                  <c:v>146.39000000000001</c:v>
                </c:pt>
                <c:pt idx="1442">
                  <c:v>146.39000000000001</c:v>
                </c:pt>
                <c:pt idx="1443">
                  <c:v>146.39000000000001</c:v>
                </c:pt>
                <c:pt idx="1444">
                  <c:v>146.39000000000001</c:v>
                </c:pt>
                <c:pt idx="1445">
                  <c:v>151.36000000000001</c:v>
                </c:pt>
                <c:pt idx="1446">
                  <c:v>151.36000000000001</c:v>
                </c:pt>
                <c:pt idx="1447">
                  <c:v>151.36000000000001</c:v>
                </c:pt>
                <c:pt idx="1448">
                  <c:v>151.36000000000001</c:v>
                </c:pt>
                <c:pt idx="1449">
                  <c:v>151.36000000000001</c:v>
                </c:pt>
                <c:pt idx="1450">
                  <c:v>151.36000000000001</c:v>
                </c:pt>
                <c:pt idx="1451">
                  <c:v>148.88000000000127</c:v>
                </c:pt>
                <c:pt idx="1452">
                  <c:v>213.39000000000001</c:v>
                </c:pt>
                <c:pt idx="1453">
                  <c:v>213.39000000000001</c:v>
                </c:pt>
                <c:pt idx="1454">
                  <c:v>213.39000000000001</c:v>
                </c:pt>
                <c:pt idx="1455">
                  <c:v>213.39000000000001</c:v>
                </c:pt>
                <c:pt idx="1456">
                  <c:v>213.39000000000001</c:v>
                </c:pt>
                <c:pt idx="1457">
                  <c:v>213.39000000000001</c:v>
                </c:pt>
                <c:pt idx="1458">
                  <c:v>203.46</c:v>
                </c:pt>
                <c:pt idx="1459">
                  <c:v>203.46</c:v>
                </c:pt>
                <c:pt idx="1460">
                  <c:v>203.46</c:v>
                </c:pt>
                <c:pt idx="1461">
                  <c:v>203.46</c:v>
                </c:pt>
                <c:pt idx="1462">
                  <c:v>215</c:v>
                </c:pt>
                <c:pt idx="1463">
                  <c:v>215</c:v>
                </c:pt>
                <c:pt idx="1464">
                  <c:v>215</c:v>
                </c:pt>
                <c:pt idx="1465">
                  <c:v>209</c:v>
                </c:pt>
                <c:pt idx="1466">
                  <c:v>205</c:v>
                </c:pt>
                <c:pt idx="1467">
                  <c:v>205</c:v>
                </c:pt>
                <c:pt idx="1468">
                  <c:v>187.5</c:v>
                </c:pt>
                <c:pt idx="1469">
                  <c:v>187.5</c:v>
                </c:pt>
                <c:pt idx="1470">
                  <c:v>187.5</c:v>
                </c:pt>
                <c:pt idx="1471">
                  <c:v>187.5</c:v>
                </c:pt>
                <c:pt idx="1472">
                  <c:v>182.5</c:v>
                </c:pt>
                <c:pt idx="1473">
                  <c:v>185</c:v>
                </c:pt>
                <c:pt idx="1474">
                  <c:v>180</c:v>
                </c:pt>
                <c:pt idx="1475">
                  <c:v>177.5</c:v>
                </c:pt>
                <c:pt idx="1476">
                  <c:v>165</c:v>
                </c:pt>
                <c:pt idx="1477">
                  <c:v>165</c:v>
                </c:pt>
                <c:pt idx="1478">
                  <c:v>165</c:v>
                </c:pt>
                <c:pt idx="1479">
                  <c:v>165</c:v>
                </c:pt>
                <c:pt idx="1480">
                  <c:v>157.5</c:v>
                </c:pt>
                <c:pt idx="1481">
                  <c:v>145</c:v>
                </c:pt>
                <c:pt idx="1482">
                  <c:v>137.5</c:v>
                </c:pt>
                <c:pt idx="1483">
                  <c:v>135</c:v>
                </c:pt>
                <c:pt idx="1484">
                  <c:v>135</c:v>
                </c:pt>
                <c:pt idx="1485">
                  <c:v>135</c:v>
                </c:pt>
                <c:pt idx="1486">
                  <c:v>130</c:v>
                </c:pt>
                <c:pt idx="1487">
                  <c:v>130</c:v>
                </c:pt>
                <c:pt idx="1488">
                  <c:v>120</c:v>
                </c:pt>
                <c:pt idx="1489">
                  <c:v>120</c:v>
                </c:pt>
                <c:pt idx="1490">
                  <c:v>117.5</c:v>
                </c:pt>
                <c:pt idx="1491">
                  <c:v>117.5</c:v>
                </c:pt>
                <c:pt idx="1492">
                  <c:v>117.5</c:v>
                </c:pt>
                <c:pt idx="1493">
                  <c:v>117.5</c:v>
                </c:pt>
                <c:pt idx="1494">
                  <c:v>117.5</c:v>
                </c:pt>
                <c:pt idx="1495">
                  <c:v>115</c:v>
                </c:pt>
                <c:pt idx="1496">
                  <c:v>110</c:v>
                </c:pt>
                <c:pt idx="1497">
                  <c:v>107.5</c:v>
                </c:pt>
                <c:pt idx="1498">
                  <c:v>107.5</c:v>
                </c:pt>
                <c:pt idx="1499">
                  <c:v>107.5</c:v>
                </c:pt>
                <c:pt idx="1500">
                  <c:v>102</c:v>
                </c:pt>
                <c:pt idx="1501">
                  <c:v>105.5</c:v>
                </c:pt>
                <c:pt idx="1502">
                  <c:v>103</c:v>
                </c:pt>
                <c:pt idx="1503">
                  <c:v>99</c:v>
                </c:pt>
                <c:pt idx="1504">
                  <c:v>97.5</c:v>
                </c:pt>
                <c:pt idx="1505">
                  <c:v>97.5</c:v>
                </c:pt>
                <c:pt idx="1506">
                  <c:v>97.5</c:v>
                </c:pt>
                <c:pt idx="1507">
                  <c:v>97.5</c:v>
                </c:pt>
                <c:pt idx="1508">
                  <c:v>100</c:v>
                </c:pt>
                <c:pt idx="1509">
                  <c:v>100</c:v>
                </c:pt>
                <c:pt idx="1510">
                  <c:v>99</c:v>
                </c:pt>
                <c:pt idx="1511">
                  <c:v>87.5</c:v>
                </c:pt>
                <c:pt idx="1512">
                  <c:v>87.5</c:v>
                </c:pt>
                <c:pt idx="1513">
                  <c:v>87.5</c:v>
                </c:pt>
                <c:pt idx="1514">
                  <c:v>85</c:v>
                </c:pt>
                <c:pt idx="1515">
                  <c:v>85</c:v>
                </c:pt>
                <c:pt idx="1516">
                  <c:v>79</c:v>
                </c:pt>
                <c:pt idx="1517">
                  <c:v>75</c:v>
                </c:pt>
                <c:pt idx="1518">
                  <c:v>74</c:v>
                </c:pt>
                <c:pt idx="1519">
                  <c:v>74</c:v>
                </c:pt>
                <c:pt idx="1520">
                  <c:v>74</c:v>
                </c:pt>
                <c:pt idx="1521">
                  <c:v>71</c:v>
                </c:pt>
                <c:pt idx="1522">
                  <c:v>71</c:v>
                </c:pt>
                <c:pt idx="1523">
                  <c:v>70</c:v>
                </c:pt>
                <c:pt idx="1524">
                  <c:v>70</c:v>
                </c:pt>
                <c:pt idx="1525">
                  <c:v>70</c:v>
                </c:pt>
                <c:pt idx="1526">
                  <c:v>70</c:v>
                </c:pt>
                <c:pt idx="1527">
                  <c:v>70</c:v>
                </c:pt>
                <c:pt idx="1528">
                  <c:v>65</c:v>
                </c:pt>
                <c:pt idx="1529">
                  <c:v>61</c:v>
                </c:pt>
                <c:pt idx="1530">
                  <c:v>67.5</c:v>
                </c:pt>
                <c:pt idx="1531">
                  <c:v>66</c:v>
                </c:pt>
                <c:pt idx="1532">
                  <c:v>68.5</c:v>
                </c:pt>
                <c:pt idx="1533">
                  <c:v>68.5</c:v>
                </c:pt>
                <c:pt idx="1534">
                  <c:v>68.5</c:v>
                </c:pt>
                <c:pt idx="1535">
                  <c:v>68.5</c:v>
                </c:pt>
                <c:pt idx="1536">
                  <c:v>68.5</c:v>
                </c:pt>
                <c:pt idx="1537">
                  <c:v>68.5</c:v>
                </c:pt>
                <c:pt idx="1538">
                  <c:v>68.5</c:v>
                </c:pt>
                <c:pt idx="1539">
                  <c:v>68.5</c:v>
                </c:pt>
                <c:pt idx="1540">
                  <c:v>68.5</c:v>
                </c:pt>
                <c:pt idx="1541">
                  <c:v>68.5</c:v>
                </c:pt>
                <c:pt idx="1542">
                  <c:v>65</c:v>
                </c:pt>
                <c:pt idx="1543">
                  <c:v>65</c:v>
                </c:pt>
                <c:pt idx="1544">
                  <c:v>63</c:v>
                </c:pt>
                <c:pt idx="1545">
                  <c:v>63</c:v>
                </c:pt>
                <c:pt idx="1546">
                  <c:v>63</c:v>
                </c:pt>
                <c:pt idx="1547">
                  <c:v>63</c:v>
                </c:pt>
                <c:pt idx="1548">
                  <c:v>63</c:v>
                </c:pt>
                <c:pt idx="1549">
                  <c:v>63</c:v>
                </c:pt>
                <c:pt idx="1550">
                  <c:v>63</c:v>
                </c:pt>
                <c:pt idx="1551">
                  <c:v>63</c:v>
                </c:pt>
                <c:pt idx="1552">
                  <c:v>63</c:v>
                </c:pt>
                <c:pt idx="1553">
                  <c:v>60</c:v>
                </c:pt>
                <c:pt idx="1554">
                  <c:v>60</c:v>
                </c:pt>
                <c:pt idx="1555">
                  <c:v>60</c:v>
                </c:pt>
                <c:pt idx="1556">
                  <c:v>60</c:v>
                </c:pt>
                <c:pt idx="1557">
                  <c:v>57.5</c:v>
                </c:pt>
                <c:pt idx="1558">
                  <c:v>57.5</c:v>
                </c:pt>
                <c:pt idx="1559">
                  <c:v>60</c:v>
                </c:pt>
                <c:pt idx="1560">
                  <c:v>60</c:v>
                </c:pt>
                <c:pt idx="1561">
                  <c:v>60</c:v>
                </c:pt>
                <c:pt idx="1562">
                  <c:v>60</c:v>
                </c:pt>
                <c:pt idx="1563">
                  <c:v>60</c:v>
                </c:pt>
                <c:pt idx="1564">
                  <c:v>60</c:v>
                </c:pt>
                <c:pt idx="1565">
                  <c:v>60</c:v>
                </c:pt>
                <c:pt idx="1566">
                  <c:v>62</c:v>
                </c:pt>
                <c:pt idx="1567">
                  <c:v>63</c:v>
                </c:pt>
                <c:pt idx="1568">
                  <c:v>63</c:v>
                </c:pt>
                <c:pt idx="1569">
                  <c:v>63</c:v>
                </c:pt>
                <c:pt idx="1570">
                  <c:v>63</c:v>
                </c:pt>
                <c:pt idx="1571">
                  <c:v>64</c:v>
                </c:pt>
                <c:pt idx="1572">
                  <c:v>65</c:v>
                </c:pt>
                <c:pt idx="1573">
                  <c:v>65</c:v>
                </c:pt>
                <c:pt idx="1574">
                  <c:v>65</c:v>
                </c:pt>
                <c:pt idx="1575">
                  <c:v>65</c:v>
                </c:pt>
                <c:pt idx="1576">
                  <c:v>65</c:v>
                </c:pt>
                <c:pt idx="1577">
                  <c:v>67</c:v>
                </c:pt>
                <c:pt idx="1578">
                  <c:v>67</c:v>
                </c:pt>
                <c:pt idx="1579">
                  <c:v>67</c:v>
                </c:pt>
                <c:pt idx="1580">
                  <c:v>67</c:v>
                </c:pt>
                <c:pt idx="1581">
                  <c:v>67</c:v>
                </c:pt>
                <c:pt idx="1582">
                  <c:v>67</c:v>
                </c:pt>
                <c:pt idx="1583">
                  <c:v>67</c:v>
                </c:pt>
                <c:pt idx="1584">
                  <c:v>67</c:v>
                </c:pt>
                <c:pt idx="1585">
                  <c:v>70</c:v>
                </c:pt>
                <c:pt idx="1586">
                  <c:v>73</c:v>
                </c:pt>
                <c:pt idx="1587">
                  <c:v>74</c:v>
                </c:pt>
                <c:pt idx="1588">
                  <c:v>76</c:v>
                </c:pt>
                <c:pt idx="1589">
                  <c:v>76</c:v>
                </c:pt>
                <c:pt idx="1590">
                  <c:v>76</c:v>
                </c:pt>
                <c:pt idx="1591">
                  <c:v>73.5</c:v>
                </c:pt>
                <c:pt idx="1592">
                  <c:v>67.5</c:v>
                </c:pt>
                <c:pt idx="1593">
                  <c:v>65</c:v>
                </c:pt>
                <c:pt idx="1594">
                  <c:v>67.5</c:v>
                </c:pt>
                <c:pt idx="1595">
                  <c:v>67.5</c:v>
                </c:pt>
                <c:pt idx="1596">
                  <c:v>67.5</c:v>
                </c:pt>
                <c:pt idx="1597">
                  <c:v>67.5</c:v>
                </c:pt>
                <c:pt idx="1598">
                  <c:v>67.5</c:v>
                </c:pt>
                <c:pt idx="1599">
                  <c:v>67.5</c:v>
                </c:pt>
                <c:pt idx="1600">
                  <c:v>67.5</c:v>
                </c:pt>
                <c:pt idx="1601">
                  <c:v>69.5</c:v>
                </c:pt>
                <c:pt idx="1602">
                  <c:v>70.5</c:v>
                </c:pt>
                <c:pt idx="1603">
                  <c:v>70.5</c:v>
                </c:pt>
                <c:pt idx="1604">
                  <c:v>70.5</c:v>
                </c:pt>
                <c:pt idx="1605">
                  <c:v>70.5</c:v>
                </c:pt>
                <c:pt idx="1606">
                  <c:v>70.5</c:v>
                </c:pt>
                <c:pt idx="1607">
                  <c:v>70</c:v>
                </c:pt>
                <c:pt idx="1608">
                  <c:v>70</c:v>
                </c:pt>
                <c:pt idx="1609">
                  <c:v>70</c:v>
                </c:pt>
                <c:pt idx="1610">
                  <c:v>70</c:v>
                </c:pt>
                <c:pt idx="1611">
                  <c:v>70</c:v>
                </c:pt>
                <c:pt idx="1612">
                  <c:v>69.5</c:v>
                </c:pt>
                <c:pt idx="1613">
                  <c:v>69.5</c:v>
                </c:pt>
                <c:pt idx="1614">
                  <c:v>69.5</c:v>
                </c:pt>
                <c:pt idx="1615">
                  <c:v>70</c:v>
                </c:pt>
                <c:pt idx="1616">
                  <c:v>70</c:v>
                </c:pt>
                <c:pt idx="1617">
                  <c:v>70</c:v>
                </c:pt>
                <c:pt idx="1618">
                  <c:v>70</c:v>
                </c:pt>
                <c:pt idx="1619">
                  <c:v>72.5</c:v>
                </c:pt>
                <c:pt idx="1620">
                  <c:v>72.5</c:v>
                </c:pt>
                <c:pt idx="1621">
                  <c:v>72</c:v>
                </c:pt>
                <c:pt idx="1622">
                  <c:v>72</c:v>
                </c:pt>
                <c:pt idx="1623">
                  <c:v>70</c:v>
                </c:pt>
                <c:pt idx="1624">
                  <c:v>70</c:v>
                </c:pt>
                <c:pt idx="1625">
                  <c:v>70</c:v>
                </c:pt>
                <c:pt idx="1626">
                  <c:v>70</c:v>
                </c:pt>
                <c:pt idx="1627">
                  <c:v>71</c:v>
                </c:pt>
                <c:pt idx="1628">
                  <c:v>72</c:v>
                </c:pt>
                <c:pt idx="1629">
                  <c:v>72.5</c:v>
                </c:pt>
                <c:pt idx="1630">
                  <c:v>72.5</c:v>
                </c:pt>
                <c:pt idx="1631">
                  <c:v>72.5</c:v>
                </c:pt>
                <c:pt idx="1632">
                  <c:v>72.5</c:v>
                </c:pt>
                <c:pt idx="1633">
                  <c:v>72.5</c:v>
                </c:pt>
                <c:pt idx="1634">
                  <c:v>73</c:v>
                </c:pt>
                <c:pt idx="1635">
                  <c:v>73</c:v>
                </c:pt>
                <c:pt idx="1636">
                  <c:v>73</c:v>
                </c:pt>
                <c:pt idx="1637">
                  <c:v>73</c:v>
                </c:pt>
                <c:pt idx="1638">
                  <c:v>73</c:v>
                </c:pt>
                <c:pt idx="1639">
                  <c:v>73</c:v>
                </c:pt>
                <c:pt idx="1640">
                  <c:v>73</c:v>
                </c:pt>
                <c:pt idx="1641">
                  <c:v>71.75</c:v>
                </c:pt>
                <c:pt idx="1642">
                  <c:v>72</c:v>
                </c:pt>
                <c:pt idx="1643">
                  <c:v>72</c:v>
                </c:pt>
                <c:pt idx="1644">
                  <c:v>72</c:v>
                </c:pt>
                <c:pt idx="1645">
                  <c:v>72</c:v>
                </c:pt>
                <c:pt idx="1646">
                  <c:v>72</c:v>
                </c:pt>
                <c:pt idx="1647">
                  <c:v>72</c:v>
                </c:pt>
                <c:pt idx="1648">
                  <c:v>72</c:v>
                </c:pt>
                <c:pt idx="1649">
                  <c:v>72</c:v>
                </c:pt>
                <c:pt idx="1650">
                  <c:v>72</c:v>
                </c:pt>
                <c:pt idx="1651">
                  <c:v>72</c:v>
                </c:pt>
                <c:pt idx="1652">
                  <c:v>72</c:v>
                </c:pt>
                <c:pt idx="1653">
                  <c:v>72</c:v>
                </c:pt>
                <c:pt idx="1654">
                  <c:v>72.5</c:v>
                </c:pt>
                <c:pt idx="1655">
                  <c:v>72.5</c:v>
                </c:pt>
                <c:pt idx="1656">
                  <c:v>72</c:v>
                </c:pt>
                <c:pt idx="1657">
                  <c:v>70</c:v>
                </c:pt>
                <c:pt idx="1658">
                  <c:v>69.5</c:v>
                </c:pt>
                <c:pt idx="1659">
                  <c:v>69.5</c:v>
                </c:pt>
                <c:pt idx="1660">
                  <c:v>69.5</c:v>
                </c:pt>
                <c:pt idx="1661">
                  <c:v>69.5</c:v>
                </c:pt>
                <c:pt idx="1662">
                  <c:v>69.5</c:v>
                </c:pt>
                <c:pt idx="1663">
                  <c:v>67.5</c:v>
                </c:pt>
                <c:pt idx="1664">
                  <c:v>67.5</c:v>
                </c:pt>
                <c:pt idx="1665">
                  <c:v>68</c:v>
                </c:pt>
                <c:pt idx="1666">
                  <c:v>68</c:v>
                </c:pt>
                <c:pt idx="1667">
                  <c:v>68</c:v>
                </c:pt>
                <c:pt idx="1668">
                  <c:v>69.5</c:v>
                </c:pt>
                <c:pt idx="1669">
                  <c:v>69.5</c:v>
                </c:pt>
                <c:pt idx="1670">
                  <c:v>69</c:v>
                </c:pt>
                <c:pt idx="1671">
                  <c:v>69</c:v>
                </c:pt>
                <c:pt idx="1672">
                  <c:v>69</c:v>
                </c:pt>
                <c:pt idx="1673">
                  <c:v>69</c:v>
                </c:pt>
                <c:pt idx="1674">
                  <c:v>69</c:v>
                </c:pt>
                <c:pt idx="1675">
                  <c:v>69</c:v>
                </c:pt>
                <c:pt idx="1676">
                  <c:v>68</c:v>
                </c:pt>
                <c:pt idx="1677">
                  <c:v>68</c:v>
                </c:pt>
                <c:pt idx="1678">
                  <c:v>68</c:v>
                </c:pt>
                <c:pt idx="1679">
                  <c:v>70</c:v>
                </c:pt>
                <c:pt idx="1680">
                  <c:v>70</c:v>
                </c:pt>
                <c:pt idx="1681">
                  <c:v>70</c:v>
                </c:pt>
                <c:pt idx="1682">
                  <c:v>75</c:v>
                </c:pt>
                <c:pt idx="1683">
                  <c:v>75</c:v>
                </c:pt>
                <c:pt idx="1684">
                  <c:v>77</c:v>
                </c:pt>
                <c:pt idx="1685">
                  <c:v>77</c:v>
                </c:pt>
                <c:pt idx="1686">
                  <c:v>77</c:v>
                </c:pt>
                <c:pt idx="1687">
                  <c:v>77</c:v>
                </c:pt>
                <c:pt idx="1688">
                  <c:v>77</c:v>
                </c:pt>
                <c:pt idx="1689">
                  <c:v>77</c:v>
                </c:pt>
                <c:pt idx="1690">
                  <c:v>77</c:v>
                </c:pt>
                <c:pt idx="1691">
                  <c:v>79</c:v>
                </c:pt>
                <c:pt idx="1692">
                  <c:v>82.5</c:v>
                </c:pt>
                <c:pt idx="1693">
                  <c:v>84.75</c:v>
                </c:pt>
                <c:pt idx="1694">
                  <c:v>84.75</c:v>
                </c:pt>
                <c:pt idx="1695">
                  <c:v>84.75</c:v>
                </c:pt>
                <c:pt idx="1696">
                  <c:v>85</c:v>
                </c:pt>
                <c:pt idx="1697">
                  <c:v>85</c:v>
                </c:pt>
                <c:pt idx="1698">
                  <c:v>87</c:v>
                </c:pt>
                <c:pt idx="1699">
                  <c:v>87</c:v>
                </c:pt>
                <c:pt idx="1700">
                  <c:v>87</c:v>
                </c:pt>
                <c:pt idx="1701">
                  <c:v>87</c:v>
                </c:pt>
                <c:pt idx="1702">
                  <c:v>87</c:v>
                </c:pt>
                <c:pt idx="1703">
                  <c:v>86.5</c:v>
                </c:pt>
                <c:pt idx="1704">
                  <c:v>85</c:v>
                </c:pt>
                <c:pt idx="1705">
                  <c:v>82.5</c:v>
                </c:pt>
                <c:pt idx="1706">
                  <c:v>82.5</c:v>
                </c:pt>
                <c:pt idx="1707">
                  <c:v>82.5</c:v>
                </c:pt>
                <c:pt idx="1708">
                  <c:v>82.5</c:v>
                </c:pt>
                <c:pt idx="1709">
                  <c:v>82.5</c:v>
                </c:pt>
                <c:pt idx="1710">
                  <c:v>82.5</c:v>
                </c:pt>
                <c:pt idx="1711">
                  <c:v>82.5</c:v>
                </c:pt>
                <c:pt idx="1712">
                  <c:v>82.5</c:v>
                </c:pt>
                <c:pt idx="1713">
                  <c:v>82.5</c:v>
                </c:pt>
                <c:pt idx="1714">
                  <c:v>83</c:v>
                </c:pt>
                <c:pt idx="1715">
                  <c:v>83</c:v>
                </c:pt>
                <c:pt idx="1716">
                  <c:v>83</c:v>
                </c:pt>
                <c:pt idx="1717">
                  <c:v>83</c:v>
                </c:pt>
                <c:pt idx="1718">
                  <c:v>83</c:v>
                </c:pt>
                <c:pt idx="1719">
                  <c:v>83</c:v>
                </c:pt>
                <c:pt idx="1720">
                  <c:v>83</c:v>
                </c:pt>
                <c:pt idx="1721">
                  <c:v>85</c:v>
                </c:pt>
                <c:pt idx="1722">
                  <c:v>85</c:v>
                </c:pt>
                <c:pt idx="1723">
                  <c:v>85</c:v>
                </c:pt>
                <c:pt idx="1724">
                  <c:v>85</c:v>
                </c:pt>
                <c:pt idx="1725">
                  <c:v>85</c:v>
                </c:pt>
                <c:pt idx="1726">
                  <c:v>85</c:v>
                </c:pt>
                <c:pt idx="1727">
                  <c:v>85</c:v>
                </c:pt>
                <c:pt idx="1728">
                  <c:v>84</c:v>
                </c:pt>
                <c:pt idx="1729">
                  <c:v>84</c:v>
                </c:pt>
                <c:pt idx="1730">
                  <c:v>84</c:v>
                </c:pt>
                <c:pt idx="1731">
                  <c:v>84</c:v>
                </c:pt>
                <c:pt idx="1732">
                  <c:v>84</c:v>
                </c:pt>
                <c:pt idx="1733">
                  <c:v>84</c:v>
                </c:pt>
                <c:pt idx="1734">
                  <c:v>84</c:v>
                </c:pt>
                <c:pt idx="1735">
                  <c:v>85</c:v>
                </c:pt>
                <c:pt idx="1736">
                  <c:v>85</c:v>
                </c:pt>
                <c:pt idx="1737">
                  <c:v>85</c:v>
                </c:pt>
                <c:pt idx="1738">
                  <c:v>83</c:v>
                </c:pt>
                <c:pt idx="1739">
                  <c:v>81.5</c:v>
                </c:pt>
                <c:pt idx="1740">
                  <c:v>81.5</c:v>
                </c:pt>
                <c:pt idx="1741">
                  <c:v>81.5</c:v>
                </c:pt>
                <c:pt idx="1742">
                  <c:v>81.5</c:v>
                </c:pt>
                <c:pt idx="1743">
                  <c:v>81.5</c:v>
                </c:pt>
                <c:pt idx="1744">
                  <c:v>81.5</c:v>
                </c:pt>
                <c:pt idx="1745">
                  <c:v>81.5</c:v>
                </c:pt>
                <c:pt idx="1746">
                  <c:v>81.5</c:v>
                </c:pt>
                <c:pt idx="1747">
                  <c:v>83</c:v>
                </c:pt>
                <c:pt idx="1748">
                  <c:v>83</c:v>
                </c:pt>
                <c:pt idx="1749">
                  <c:v>83</c:v>
                </c:pt>
                <c:pt idx="1750">
                  <c:v>83</c:v>
                </c:pt>
                <c:pt idx="1751">
                  <c:v>83</c:v>
                </c:pt>
                <c:pt idx="1752">
                  <c:v>83</c:v>
                </c:pt>
                <c:pt idx="1753">
                  <c:v>83</c:v>
                </c:pt>
                <c:pt idx="1754">
                  <c:v>83</c:v>
                </c:pt>
                <c:pt idx="1755">
                  <c:v>83</c:v>
                </c:pt>
                <c:pt idx="1756">
                  <c:v>83</c:v>
                </c:pt>
                <c:pt idx="1757">
                  <c:v>83</c:v>
                </c:pt>
                <c:pt idx="1758">
                  <c:v>83</c:v>
                </c:pt>
                <c:pt idx="1759">
                  <c:v>83</c:v>
                </c:pt>
                <c:pt idx="1760">
                  <c:v>83</c:v>
                </c:pt>
                <c:pt idx="1761">
                  <c:v>83</c:v>
                </c:pt>
                <c:pt idx="1762">
                  <c:v>83</c:v>
                </c:pt>
                <c:pt idx="1763">
                  <c:v>83</c:v>
                </c:pt>
                <c:pt idx="1764">
                  <c:v>83</c:v>
                </c:pt>
                <c:pt idx="1765">
                  <c:v>83</c:v>
                </c:pt>
                <c:pt idx="1766">
                  <c:v>83</c:v>
                </c:pt>
                <c:pt idx="1767">
                  <c:v>83</c:v>
                </c:pt>
                <c:pt idx="1768">
                  <c:v>83</c:v>
                </c:pt>
                <c:pt idx="1769">
                  <c:v>83</c:v>
                </c:pt>
                <c:pt idx="1770">
                  <c:v>82</c:v>
                </c:pt>
                <c:pt idx="1771">
                  <c:v>82</c:v>
                </c:pt>
                <c:pt idx="1772">
                  <c:v>82</c:v>
                </c:pt>
                <c:pt idx="1773">
                  <c:v>82</c:v>
                </c:pt>
                <c:pt idx="1774">
                  <c:v>81</c:v>
                </c:pt>
                <c:pt idx="1775">
                  <c:v>73</c:v>
                </c:pt>
                <c:pt idx="1776">
                  <c:v>73</c:v>
                </c:pt>
                <c:pt idx="1777">
                  <c:v>73</c:v>
                </c:pt>
                <c:pt idx="1778">
                  <c:v>73</c:v>
                </c:pt>
                <c:pt idx="1779">
                  <c:v>73</c:v>
                </c:pt>
                <c:pt idx="1780">
                  <c:v>72</c:v>
                </c:pt>
                <c:pt idx="1781">
                  <c:v>70</c:v>
                </c:pt>
                <c:pt idx="1782">
                  <c:v>70</c:v>
                </c:pt>
                <c:pt idx="1783">
                  <c:v>70</c:v>
                </c:pt>
                <c:pt idx="1784">
                  <c:v>70</c:v>
                </c:pt>
                <c:pt idx="1785">
                  <c:v>70</c:v>
                </c:pt>
                <c:pt idx="1786">
                  <c:v>70</c:v>
                </c:pt>
                <c:pt idx="1787">
                  <c:v>70</c:v>
                </c:pt>
                <c:pt idx="1788">
                  <c:v>69</c:v>
                </c:pt>
                <c:pt idx="1789">
                  <c:v>69</c:v>
                </c:pt>
                <c:pt idx="1790">
                  <c:v>69</c:v>
                </c:pt>
                <c:pt idx="1791">
                  <c:v>69</c:v>
                </c:pt>
                <c:pt idx="1792">
                  <c:v>69</c:v>
                </c:pt>
                <c:pt idx="1793">
                  <c:v>69</c:v>
                </c:pt>
                <c:pt idx="1794">
                  <c:v>66</c:v>
                </c:pt>
                <c:pt idx="1795">
                  <c:v>65</c:v>
                </c:pt>
                <c:pt idx="1796">
                  <c:v>63</c:v>
                </c:pt>
                <c:pt idx="1797">
                  <c:v>63</c:v>
                </c:pt>
                <c:pt idx="1798">
                  <c:v>62</c:v>
                </c:pt>
                <c:pt idx="1799">
                  <c:v>62</c:v>
                </c:pt>
                <c:pt idx="1800">
                  <c:v>62</c:v>
                </c:pt>
                <c:pt idx="1801">
                  <c:v>62</c:v>
                </c:pt>
                <c:pt idx="1802">
                  <c:v>60</c:v>
                </c:pt>
                <c:pt idx="1803">
                  <c:v>60</c:v>
                </c:pt>
                <c:pt idx="1804">
                  <c:v>60</c:v>
                </c:pt>
                <c:pt idx="1805">
                  <c:v>60</c:v>
                </c:pt>
                <c:pt idx="1806">
                  <c:v>60</c:v>
                </c:pt>
                <c:pt idx="1807">
                  <c:v>60</c:v>
                </c:pt>
                <c:pt idx="1808">
                  <c:v>60</c:v>
                </c:pt>
                <c:pt idx="1809">
                  <c:v>60</c:v>
                </c:pt>
                <c:pt idx="1810">
                  <c:v>60</c:v>
                </c:pt>
                <c:pt idx="1811">
                  <c:v>58</c:v>
                </c:pt>
                <c:pt idx="1812">
                  <c:v>58</c:v>
                </c:pt>
                <c:pt idx="1813">
                  <c:v>58</c:v>
                </c:pt>
                <c:pt idx="1814">
                  <c:v>58</c:v>
                </c:pt>
                <c:pt idx="1815">
                  <c:v>58</c:v>
                </c:pt>
                <c:pt idx="1816">
                  <c:v>58</c:v>
                </c:pt>
                <c:pt idx="1817">
                  <c:v>55</c:v>
                </c:pt>
                <c:pt idx="1818">
                  <c:v>55</c:v>
                </c:pt>
                <c:pt idx="1819">
                  <c:v>55</c:v>
                </c:pt>
                <c:pt idx="1820">
                  <c:v>55</c:v>
                </c:pt>
                <c:pt idx="1821">
                  <c:v>55</c:v>
                </c:pt>
                <c:pt idx="1822">
                  <c:v>55</c:v>
                </c:pt>
                <c:pt idx="1823">
                  <c:v>55</c:v>
                </c:pt>
                <c:pt idx="1824">
                  <c:v>56</c:v>
                </c:pt>
                <c:pt idx="1825">
                  <c:v>56</c:v>
                </c:pt>
                <c:pt idx="1826" formatCode="&quot;$&quot;#,##0.00">
                  <c:v>60</c:v>
                </c:pt>
                <c:pt idx="1827" formatCode="&quot;$&quot;#,##0.00">
                  <c:v>50.285714285714285</c:v>
                </c:pt>
                <c:pt idx="1828" formatCode="&quot;$&quot;#,##0.00">
                  <c:v>53.5</c:v>
                </c:pt>
                <c:pt idx="1829" formatCode="&quot;$&quot;#,##0.00">
                  <c:v>49.5</c:v>
                </c:pt>
                <c:pt idx="1830" formatCode="&quot;$&quot;#,##0.00">
                  <c:v>51.07</c:v>
                </c:pt>
                <c:pt idx="1831" formatCode="&quot;$&quot;#,##0.00">
                  <c:v>53</c:v>
                </c:pt>
                <c:pt idx="1832" formatCode="&quot;$&quot;#,##0.00">
                  <c:v>59.37</c:v>
                </c:pt>
                <c:pt idx="1833" formatCode="&quot;$&quot;#,##0.00">
                  <c:v>59</c:v>
                </c:pt>
                <c:pt idx="1834" formatCode="&quot;$&quot;#,##0.00">
                  <c:v>60</c:v>
                </c:pt>
                <c:pt idx="1835" formatCode="&quot;$&quot;#,##0.00">
                  <c:v>63.13</c:v>
                </c:pt>
                <c:pt idx="1836" formatCode="&quot;$&quot;#,##0.00">
                  <c:v>63</c:v>
                </c:pt>
                <c:pt idx="1837" formatCode="&quot;$&quot;#,##0.00">
                  <c:v>63</c:v>
                </c:pt>
                <c:pt idx="1838" formatCode="&quot;$&quot;#,##0.00">
                  <c:v>66</c:v>
                </c:pt>
                <c:pt idx="1839" formatCode="&quot;$&quot;#,##0.00">
                  <c:v>68</c:v>
                </c:pt>
                <c:pt idx="1840" formatCode="&quot;$&quot;#,##0.00">
                  <c:v>75</c:v>
                </c:pt>
                <c:pt idx="1841" formatCode="&quot;$&quot;#,##0.00">
                  <c:v>68</c:v>
                </c:pt>
                <c:pt idx="1842" formatCode="&quot;$&quot;#,##0.00">
                  <c:v>75</c:v>
                </c:pt>
                <c:pt idx="1843" formatCode="&quot;$&quot;#,##0.00">
                  <c:v>81</c:v>
                </c:pt>
                <c:pt idx="1844" formatCode="&quot;$&quot;#,##0.00">
                  <c:v>71.430000000000007</c:v>
                </c:pt>
                <c:pt idx="1845" formatCode="&quot;$&quot;#,##0.00">
                  <c:v>81</c:v>
                </c:pt>
                <c:pt idx="1846" formatCode="&quot;$&quot;#,##0.00">
                  <c:v>82</c:v>
                </c:pt>
                <c:pt idx="1847" formatCode="&quot;$&quot;#,##0.00">
                  <c:v>86</c:v>
                </c:pt>
                <c:pt idx="1848" formatCode="&quot;$&quot;#,##0.00">
                  <c:v>85</c:v>
                </c:pt>
                <c:pt idx="1849" formatCode="&quot;$&quot;#,##0.00">
                  <c:v>86.910000000000025</c:v>
                </c:pt>
                <c:pt idx="1850" formatCode="&quot;$&quot;#,##0.00">
                  <c:v>85</c:v>
                </c:pt>
                <c:pt idx="1851" formatCode="&quot;$&quot;#,##0.00">
                  <c:v>85</c:v>
                </c:pt>
                <c:pt idx="1852" formatCode="&quot;$&quot;#,##0.00">
                  <c:v>85</c:v>
                </c:pt>
                <c:pt idx="1853" formatCode="&quot;$&quot;#,##0.00">
                  <c:v>85</c:v>
                </c:pt>
                <c:pt idx="1854" formatCode="&quot;$&quot;#,##0.00">
                  <c:v>85</c:v>
                </c:pt>
                <c:pt idx="1855" formatCode="&quot;$&quot;#,##0.00">
                  <c:v>81</c:v>
                </c:pt>
                <c:pt idx="1856" formatCode="&quot;$&quot;#,##0.00">
                  <c:v>85</c:v>
                </c:pt>
                <c:pt idx="1857" formatCode="&quot;$&quot;#,##0.00">
                  <c:v>81</c:v>
                </c:pt>
                <c:pt idx="1858" formatCode="&quot;$&quot;#,##0.00">
                  <c:v>81</c:v>
                </c:pt>
                <c:pt idx="1859" formatCode="&quot;$&quot;#,##0.00">
                  <c:v>81</c:v>
                </c:pt>
                <c:pt idx="1860" formatCode="&quot;$&quot;#,##0.00">
                  <c:v>81</c:v>
                </c:pt>
                <c:pt idx="1861" formatCode="&quot;$&quot;#,##0.00">
                  <c:v>77.63</c:v>
                </c:pt>
                <c:pt idx="1862" formatCode="&quot;$&quot;#,##0.00">
                  <c:v>75</c:v>
                </c:pt>
                <c:pt idx="1863" formatCode="&quot;$&quot;#,##0.00">
                  <c:v>80</c:v>
                </c:pt>
                <c:pt idx="1864" formatCode="&quot;$&quot;#,##0.00">
                  <c:v>80</c:v>
                </c:pt>
                <c:pt idx="1865" formatCode="&quot;$&quot;#,##0.00">
                  <c:v>80</c:v>
                </c:pt>
                <c:pt idx="1866" formatCode="&quot;$&quot;#,##0.00">
                  <c:v>80</c:v>
                </c:pt>
                <c:pt idx="1867" formatCode="&quot;$&quot;#,##0.00">
                  <c:v>80</c:v>
                </c:pt>
                <c:pt idx="1868" formatCode="&quot;$&quot;#,##0.00">
                  <c:v>78</c:v>
                </c:pt>
                <c:pt idx="1869" formatCode="&quot;$&quot;#,##0.00">
                  <c:v>77</c:v>
                </c:pt>
                <c:pt idx="1870" formatCode="&quot;$&quot;#,##0.00">
                  <c:v>77</c:v>
                </c:pt>
                <c:pt idx="1871" formatCode="&quot;$&quot;#,##0.00">
                  <c:v>77</c:v>
                </c:pt>
                <c:pt idx="1872" formatCode="&quot;$&quot;#,##0.00">
                  <c:v>76.5</c:v>
                </c:pt>
                <c:pt idx="1873" formatCode="&quot;$&quot;#,##0.00">
                  <c:v>75</c:v>
                </c:pt>
                <c:pt idx="1874" formatCode="&quot;$&quot;#,##0.00">
                  <c:v>75</c:v>
                </c:pt>
                <c:pt idx="1875" formatCode="&quot;$&quot;#,##0.00">
                  <c:v>75</c:v>
                </c:pt>
                <c:pt idx="1876" formatCode="&quot;$&quot;#,##0.00">
                  <c:v>67.5</c:v>
                </c:pt>
                <c:pt idx="1877" formatCode="&quot;$&quot;#,##0.00">
                  <c:v>70</c:v>
                </c:pt>
                <c:pt idx="1878" formatCode="&quot;$&quot;#,##0.00">
                  <c:v>67.5</c:v>
                </c:pt>
                <c:pt idx="1879" formatCode="&quot;$&quot;#,##0.00">
                  <c:v>67.5</c:v>
                </c:pt>
                <c:pt idx="1880" formatCode="&quot;$&quot;#,##0.00">
                  <c:v>67.5</c:v>
                </c:pt>
                <c:pt idx="1881" formatCode="&quot;$&quot;#,##0.00">
                  <c:v>71</c:v>
                </c:pt>
                <c:pt idx="1882" formatCode="&quot;$&quot;#,##0.00">
                  <c:v>64</c:v>
                </c:pt>
                <c:pt idx="1883" formatCode="&quot;$&quot;#,##0.00">
                  <c:v>64</c:v>
                </c:pt>
                <c:pt idx="1884" formatCode="&quot;$&quot;#,##0.00">
                  <c:v>66</c:v>
                </c:pt>
                <c:pt idx="1885" formatCode="&quot;$&quot;#,##0.00">
                  <c:v>63</c:v>
                </c:pt>
                <c:pt idx="1886" formatCode="&quot;$&quot;#,##0.00">
                  <c:v>63</c:v>
                </c:pt>
                <c:pt idx="1887" formatCode="&quot;$&quot;#,##0.00">
                  <c:v>56.71</c:v>
                </c:pt>
                <c:pt idx="1888" formatCode="&quot;$&quot;#,##0.00">
                  <c:v>57</c:v>
                </c:pt>
                <c:pt idx="1889" formatCode="&quot;$&quot;#,##0.00">
                  <c:v>57</c:v>
                </c:pt>
                <c:pt idx="1890" formatCode="&quot;$&quot;#,##0.00">
                  <c:v>54</c:v>
                </c:pt>
                <c:pt idx="1891" formatCode="&quot;$&quot;#,##0.00">
                  <c:v>52</c:v>
                </c:pt>
                <c:pt idx="1892" formatCode="&quot;$&quot;#,##0.00">
                  <c:v>42.660000000000011</c:v>
                </c:pt>
                <c:pt idx="1893" formatCode="&quot;$&quot;#,##0.00">
                  <c:v>42</c:v>
                </c:pt>
                <c:pt idx="1894" formatCode="&quot;$&quot;#,##0.00">
                  <c:v>34</c:v>
                </c:pt>
                <c:pt idx="1895" formatCode="&quot;$&quot;#,##0.00">
                  <c:v>30</c:v>
                </c:pt>
                <c:pt idx="1896" formatCode="&quot;$&quot;#,##0.00">
                  <c:v>26</c:v>
                </c:pt>
                <c:pt idx="1897" formatCode="&quot;$&quot;#,##0.00">
                  <c:v>27</c:v>
                </c:pt>
                <c:pt idx="1898" formatCode="&quot;$&quot;#,##0.00">
                  <c:v>27</c:v>
                </c:pt>
                <c:pt idx="1899" formatCode="&quot;$&quot;#,##0.00">
                  <c:v>27</c:v>
                </c:pt>
                <c:pt idx="1900" formatCode="&quot;$&quot;#,##0.00">
                  <c:v>27</c:v>
                </c:pt>
                <c:pt idx="1901" formatCode="&quot;$&quot;#,##0.00">
                  <c:v>27</c:v>
                </c:pt>
                <c:pt idx="1902" formatCode="&quot;$&quot;#,##0.00">
                  <c:v>28</c:v>
                </c:pt>
                <c:pt idx="1903" formatCode="&quot;$&quot;#,##0.00">
                  <c:v>33</c:v>
                </c:pt>
                <c:pt idx="1904" formatCode="&quot;$&quot;#,##0.00">
                  <c:v>35</c:v>
                </c:pt>
                <c:pt idx="1905" formatCode="&quot;$&quot;#,##0.00">
                  <c:v>44</c:v>
                </c:pt>
                <c:pt idx="1906" formatCode="&quot;$&quot;#,##0.00">
                  <c:v>44</c:v>
                </c:pt>
                <c:pt idx="1907" formatCode="&quot;$&quot;#,##0.00">
                  <c:v>45</c:v>
                </c:pt>
                <c:pt idx="1908" formatCode="&quot;$&quot;#,##0.00">
                  <c:v>44</c:v>
                </c:pt>
                <c:pt idx="1909" formatCode="&quot;$&quot;#,##0.00">
                  <c:v>45</c:v>
                </c:pt>
                <c:pt idx="1910" formatCode="&quot;$&quot;#,##0.00">
                  <c:v>45</c:v>
                </c:pt>
                <c:pt idx="1911" formatCode="&quot;$&quot;#,##0.00">
                  <c:v>40</c:v>
                </c:pt>
                <c:pt idx="1912" formatCode="&quot;$&quot;#,##0.00">
                  <c:v>31</c:v>
                </c:pt>
                <c:pt idx="1913" formatCode="&quot;$&quot;#,##0.00">
                  <c:v>31</c:v>
                </c:pt>
                <c:pt idx="1914" formatCode="&quot;$&quot;#,##0.00">
                  <c:v>30</c:v>
                </c:pt>
                <c:pt idx="1915" formatCode="&quot;$&quot;#,##0.00">
                  <c:v>30</c:v>
                </c:pt>
                <c:pt idx="1916" formatCode="&quot;$&quot;#,##0.00">
                  <c:v>30</c:v>
                </c:pt>
                <c:pt idx="1917" formatCode="&quot;$&quot;#,##0.00">
                  <c:v>30</c:v>
                </c:pt>
                <c:pt idx="1918" formatCode="&quot;$&quot;#,##0.00">
                  <c:v>30</c:v>
                </c:pt>
                <c:pt idx="1919" formatCode="&quot;$&quot;#,##0.00">
                  <c:v>30</c:v>
                </c:pt>
                <c:pt idx="1920" formatCode="&quot;$&quot;#,##0.00">
                  <c:v>30</c:v>
                </c:pt>
                <c:pt idx="1921" formatCode="&quot;$&quot;#,##0.00">
                  <c:v>30</c:v>
                </c:pt>
                <c:pt idx="1922" formatCode="&quot;$&quot;#,##0.00">
                  <c:v>30</c:v>
                </c:pt>
                <c:pt idx="1923" formatCode="&quot;$&quot;#,##0.00">
                  <c:v>31</c:v>
                </c:pt>
                <c:pt idx="1924" formatCode="&quot;$&quot;#,##0.00">
                  <c:v>32.5</c:v>
                </c:pt>
                <c:pt idx="1925" formatCode="&quot;$&quot;#,##0.00">
                  <c:v>32.5</c:v>
                </c:pt>
                <c:pt idx="1926" formatCode="&quot;$&quot;#,##0.00">
                  <c:v>32.5</c:v>
                </c:pt>
                <c:pt idx="1927" formatCode="&quot;$&quot;#,##0.00">
                  <c:v>31</c:v>
                </c:pt>
                <c:pt idx="1928" formatCode="&quot;$&quot;#,##0.00">
                  <c:v>31</c:v>
                </c:pt>
                <c:pt idx="1929" formatCode="&quot;$&quot;#,##0.00">
                  <c:v>31</c:v>
                </c:pt>
                <c:pt idx="1930" formatCode="&quot;$&quot;#,##0.00">
                  <c:v>31</c:v>
                </c:pt>
                <c:pt idx="1931" formatCode="&quot;$&quot;#,##0.00">
                  <c:v>31</c:v>
                </c:pt>
                <c:pt idx="1932" formatCode="&quot;$&quot;#,##0.00">
                  <c:v>31</c:v>
                </c:pt>
                <c:pt idx="1933" formatCode="&quot;$&quot;#,##0.00">
                  <c:v>32</c:v>
                </c:pt>
                <c:pt idx="1934" formatCode="&quot;$&quot;#,##0.00">
                  <c:v>32</c:v>
                </c:pt>
                <c:pt idx="1935" formatCode="&quot;$&quot;#,##0.00">
                  <c:v>31</c:v>
                </c:pt>
                <c:pt idx="1936" formatCode="&quot;$&quot;#,##0.00">
                  <c:v>30</c:v>
                </c:pt>
                <c:pt idx="1937" formatCode="&quot;$&quot;#,##0.00">
                  <c:v>30</c:v>
                </c:pt>
                <c:pt idx="1938" formatCode="&quot;$&quot;#,##0.00">
                  <c:v>31</c:v>
                </c:pt>
                <c:pt idx="1939" formatCode="&quot;$&quot;#,##0.00">
                  <c:v>29</c:v>
                </c:pt>
                <c:pt idx="1940" formatCode="&quot;$&quot;#,##0.00">
                  <c:v>29</c:v>
                </c:pt>
                <c:pt idx="1941" formatCode="&quot;$&quot;#,##0.00">
                  <c:v>29</c:v>
                </c:pt>
                <c:pt idx="1942" formatCode="&quot;$&quot;#,##0.00">
                  <c:v>22</c:v>
                </c:pt>
                <c:pt idx="1943" formatCode="&quot;$&quot;#,##0.00">
                  <c:v>22</c:v>
                </c:pt>
                <c:pt idx="1944" formatCode="&quot;$&quot;#,##0.00">
                  <c:v>22</c:v>
                </c:pt>
                <c:pt idx="1945" formatCode="&quot;$&quot;#,##0.00">
                  <c:v>19</c:v>
                </c:pt>
                <c:pt idx="1946" formatCode="&quot;$&quot;#,##0.00">
                  <c:v>19</c:v>
                </c:pt>
                <c:pt idx="1947" formatCode="&quot;$&quot;#,##0.00">
                  <c:v>17</c:v>
                </c:pt>
                <c:pt idx="1948" formatCode="&quot;$&quot;#,##0.00">
                  <c:v>17.5</c:v>
                </c:pt>
                <c:pt idx="1949" formatCode="&quot;$&quot;#,##0.00">
                  <c:v>17.5</c:v>
                </c:pt>
                <c:pt idx="1950" formatCode="&quot;$&quot;#,##0.00">
                  <c:v>17.5</c:v>
                </c:pt>
                <c:pt idx="1951" formatCode="&quot;$&quot;#,##0.00">
                  <c:v>17.5</c:v>
                </c:pt>
                <c:pt idx="1952" formatCode="&quot;$&quot;#,##0.00">
                  <c:v>16</c:v>
                </c:pt>
                <c:pt idx="1953" formatCode="&quot;$&quot;#,##0.00">
                  <c:v>10</c:v>
                </c:pt>
                <c:pt idx="1954" formatCode="&quot;$&quot;#,##0.00">
                  <c:v>15</c:v>
                </c:pt>
                <c:pt idx="1955" formatCode="&quot;$&quot;#,##0.00">
                  <c:v>14</c:v>
                </c:pt>
                <c:pt idx="1956" formatCode="&quot;$&quot;#,##0.00">
                  <c:v>22</c:v>
                </c:pt>
                <c:pt idx="1957" formatCode="&quot;$&quot;#,##0.00">
                  <c:v>20</c:v>
                </c:pt>
                <c:pt idx="1958" formatCode="&quot;$&quot;#,##0.00">
                  <c:v>20</c:v>
                </c:pt>
                <c:pt idx="1959" formatCode="&quot;$&quot;#,##0.00">
                  <c:v>20</c:v>
                </c:pt>
                <c:pt idx="1960" formatCode="&quot;$&quot;#,##0.00">
                  <c:v>20</c:v>
                </c:pt>
                <c:pt idx="1961" formatCode="&quot;$&quot;#,##0.00">
                  <c:v>19</c:v>
                </c:pt>
                <c:pt idx="1962" formatCode="&quot;$&quot;#,##0.00">
                  <c:v>20</c:v>
                </c:pt>
                <c:pt idx="1963" formatCode="&quot;$&quot;#,##0.00">
                  <c:v>20</c:v>
                </c:pt>
                <c:pt idx="1964" formatCode="&quot;$&quot;#,##0.00">
                  <c:v>20</c:v>
                </c:pt>
                <c:pt idx="1965" formatCode="&quot;$&quot;#,##0.00">
                  <c:v>20</c:v>
                </c:pt>
                <c:pt idx="1966" formatCode="&quot;$&quot;#,##0.00">
                  <c:v>20</c:v>
                </c:pt>
                <c:pt idx="1967" formatCode="&quot;$&quot;#,##0.00">
                  <c:v>20</c:v>
                </c:pt>
                <c:pt idx="1968" formatCode="&quot;$&quot;#,##0.00">
                  <c:v>20</c:v>
                </c:pt>
                <c:pt idx="1969" formatCode="&quot;$&quot;#,##0.00">
                  <c:v>20</c:v>
                </c:pt>
                <c:pt idx="1970" formatCode="&quot;$&quot;#,##0.00">
                  <c:v>20</c:v>
                </c:pt>
                <c:pt idx="1971" formatCode="&quot;$&quot;#,##0.00">
                  <c:v>20</c:v>
                </c:pt>
                <c:pt idx="1972" formatCode="&quot;$&quot;#,##0.00">
                  <c:v>20</c:v>
                </c:pt>
                <c:pt idx="1973" formatCode="&quot;$&quot;#,##0.00">
                  <c:v>20</c:v>
                </c:pt>
                <c:pt idx="1974" formatCode="&quot;$&quot;#,##0.00">
                  <c:v>20</c:v>
                </c:pt>
                <c:pt idx="1975" formatCode="&quot;$&quot;#,##0.00">
                  <c:v>20</c:v>
                </c:pt>
                <c:pt idx="1976" formatCode="&quot;$&quot;#,##0.00">
                  <c:v>20</c:v>
                </c:pt>
                <c:pt idx="1977" formatCode="&quot;$&quot;#,##0.00">
                  <c:v>20</c:v>
                </c:pt>
                <c:pt idx="1978" formatCode="&quot;$&quot;#,##0.00">
                  <c:v>20</c:v>
                </c:pt>
                <c:pt idx="1979" formatCode="&quot;$&quot;#,##0.00">
                  <c:v>20</c:v>
                </c:pt>
                <c:pt idx="1980" formatCode="&quot;$&quot;#,##0.00">
                  <c:v>20</c:v>
                </c:pt>
                <c:pt idx="1981" formatCode="&quot;$&quot;#,##0.00">
                  <c:v>20</c:v>
                </c:pt>
                <c:pt idx="1982" formatCode="&quot;$&quot;#,##0.00">
                  <c:v>20</c:v>
                </c:pt>
                <c:pt idx="1983" formatCode="&quot;$&quot;#,##0.00">
                  <c:v>20</c:v>
                </c:pt>
                <c:pt idx="1984" formatCode="&quot;$&quot;#,##0.00">
                  <c:v>17.5</c:v>
                </c:pt>
                <c:pt idx="1985" formatCode="&quot;$&quot;#,##0.00">
                  <c:v>17.5</c:v>
                </c:pt>
                <c:pt idx="1986" formatCode="&quot;$&quot;#,##0.00">
                  <c:v>17.5</c:v>
                </c:pt>
                <c:pt idx="1987" formatCode="&quot;$&quot;#,##0.00">
                  <c:v>17.5</c:v>
                </c:pt>
                <c:pt idx="1988" formatCode="&quot;$&quot;#,##0.00">
                  <c:v>14</c:v>
                </c:pt>
                <c:pt idx="1989" formatCode="&quot;$&quot;#,##0.00">
                  <c:v>14</c:v>
                </c:pt>
                <c:pt idx="1990" formatCode="&quot;$&quot;#,##0.00">
                  <c:v>14</c:v>
                </c:pt>
                <c:pt idx="1991" formatCode="&quot;$&quot;#,##0.00">
                  <c:v>14</c:v>
                </c:pt>
                <c:pt idx="1992" formatCode="&quot;$&quot;#,##0.00">
                  <c:v>14</c:v>
                </c:pt>
                <c:pt idx="1993" formatCode="&quot;$&quot;#,##0.00">
                  <c:v>14</c:v>
                </c:pt>
                <c:pt idx="1994" formatCode="&quot;$&quot;#,##0.00">
                  <c:v>14</c:v>
                </c:pt>
                <c:pt idx="1995" formatCode="&quot;$&quot;#,##0.00">
                  <c:v>14</c:v>
                </c:pt>
                <c:pt idx="1996" formatCode="&quot;$&quot;#,##0.00">
                  <c:v>14</c:v>
                </c:pt>
                <c:pt idx="1997" formatCode="&quot;$&quot;#,##0.00">
                  <c:v>14</c:v>
                </c:pt>
                <c:pt idx="1998" formatCode="&quot;$&quot;#,##0.00">
                  <c:v>14</c:v>
                </c:pt>
                <c:pt idx="1999" formatCode="&quot;$&quot;#,##0.00">
                  <c:v>14</c:v>
                </c:pt>
                <c:pt idx="2000" formatCode="&quot;$&quot;#,##0.00">
                  <c:v>14</c:v>
                </c:pt>
                <c:pt idx="2001" formatCode="&quot;$&quot;#,##0.00">
                  <c:v>14</c:v>
                </c:pt>
                <c:pt idx="2002" formatCode="&quot;$&quot;#,##0.00">
                  <c:v>14</c:v>
                </c:pt>
                <c:pt idx="2003" formatCode="&quot;$&quot;#,##0.00">
                  <c:v>13</c:v>
                </c:pt>
                <c:pt idx="2004" formatCode="&quot;$&quot;#,##0.00">
                  <c:v>13</c:v>
                </c:pt>
                <c:pt idx="2005" formatCode="&quot;$&quot;#,##0.00">
                  <c:v>13</c:v>
                </c:pt>
                <c:pt idx="2006" formatCode="&quot;$&quot;#,##0.00">
                  <c:v>13</c:v>
                </c:pt>
                <c:pt idx="2007" formatCode="&quot;$&quot;#,##0.00">
                  <c:v>13</c:v>
                </c:pt>
                <c:pt idx="2008" formatCode="&quot;$&quot;#,##0.00">
                  <c:v>13</c:v>
                </c:pt>
                <c:pt idx="2009" formatCode="&quot;$&quot;#,##0.00">
                  <c:v>13</c:v>
                </c:pt>
                <c:pt idx="2010" formatCode="&quot;$&quot;#,##0.00">
                  <c:v>13</c:v>
                </c:pt>
                <c:pt idx="2011" formatCode="&quot;$&quot;#,##0.00">
                  <c:v>14</c:v>
                </c:pt>
                <c:pt idx="2012" formatCode="&quot;$&quot;#,##0.00">
                  <c:v>14</c:v>
                </c:pt>
                <c:pt idx="2013" formatCode="&quot;$&quot;#,##0.00">
                  <c:v>14</c:v>
                </c:pt>
                <c:pt idx="2014" formatCode="&quot;$&quot;#,##0.00">
                  <c:v>14</c:v>
                </c:pt>
                <c:pt idx="2015" formatCode="&quot;$&quot;#,##0.00">
                  <c:v>14</c:v>
                </c:pt>
                <c:pt idx="2016" formatCode="&quot;$&quot;#,##0.00">
                  <c:v>14</c:v>
                </c:pt>
                <c:pt idx="2017" formatCode="&quot;$&quot;#,##0.00">
                  <c:v>16</c:v>
                </c:pt>
                <c:pt idx="2018" formatCode="&quot;$&quot;#,##0.00">
                  <c:v>16</c:v>
                </c:pt>
                <c:pt idx="2019" formatCode="&quot;$&quot;#,##0.00">
                  <c:v>17</c:v>
                </c:pt>
                <c:pt idx="2020" formatCode="&quot;$&quot;#,##0.00">
                  <c:v>17</c:v>
                </c:pt>
                <c:pt idx="2021" formatCode="&quot;$&quot;#,##0.00">
                  <c:v>17</c:v>
                </c:pt>
                <c:pt idx="2022" formatCode="&quot;$&quot;#,##0.00">
                  <c:v>17</c:v>
                </c:pt>
                <c:pt idx="2023" formatCode="&quot;$&quot;#,##0.00">
                  <c:v>17</c:v>
                </c:pt>
                <c:pt idx="2024" formatCode="&quot;$&quot;#,##0.00">
                  <c:v>17</c:v>
                </c:pt>
                <c:pt idx="2025" formatCode="&quot;$&quot;#,##0.00">
                  <c:v>17</c:v>
                </c:pt>
                <c:pt idx="2026" formatCode="&quot;$&quot;#,##0.00">
                  <c:v>17</c:v>
                </c:pt>
                <c:pt idx="2027" formatCode="&quot;$&quot;#,##0.00">
                  <c:v>17</c:v>
                </c:pt>
                <c:pt idx="2028" formatCode="&quot;$&quot;#,##0.00">
                  <c:v>17</c:v>
                </c:pt>
                <c:pt idx="2029" formatCode="&quot;$&quot;#,##0.00">
                  <c:v>17</c:v>
                </c:pt>
                <c:pt idx="2030" formatCode="&quot;$&quot;#,##0.00">
                  <c:v>17</c:v>
                </c:pt>
                <c:pt idx="2031" formatCode="&quot;$&quot;#,##0.00">
                  <c:v>17</c:v>
                </c:pt>
                <c:pt idx="2032" formatCode="&quot;$&quot;#,##0.00">
                  <c:v>17</c:v>
                </c:pt>
                <c:pt idx="2033" formatCode="&quot;$&quot;#,##0.00">
                  <c:v>17</c:v>
                </c:pt>
                <c:pt idx="2034" formatCode="&quot;$&quot;#,##0.00">
                  <c:v>18</c:v>
                </c:pt>
                <c:pt idx="2035" formatCode="&quot;$&quot;#,##0.00">
                  <c:v>10</c:v>
                </c:pt>
                <c:pt idx="2036" formatCode="&quot;$&quot;#,##0.00">
                  <c:v>12</c:v>
                </c:pt>
                <c:pt idx="2037" formatCode="&quot;$&quot;#,##0.00">
                  <c:v>12</c:v>
                </c:pt>
                <c:pt idx="2038" formatCode="&quot;$&quot;#,##0.00">
                  <c:v>14</c:v>
                </c:pt>
                <c:pt idx="2039" formatCode="&quot;$&quot;#,##0.00">
                  <c:v>14</c:v>
                </c:pt>
                <c:pt idx="2040" formatCode="&quot;$&quot;#,##0.00">
                  <c:v>14</c:v>
                </c:pt>
                <c:pt idx="2041" formatCode="&quot;$&quot;#,##0.00">
                  <c:v>14</c:v>
                </c:pt>
                <c:pt idx="2042" formatCode="&quot;$&quot;#,##0.00">
                  <c:v>14</c:v>
                </c:pt>
                <c:pt idx="2043" formatCode="&quot;$&quot;#,##0.00">
                  <c:v>14</c:v>
                </c:pt>
                <c:pt idx="2044" formatCode="&quot;$&quot;#,##0.00">
                  <c:v>14</c:v>
                </c:pt>
                <c:pt idx="2045" formatCode="&quot;$&quot;#,##0.00">
                  <c:v>12</c:v>
                </c:pt>
                <c:pt idx="2046" formatCode="&quot;$&quot;#,##0.00">
                  <c:v>12</c:v>
                </c:pt>
                <c:pt idx="2047" formatCode="&quot;$&quot;#,##0.00">
                  <c:v>12</c:v>
                </c:pt>
                <c:pt idx="2048" formatCode="&quot;$&quot;#,##0.00">
                  <c:v>12</c:v>
                </c:pt>
                <c:pt idx="2049" formatCode="&quot;$&quot;#,##0.00">
                  <c:v>11</c:v>
                </c:pt>
                <c:pt idx="2050" formatCode="&quot;$&quot;#,##0.00">
                  <c:v>6</c:v>
                </c:pt>
                <c:pt idx="2051" formatCode="&quot;$&quot;#,##0.00">
                  <c:v>6</c:v>
                </c:pt>
                <c:pt idx="2052" formatCode="&quot;$&quot;#,##0.00">
                  <c:v>6</c:v>
                </c:pt>
                <c:pt idx="2053" formatCode="&quot;$&quot;#,##0.00">
                  <c:v>6</c:v>
                </c:pt>
                <c:pt idx="2054" formatCode="&quot;$&quot;#,##0.00">
                  <c:v>6</c:v>
                </c:pt>
                <c:pt idx="2055" formatCode="&quot;$&quot;#,##0.00">
                  <c:v>6</c:v>
                </c:pt>
                <c:pt idx="2056" formatCode="&quot;$&quot;#,##0.00">
                  <c:v>6</c:v>
                </c:pt>
                <c:pt idx="2057" formatCode="&quot;$&quot;#,##0.00">
                  <c:v>6</c:v>
                </c:pt>
                <c:pt idx="2058" formatCode="&quot;$&quot;#,##0.00">
                  <c:v>6</c:v>
                </c:pt>
                <c:pt idx="2059" formatCode="&quot;$&quot;#,##0.00">
                  <c:v>6</c:v>
                </c:pt>
                <c:pt idx="2060" formatCode="&quot;$&quot;#,##0.00">
                  <c:v>6</c:v>
                </c:pt>
                <c:pt idx="2061" formatCode="&quot;$&quot;#,##0.00">
                  <c:v>6</c:v>
                </c:pt>
                <c:pt idx="2062" formatCode="&quot;$&quot;#,##0.00">
                  <c:v>6</c:v>
                </c:pt>
                <c:pt idx="2063" formatCode="&quot;$&quot;#,##0.00">
                  <c:v>6</c:v>
                </c:pt>
                <c:pt idx="2064" formatCode="&quot;$&quot;#,##0.00">
                  <c:v>6</c:v>
                </c:pt>
                <c:pt idx="2065" formatCode="&quot;$&quot;#,##0.00">
                  <c:v>8.5</c:v>
                </c:pt>
                <c:pt idx="2066" formatCode="&quot;$&quot;#,##0.00">
                  <c:v>8.5</c:v>
                </c:pt>
                <c:pt idx="2067" formatCode="&quot;$&quot;#,##0.00">
                  <c:v>8.5</c:v>
                </c:pt>
                <c:pt idx="2068" formatCode="&quot;$&quot;#,##0.00">
                  <c:v>8.5</c:v>
                </c:pt>
                <c:pt idx="2069" formatCode="&quot;$&quot;#,##0.00">
                  <c:v>8.5</c:v>
                </c:pt>
                <c:pt idx="2070" formatCode="&quot;$&quot;#,##0.00">
                  <c:v>8.5</c:v>
                </c:pt>
                <c:pt idx="2071" formatCode="&quot;$&quot;#,##0.00">
                  <c:v>8.5</c:v>
                </c:pt>
                <c:pt idx="2072" formatCode="&quot;$&quot;#,##0.00">
                  <c:v>8.5</c:v>
                </c:pt>
                <c:pt idx="2073" formatCode="&quot;$&quot;#,##0.00">
                  <c:v>8.5</c:v>
                </c:pt>
                <c:pt idx="2074" formatCode="&quot;$&quot;#,##0.00">
                  <c:v>8.5</c:v>
                </c:pt>
                <c:pt idx="2075" formatCode="&quot;$&quot;#,##0.00">
                  <c:v>8.5</c:v>
                </c:pt>
                <c:pt idx="2076" formatCode="&quot;$&quot;#,##0.00">
                  <c:v>8.5</c:v>
                </c:pt>
                <c:pt idx="2077" formatCode="&quot;$&quot;#,##0.00">
                  <c:v>8</c:v>
                </c:pt>
                <c:pt idx="2078" formatCode="&quot;$&quot;#,##0.00">
                  <c:v>8</c:v>
                </c:pt>
                <c:pt idx="2079" formatCode="&quot;$&quot;#,##0.00">
                  <c:v>8</c:v>
                </c:pt>
                <c:pt idx="2080" formatCode="&quot;$&quot;#,##0.00">
                  <c:v>8</c:v>
                </c:pt>
                <c:pt idx="2081" formatCode="&quot;$&quot;#,##0.00">
                  <c:v>8</c:v>
                </c:pt>
                <c:pt idx="2082" formatCode="&quot;$&quot;#,##0.00">
                  <c:v>8</c:v>
                </c:pt>
                <c:pt idx="2083" formatCode="&quot;$&quot;#,##0.00">
                  <c:v>7</c:v>
                </c:pt>
                <c:pt idx="2084" formatCode="&quot;$&quot;#,##0.00">
                  <c:v>7</c:v>
                </c:pt>
                <c:pt idx="2085" formatCode="&quot;$&quot;#,##0.00">
                  <c:v>7</c:v>
                </c:pt>
                <c:pt idx="2086" formatCode="&quot;$&quot;#,##0.00">
                  <c:v>7</c:v>
                </c:pt>
                <c:pt idx="2087" formatCode="&quot;$&quot;#,##0.00">
                  <c:v>7</c:v>
                </c:pt>
                <c:pt idx="2088" formatCode="&quot;$&quot;#,##0.00">
                  <c:v>7</c:v>
                </c:pt>
                <c:pt idx="2089" formatCode="&quot;$&quot;#,##0.00">
                  <c:v>7</c:v>
                </c:pt>
                <c:pt idx="2090" formatCode="&quot;$&quot;#,##0.00">
                  <c:v>7</c:v>
                </c:pt>
                <c:pt idx="2091" formatCode="&quot;$&quot;#,##0.00">
                  <c:v>8</c:v>
                </c:pt>
                <c:pt idx="2092" formatCode="&quot;$&quot;#,##0.00">
                  <c:v>8</c:v>
                </c:pt>
                <c:pt idx="2093" formatCode="&quot;$&quot;#,##0.00">
                  <c:v>8</c:v>
                </c:pt>
                <c:pt idx="2094" formatCode="&quot;$&quot;#,##0.00">
                  <c:v>8</c:v>
                </c:pt>
                <c:pt idx="2095" formatCode="&quot;$&quot;#,##0.00">
                  <c:v>8</c:v>
                </c:pt>
                <c:pt idx="2096" formatCode="&quot;$&quot;#,##0.00">
                  <c:v>8</c:v>
                </c:pt>
                <c:pt idx="2097" formatCode="&quot;$&quot;#,##0.00">
                  <c:v>8</c:v>
                </c:pt>
                <c:pt idx="2098" formatCode="&quot;$&quot;#,##0.00">
                  <c:v>8</c:v>
                </c:pt>
                <c:pt idx="2099" formatCode="&quot;$&quot;#,##0.00">
                  <c:v>8</c:v>
                </c:pt>
                <c:pt idx="2100" formatCode="&quot;$&quot;#,##0.00">
                  <c:v>8</c:v>
                </c:pt>
                <c:pt idx="2101" formatCode="&quot;$&quot;#,##0.00">
                  <c:v>8</c:v>
                </c:pt>
                <c:pt idx="2102" formatCode="&quot;$&quot;#,##0.00">
                  <c:v>8</c:v>
                </c:pt>
                <c:pt idx="2103" formatCode="&quot;$&quot;#,##0.00">
                  <c:v>8</c:v>
                </c:pt>
                <c:pt idx="2104" formatCode="&quot;$&quot;#,##0.00">
                  <c:v>8</c:v>
                </c:pt>
                <c:pt idx="2105" formatCode="&quot;$&quot;#,##0.00">
                  <c:v>8</c:v>
                </c:pt>
                <c:pt idx="2106" formatCode="&quot;$&quot;#,##0.00">
                  <c:v>8</c:v>
                </c:pt>
                <c:pt idx="2107" formatCode="&quot;$&quot;#,##0.00">
                  <c:v>8</c:v>
                </c:pt>
                <c:pt idx="2108" formatCode="&quot;$&quot;#,##0.00">
                  <c:v>8</c:v>
                </c:pt>
                <c:pt idx="2109" formatCode="&quot;$&quot;#,##0.00">
                  <c:v>8</c:v>
                </c:pt>
                <c:pt idx="2110" formatCode="&quot;$&quot;#,##0.00">
                  <c:v>8</c:v>
                </c:pt>
                <c:pt idx="2111" formatCode="&quot;$&quot;#,##0.00">
                  <c:v>8</c:v>
                </c:pt>
                <c:pt idx="2112" formatCode="&quot;$&quot;#,##0.00">
                  <c:v>8</c:v>
                </c:pt>
                <c:pt idx="2113" formatCode="&quot;$&quot;#,##0.00">
                  <c:v>8</c:v>
                </c:pt>
                <c:pt idx="2114" formatCode="&quot;$&quot;#,##0.00">
                  <c:v>8</c:v>
                </c:pt>
                <c:pt idx="2115" formatCode="&quot;$&quot;#,##0.00">
                  <c:v>8</c:v>
                </c:pt>
                <c:pt idx="2116" formatCode="&quot;$&quot;#,##0.00">
                  <c:v>8</c:v>
                </c:pt>
                <c:pt idx="2117" formatCode="&quot;$&quot;#,##0.00">
                  <c:v>8</c:v>
                </c:pt>
                <c:pt idx="2118" formatCode="&quot;$&quot;#,##0.00">
                  <c:v>8</c:v>
                </c:pt>
                <c:pt idx="2119" formatCode="&quot;$&quot;#,##0.00">
                  <c:v>8</c:v>
                </c:pt>
                <c:pt idx="2120" formatCode="&quot;$&quot;#,##0.00">
                  <c:v>8</c:v>
                </c:pt>
                <c:pt idx="2121" formatCode="&quot;$&quot;#,##0.00">
                  <c:v>8</c:v>
                </c:pt>
                <c:pt idx="2122" formatCode="&quot;$&quot;#,##0.00">
                  <c:v>8</c:v>
                </c:pt>
                <c:pt idx="2123" formatCode="&quot;$&quot;#,##0.00">
                  <c:v>8</c:v>
                </c:pt>
                <c:pt idx="2124" formatCode="&quot;$&quot;#,##0.00">
                  <c:v>8</c:v>
                </c:pt>
                <c:pt idx="2125" formatCode="&quot;$&quot;#,##0.00">
                  <c:v>8</c:v>
                </c:pt>
                <c:pt idx="2126" formatCode="&quot;$&quot;#,##0.00">
                  <c:v>8</c:v>
                </c:pt>
                <c:pt idx="2127" formatCode="&quot;$&quot;#,##0.00">
                  <c:v>8</c:v>
                </c:pt>
                <c:pt idx="2128" formatCode="&quot;$&quot;#,##0.00">
                  <c:v>8</c:v>
                </c:pt>
                <c:pt idx="2129" formatCode="&quot;$&quot;#,##0.00">
                  <c:v>8</c:v>
                </c:pt>
                <c:pt idx="2130" formatCode="&quot;$&quot;#,##0.00">
                  <c:v>8</c:v>
                </c:pt>
                <c:pt idx="2131" formatCode="&quot;$&quot;#,##0.00">
                  <c:v>8</c:v>
                </c:pt>
                <c:pt idx="2132" formatCode="&quot;$&quot;#,##0.00">
                  <c:v>8</c:v>
                </c:pt>
                <c:pt idx="2133" formatCode="&quot;$&quot;#,##0.00">
                  <c:v>7</c:v>
                </c:pt>
                <c:pt idx="2134" formatCode="&quot;$&quot;#,##0.00">
                  <c:v>7</c:v>
                </c:pt>
                <c:pt idx="2135" formatCode="&quot;$&quot;#,##0.00">
                  <c:v>8</c:v>
                </c:pt>
                <c:pt idx="2136" formatCode="&quot;$&quot;#,##0.00">
                  <c:v>8</c:v>
                </c:pt>
                <c:pt idx="2137" formatCode="&quot;$&quot;#,##0.00">
                  <c:v>6</c:v>
                </c:pt>
                <c:pt idx="2138" formatCode="&quot;$&quot;#,##0.00">
                  <c:v>6</c:v>
                </c:pt>
                <c:pt idx="2139" formatCode="&quot;$&quot;#,##0.00">
                  <c:v>6</c:v>
                </c:pt>
                <c:pt idx="2140" formatCode="&quot;$&quot;#,##0.00">
                  <c:v>6</c:v>
                </c:pt>
                <c:pt idx="2141" formatCode="&quot;$&quot;#,##0.00">
                  <c:v>6</c:v>
                </c:pt>
                <c:pt idx="2142" formatCode="&quot;$&quot;#,##0.00">
                  <c:v>6</c:v>
                </c:pt>
                <c:pt idx="2143" formatCode="&quot;$&quot;#,##0.00">
                  <c:v>6</c:v>
                </c:pt>
                <c:pt idx="2144" formatCode="&quot;$&quot;#,##0.00">
                  <c:v>6</c:v>
                </c:pt>
                <c:pt idx="2145" formatCode="&quot;$&quot;#,##0.00">
                  <c:v>6</c:v>
                </c:pt>
                <c:pt idx="2146" formatCode="&quot;$&quot;#,##0.00">
                  <c:v>6</c:v>
                </c:pt>
                <c:pt idx="2147" formatCode="&quot;$&quot;#,##0.00">
                  <c:v>6</c:v>
                </c:pt>
                <c:pt idx="2148" formatCode="&quot;$&quot;#,##0.00">
                  <c:v>6</c:v>
                </c:pt>
                <c:pt idx="2149" formatCode="&quot;$&quot;#,##0.00">
                  <c:v>6</c:v>
                </c:pt>
                <c:pt idx="2150" formatCode="&quot;$&quot;#,##0.00">
                  <c:v>6</c:v>
                </c:pt>
                <c:pt idx="2151" formatCode="&quot;$&quot;#,##0.00">
                  <c:v>6</c:v>
                </c:pt>
                <c:pt idx="2152" formatCode="&quot;$&quot;#,##0.00">
                  <c:v>6</c:v>
                </c:pt>
                <c:pt idx="2153" formatCode="&quot;$&quot;#,##0.00">
                  <c:v>6</c:v>
                </c:pt>
                <c:pt idx="2154" formatCode="&quot;$&quot;#,##0.00">
                  <c:v>6</c:v>
                </c:pt>
                <c:pt idx="2155" formatCode="&quot;$&quot;#,##0.00">
                  <c:v>6</c:v>
                </c:pt>
                <c:pt idx="2156" formatCode="&quot;$&quot;#,##0.00">
                  <c:v>6</c:v>
                </c:pt>
                <c:pt idx="2157" formatCode="&quot;$&quot;#,##0.00">
                  <c:v>6</c:v>
                </c:pt>
                <c:pt idx="2158" formatCode="&quot;$&quot;#,##0.00">
                  <c:v>6</c:v>
                </c:pt>
                <c:pt idx="2159" formatCode="&quot;$&quot;#,##0.00">
                  <c:v>6</c:v>
                </c:pt>
                <c:pt idx="2160" formatCode="&quot;$&quot;#,##0.00">
                  <c:v>6</c:v>
                </c:pt>
                <c:pt idx="2161" formatCode="&quot;$&quot;#,##0.00">
                  <c:v>6</c:v>
                </c:pt>
                <c:pt idx="2162" formatCode="&quot;$&quot;#,##0.00">
                  <c:v>5.25</c:v>
                </c:pt>
                <c:pt idx="2163" formatCode="&quot;$&quot;#,##0.00">
                  <c:v>5.25</c:v>
                </c:pt>
                <c:pt idx="2164" formatCode="&quot;$&quot;#,##0.00">
                  <c:v>5.25</c:v>
                </c:pt>
                <c:pt idx="2165" formatCode="&quot;$&quot;#,##0.00">
                  <c:v>5</c:v>
                </c:pt>
                <c:pt idx="2166" formatCode="&quot;$&quot;#,##0.00">
                  <c:v>5</c:v>
                </c:pt>
                <c:pt idx="2167" formatCode="&quot;$&quot;#,##0.00">
                  <c:v>5</c:v>
                </c:pt>
                <c:pt idx="2168" formatCode="&quot;$&quot;#,##0.00">
                  <c:v>5</c:v>
                </c:pt>
                <c:pt idx="2169" formatCode="&quot;$&quot;#,##0.00">
                  <c:v>5</c:v>
                </c:pt>
                <c:pt idx="2170" formatCode="&quot;$&quot;#,##0.00">
                  <c:v>5</c:v>
                </c:pt>
                <c:pt idx="2171" formatCode="&quot;$&quot;#,##0.00">
                  <c:v>4.25</c:v>
                </c:pt>
                <c:pt idx="2172" formatCode="&quot;$&quot;#,##0.00">
                  <c:v>4.25</c:v>
                </c:pt>
                <c:pt idx="2173" formatCode="&quot;$&quot;#,##0.00">
                  <c:v>4.25</c:v>
                </c:pt>
                <c:pt idx="2174" formatCode="&quot;$&quot;#,##0.00">
                  <c:v>4.25</c:v>
                </c:pt>
                <c:pt idx="2175" formatCode="&quot;$&quot;#,##0.00">
                  <c:v>4.25</c:v>
                </c:pt>
                <c:pt idx="2176" formatCode="&quot;$&quot;#,##0.00">
                  <c:v>4.25</c:v>
                </c:pt>
                <c:pt idx="2177" formatCode="&quot;$&quot;#,##0.00">
                  <c:v>4.25</c:v>
                </c:pt>
                <c:pt idx="2178" formatCode="&quot;$&quot;#,##0.00">
                  <c:v>4.25</c:v>
                </c:pt>
                <c:pt idx="2179" formatCode="&quot;$&quot;#,##0.00">
                  <c:v>4.25</c:v>
                </c:pt>
                <c:pt idx="2180" formatCode="&quot;$&quot;#,##0.00">
                  <c:v>4.25</c:v>
                </c:pt>
                <c:pt idx="2181" formatCode="&quot;$&quot;#,##0.00">
                  <c:v>4.25</c:v>
                </c:pt>
                <c:pt idx="2182" formatCode="&quot;$&quot;#,##0.00">
                  <c:v>3.5</c:v>
                </c:pt>
                <c:pt idx="2183" formatCode="&quot;$&quot;#,##0.00">
                  <c:v>3.5</c:v>
                </c:pt>
                <c:pt idx="2184" formatCode="&quot;$&quot;#,##0.00">
                  <c:v>3.5</c:v>
                </c:pt>
                <c:pt idx="2185" formatCode="&quot;$&quot;#,##0.00">
                  <c:v>3.5</c:v>
                </c:pt>
                <c:pt idx="2186" formatCode="&quot;$&quot;#,##0.00">
                  <c:v>3.5</c:v>
                </c:pt>
                <c:pt idx="2187" formatCode="&quot;$&quot;#,##0.00">
                  <c:v>3.5</c:v>
                </c:pt>
                <c:pt idx="2188" formatCode="&quot;$&quot;#,##0.00">
                  <c:v>3.5</c:v>
                </c:pt>
                <c:pt idx="2189" formatCode="&quot;$&quot;#,##0.00">
                  <c:v>3.5</c:v>
                </c:pt>
                <c:pt idx="2190" formatCode="&quot;$&quot;#,##0.00">
                  <c:v>3.5</c:v>
                </c:pt>
                <c:pt idx="2191" formatCode="&quot;$&quot;#,##0.00">
                  <c:v>3.5</c:v>
                </c:pt>
                <c:pt idx="2192" formatCode="&quot;$&quot;#,##0.00">
                  <c:v>3.5</c:v>
                </c:pt>
                <c:pt idx="2193" formatCode="&quot;$&quot;#,##0.00">
                  <c:v>3.5</c:v>
                </c:pt>
                <c:pt idx="2194" formatCode="&quot;$&quot;#,##0.00">
                  <c:v>3.5</c:v>
                </c:pt>
                <c:pt idx="2195" formatCode="&quot;$&quot;#,##0.00">
                  <c:v>3.5</c:v>
                </c:pt>
                <c:pt idx="2196" formatCode="&quot;$&quot;#,##0.00">
                  <c:v>3.5</c:v>
                </c:pt>
                <c:pt idx="2197" formatCode="&quot;$&quot;#,##0.00">
                  <c:v>3.5</c:v>
                </c:pt>
                <c:pt idx="2198" formatCode="&quot;$&quot;#,##0.00">
                  <c:v>3.5</c:v>
                </c:pt>
                <c:pt idx="2199" formatCode="&quot;$&quot;#,##0.00">
                  <c:v>3.5</c:v>
                </c:pt>
                <c:pt idx="2200" formatCode="&quot;$&quot;#,##0.00">
                  <c:v>3.5</c:v>
                </c:pt>
                <c:pt idx="2201" formatCode="&quot;$&quot;#,##0.00">
                  <c:v>3.5</c:v>
                </c:pt>
                <c:pt idx="2202" formatCode="&quot;$&quot;#,##0.00">
                  <c:v>3.5</c:v>
                </c:pt>
                <c:pt idx="2203" formatCode="&quot;$&quot;#,##0.00">
                  <c:v>3.5</c:v>
                </c:pt>
                <c:pt idx="2204" formatCode="&quot;$&quot;#,##0.00">
                  <c:v>3.5</c:v>
                </c:pt>
                <c:pt idx="2205" formatCode="&quot;$&quot;#,##0.00">
                  <c:v>3.5</c:v>
                </c:pt>
                <c:pt idx="2206" formatCode="&quot;$&quot;#,##0.00">
                  <c:v>3.5</c:v>
                </c:pt>
                <c:pt idx="2207" formatCode="&quot;$&quot;#,##0.00">
                  <c:v>3.5</c:v>
                </c:pt>
                <c:pt idx="2208" formatCode="&quot;$&quot;#,##0.00">
                  <c:v>3.5</c:v>
                </c:pt>
                <c:pt idx="2209" formatCode="&quot;$&quot;#,##0.00">
                  <c:v>3.5</c:v>
                </c:pt>
                <c:pt idx="2210" formatCode="&quot;$&quot;#,##0.00">
                  <c:v>3.5</c:v>
                </c:pt>
                <c:pt idx="2211" formatCode="&quot;$&quot;#,##0.00">
                  <c:v>3.5</c:v>
                </c:pt>
                <c:pt idx="2212" formatCode="&quot;$&quot;#,##0.00">
                  <c:v>3.5</c:v>
                </c:pt>
                <c:pt idx="2213" formatCode="&quot;$&quot;#,##0.00">
                  <c:v>3.5</c:v>
                </c:pt>
                <c:pt idx="2214" formatCode="&quot;$&quot;#,##0.00">
                  <c:v>3.5</c:v>
                </c:pt>
              </c:numCache>
            </c:numRef>
          </c:val>
        </c:ser>
        <c:marker val="1"/>
        <c:axId val="166849536"/>
        <c:axId val="167056128"/>
      </c:lineChart>
      <c:dateAx>
        <c:axId val="166849536"/>
        <c:scaling>
          <c:orientation val="minMax"/>
          <c:max val="40744"/>
          <c:min val="38353"/>
        </c:scaling>
        <c:axPos val="b"/>
        <c:numFmt formatCode="m/d/yy;@" sourceLinked="0"/>
        <c:tickLblPos val="nextTo"/>
        <c:txPr>
          <a:bodyPr rot="-2700000"/>
          <a:lstStyle/>
          <a:p>
            <a:pPr>
              <a:defRPr/>
            </a:pPr>
            <a:endParaRPr lang="en-US"/>
          </a:p>
        </c:txPr>
        <c:crossAx val="167056128"/>
        <c:crosses val="autoZero"/>
        <c:auto val="1"/>
        <c:lblOffset val="100"/>
        <c:baseTimeUnit val="days"/>
        <c:majorUnit val="140"/>
        <c:majorTimeUnit val="days"/>
        <c:minorUnit val="140"/>
        <c:minorTimeUnit val="days"/>
      </c:dateAx>
      <c:valAx>
        <c:axId val="167056128"/>
        <c:scaling>
          <c:orientation val="minMax"/>
        </c:scaling>
        <c:axPos val="l"/>
        <c:majorGridlines/>
        <c:numFmt formatCode="&quot;$&quot;#,##0.00_);\(&quot;$&quot;#,##0.00\)" sourceLinked="1"/>
        <c:tickLblPos val="nextTo"/>
        <c:crossAx val="166849536"/>
        <c:crosses val="autoZero"/>
        <c:crossBetween val="between"/>
      </c:valAx>
    </c:plotArea>
    <c:plotVisOnly val="1"/>
    <c:dispBlanksAs val="gap"/>
  </c:chart>
  <c:txPr>
    <a:bodyPr/>
    <a:lstStyle/>
    <a:p>
      <a:pPr>
        <a:defRPr>
          <a:latin typeface="Times New Roman" pitchFamily="18" charset="0"/>
          <a:cs typeface="Times New Roman" pitchFamily="18" charset="0"/>
        </a:defRPr>
      </a:pPr>
      <a:endParaRPr lang="en-US"/>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11067296319925735"/>
          <c:y val="2.262749534688515E-2"/>
          <c:w val="0.84461554648594461"/>
          <c:h val="0.75165402722529706"/>
        </c:manualLayout>
      </c:layout>
      <c:lineChart>
        <c:grouping val="standard"/>
        <c:ser>
          <c:idx val="0"/>
          <c:order val="0"/>
          <c:tx>
            <c:strRef>
              <c:f>Prices!$D$1</c:f>
              <c:strCache>
                <c:ptCount val="1"/>
                <c:pt idx="0">
                  <c:v>Annual</c:v>
                </c:pt>
              </c:strCache>
            </c:strRef>
          </c:tx>
          <c:marker>
            <c:symbol val="none"/>
          </c:marker>
          <c:cat>
            <c:strRef>
              <c:f>Prices!$A$2:$A$1121</c:f>
              <c:strCache>
                <c:ptCount val="1120"/>
                <c:pt idx="0">
                  <c:v>1/1/08</c:v>
                </c:pt>
                <c:pt idx="1">
                  <c:v>1/2/08</c:v>
                </c:pt>
                <c:pt idx="2">
                  <c:v>1/3/08</c:v>
                </c:pt>
                <c:pt idx="3">
                  <c:v>1/4/08</c:v>
                </c:pt>
                <c:pt idx="4">
                  <c:v>1/5/08</c:v>
                </c:pt>
                <c:pt idx="5">
                  <c:v>1/6/08</c:v>
                </c:pt>
                <c:pt idx="6">
                  <c:v>1/7/08</c:v>
                </c:pt>
                <c:pt idx="7">
                  <c:v>1/8/08</c:v>
                </c:pt>
                <c:pt idx="8">
                  <c:v>1/9/08</c:v>
                </c:pt>
                <c:pt idx="9">
                  <c:v>1/10/08</c:v>
                </c:pt>
                <c:pt idx="10">
                  <c:v>1/11/08</c:v>
                </c:pt>
                <c:pt idx="11">
                  <c:v>1/12/08</c:v>
                </c:pt>
                <c:pt idx="12">
                  <c:v>1/13/08</c:v>
                </c:pt>
                <c:pt idx="13">
                  <c:v>1/14/08</c:v>
                </c:pt>
                <c:pt idx="14">
                  <c:v>1/15/08</c:v>
                </c:pt>
                <c:pt idx="15">
                  <c:v>1/16/08</c:v>
                </c:pt>
                <c:pt idx="16">
                  <c:v>1/17/08</c:v>
                </c:pt>
                <c:pt idx="17">
                  <c:v>1/18/08</c:v>
                </c:pt>
                <c:pt idx="18">
                  <c:v>1/19/08</c:v>
                </c:pt>
                <c:pt idx="19">
                  <c:v>1/20/08</c:v>
                </c:pt>
                <c:pt idx="20">
                  <c:v>1/21/08</c:v>
                </c:pt>
                <c:pt idx="21">
                  <c:v>1/22/08</c:v>
                </c:pt>
                <c:pt idx="22">
                  <c:v>1/23/08</c:v>
                </c:pt>
                <c:pt idx="23">
                  <c:v>1/24/08</c:v>
                </c:pt>
                <c:pt idx="24">
                  <c:v>1/25/08</c:v>
                </c:pt>
                <c:pt idx="25">
                  <c:v>1/26/08</c:v>
                </c:pt>
                <c:pt idx="26">
                  <c:v>1/27/08</c:v>
                </c:pt>
                <c:pt idx="27">
                  <c:v>1/28/08</c:v>
                </c:pt>
                <c:pt idx="28">
                  <c:v>1/29/08</c:v>
                </c:pt>
                <c:pt idx="29">
                  <c:v>1/30/08</c:v>
                </c:pt>
                <c:pt idx="30">
                  <c:v>1/31/08</c:v>
                </c:pt>
                <c:pt idx="31">
                  <c:v>2/1/08</c:v>
                </c:pt>
                <c:pt idx="32">
                  <c:v>2/2/08</c:v>
                </c:pt>
                <c:pt idx="33">
                  <c:v>2/3/08</c:v>
                </c:pt>
                <c:pt idx="34">
                  <c:v>2/4/08</c:v>
                </c:pt>
                <c:pt idx="35">
                  <c:v>2/5/08</c:v>
                </c:pt>
                <c:pt idx="36">
                  <c:v>2/6/08</c:v>
                </c:pt>
                <c:pt idx="37">
                  <c:v>2/7/08</c:v>
                </c:pt>
                <c:pt idx="38">
                  <c:v>2/8/08</c:v>
                </c:pt>
                <c:pt idx="39">
                  <c:v>2/9/08</c:v>
                </c:pt>
                <c:pt idx="40">
                  <c:v>2/10/08</c:v>
                </c:pt>
                <c:pt idx="41">
                  <c:v>2/11/08</c:v>
                </c:pt>
                <c:pt idx="42">
                  <c:v>2/12/08</c:v>
                </c:pt>
                <c:pt idx="43">
                  <c:v>2/13/08</c:v>
                </c:pt>
                <c:pt idx="44">
                  <c:v>2/14/08</c:v>
                </c:pt>
                <c:pt idx="45">
                  <c:v>2/15/08</c:v>
                </c:pt>
                <c:pt idx="46">
                  <c:v>2/16/08</c:v>
                </c:pt>
                <c:pt idx="47">
                  <c:v>2/17/08</c:v>
                </c:pt>
                <c:pt idx="48">
                  <c:v>2/18/08</c:v>
                </c:pt>
                <c:pt idx="49">
                  <c:v>2/19/08</c:v>
                </c:pt>
                <c:pt idx="50">
                  <c:v>2/20/08</c:v>
                </c:pt>
                <c:pt idx="51">
                  <c:v>2/21/08</c:v>
                </c:pt>
                <c:pt idx="52">
                  <c:v>2/22/08</c:v>
                </c:pt>
                <c:pt idx="53">
                  <c:v>2/23/08</c:v>
                </c:pt>
                <c:pt idx="54">
                  <c:v>2/24/08</c:v>
                </c:pt>
                <c:pt idx="55">
                  <c:v>2/25/08</c:v>
                </c:pt>
                <c:pt idx="56">
                  <c:v>2/26/08</c:v>
                </c:pt>
                <c:pt idx="57">
                  <c:v>2/27/08</c:v>
                </c:pt>
                <c:pt idx="58">
                  <c:v>2/28/08</c:v>
                </c:pt>
                <c:pt idx="59">
                  <c:v>2/29/08</c:v>
                </c:pt>
                <c:pt idx="60">
                  <c:v>3/1/08</c:v>
                </c:pt>
                <c:pt idx="61">
                  <c:v>3/2/08</c:v>
                </c:pt>
                <c:pt idx="62">
                  <c:v>3/3/08</c:v>
                </c:pt>
                <c:pt idx="63">
                  <c:v>3/4/08</c:v>
                </c:pt>
                <c:pt idx="64">
                  <c:v>3/5/08</c:v>
                </c:pt>
                <c:pt idx="65">
                  <c:v>3/6/08</c:v>
                </c:pt>
                <c:pt idx="66">
                  <c:v>3/7/08</c:v>
                </c:pt>
                <c:pt idx="67">
                  <c:v>3/8/08</c:v>
                </c:pt>
                <c:pt idx="68">
                  <c:v>3/9/08</c:v>
                </c:pt>
                <c:pt idx="69">
                  <c:v>3/10/08</c:v>
                </c:pt>
                <c:pt idx="70">
                  <c:v>3/11/08</c:v>
                </c:pt>
                <c:pt idx="71">
                  <c:v>3/12/08</c:v>
                </c:pt>
                <c:pt idx="72">
                  <c:v>3/13/08</c:v>
                </c:pt>
                <c:pt idx="73">
                  <c:v>3/14/08</c:v>
                </c:pt>
                <c:pt idx="74">
                  <c:v>3/15/08</c:v>
                </c:pt>
                <c:pt idx="75">
                  <c:v>3/16/08</c:v>
                </c:pt>
                <c:pt idx="76">
                  <c:v>3/17/08</c:v>
                </c:pt>
                <c:pt idx="77">
                  <c:v>3/18/08</c:v>
                </c:pt>
                <c:pt idx="78">
                  <c:v>3/19/08</c:v>
                </c:pt>
                <c:pt idx="79">
                  <c:v>3/20/08</c:v>
                </c:pt>
                <c:pt idx="80">
                  <c:v>3/21/08</c:v>
                </c:pt>
                <c:pt idx="81">
                  <c:v>3/22/08</c:v>
                </c:pt>
                <c:pt idx="82">
                  <c:v>3/23/08</c:v>
                </c:pt>
                <c:pt idx="83">
                  <c:v>3/24/08</c:v>
                </c:pt>
                <c:pt idx="84">
                  <c:v>3/25/08</c:v>
                </c:pt>
                <c:pt idx="85">
                  <c:v>3/26/08</c:v>
                </c:pt>
                <c:pt idx="86">
                  <c:v>3/27/08</c:v>
                </c:pt>
                <c:pt idx="87">
                  <c:v>3/28/08</c:v>
                </c:pt>
                <c:pt idx="88">
                  <c:v>3/29/08</c:v>
                </c:pt>
                <c:pt idx="89">
                  <c:v>3/30/08</c:v>
                </c:pt>
                <c:pt idx="90">
                  <c:v>3/31/08</c:v>
                </c:pt>
                <c:pt idx="91">
                  <c:v>4/1/08</c:v>
                </c:pt>
                <c:pt idx="92">
                  <c:v>4/2/08</c:v>
                </c:pt>
                <c:pt idx="93">
                  <c:v>4/3/08</c:v>
                </c:pt>
                <c:pt idx="94">
                  <c:v>4/4/08</c:v>
                </c:pt>
                <c:pt idx="95">
                  <c:v>4/5/08</c:v>
                </c:pt>
                <c:pt idx="96">
                  <c:v>4/6/08</c:v>
                </c:pt>
                <c:pt idx="97">
                  <c:v>4/7/08</c:v>
                </c:pt>
                <c:pt idx="98">
                  <c:v>4/8/08</c:v>
                </c:pt>
                <c:pt idx="99">
                  <c:v>4/9/08</c:v>
                </c:pt>
                <c:pt idx="100">
                  <c:v>4/10/08</c:v>
                </c:pt>
                <c:pt idx="101">
                  <c:v>4/11/08</c:v>
                </c:pt>
                <c:pt idx="102">
                  <c:v>4/12/08</c:v>
                </c:pt>
                <c:pt idx="103">
                  <c:v>4/13/08</c:v>
                </c:pt>
                <c:pt idx="104">
                  <c:v>4/14/08</c:v>
                </c:pt>
                <c:pt idx="105">
                  <c:v>4/15/08</c:v>
                </c:pt>
                <c:pt idx="106">
                  <c:v>4/16/08</c:v>
                </c:pt>
                <c:pt idx="107">
                  <c:v>4/17/08</c:v>
                </c:pt>
                <c:pt idx="108">
                  <c:v>4/18/08</c:v>
                </c:pt>
                <c:pt idx="109">
                  <c:v>4/19/08</c:v>
                </c:pt>
                <c:pt idx="110">
                  <c:v>4/20/08</c:v>
                </c:pt>
                <c:pt idx="111">
                  <c:v>4/21/08</c:v>
                </c:pt>
                <c:pt idx="112">
                  <c:v>4/22/08</c:v>
                </c:pt>
                <c:pt idx="113">
                  <c:v>4/23/08</c:v>
                </c:pt>
                <c:pt idx="114">
                  <c:v>4/24/08</c:v>
                </c:pt>
                <c:pt idx="115">
                  <c:v>4/25/08</c:v>
                </c:pt>
                <c:pt idx="116">
                  <c:v>4/26/08</c:v>
                </c:pt>
                <c:pt idx="117">
                  <c:v>4/27/08</c:v>
                </c:pt>
                <c:pt idx="118">
                  <c:v>4/28/08</c:v>
                </c:pt>
                <c:pt idx="119">
                  <c:v>4/29/08</c:v>
                </c:pt>
                <c:pt idx="120">
                  <c:v>4/30/08</c:v>
                </c:pt>
                <c:pt idx="121">
                  <c:v>5/1/08</c:v>
                </c:pt>
                <c:pt idx="122">
                  <c:v>5/2/08</c:v>
                </c:pt>
                <c:pt idx="123">
                  <c:v>5/3/08</c:v>
                </c:pt>
                <c:pt idx="124">
                  <c:v>5/4/08</c:v>
                </c:pt>
                <c:pt idx="125">
                  <c:v>5/5/08</c:v>
                </c:pt>
                <c:pt idx="126">
                  <c:v>5/6/08</c:v>
                </c:pt>
                <c:pt idx="127">
                  <c:v>5/7/08</c:v>
                </c:pt>
                <c:pt idx="128">
                  <c:v>5/8/08</c:v>
                </c:pt>
                <c:pt idx="129">
                  <c:v>5/9/08</c:v>
                </c:pt>
                <c:pt idx="130">
                  <c:v>5/10/08</c:v>
                </c:pt>
                <c:pt idx="131">
                  <c:v>5/11/08</c:v>
                </c:pt>
                <c:pt idx="132">
                  <c:v>5/12/08</c:v>
                </c:pt>
                <c:pt idx="133">
                  <c:v>5/13/08</c:v>
                </c:pt>
                <c:pt idx="134">
                  <c:v>5/14/08</c:v>
                </c:pt>
                <c:pt idx="135">
                  <c:v>5/15/08</c:v>
                </c:pt>
                <c:pt idx="136">
                  <c:v>5/16/08</c:v>
                </c:pt>
                <c:pt idx="137">
                  <c:v>5/17/08</c:v>
                </c:pt>
                <c:pt idx="138">
                  <c:v>5/18/08</c:v>
                </c:pt>
                <c:pt idx="139">
                  <c:v>5/19/08</c:v>
                </c:pt>
                <c:pt idx="140">
                  <c:v>5/20/08</c:v>
                </c:pt>
                <c:pt idx="141">
                  <c:v>5/21/08</c:v>
                </c:pt>
                <c:pt idx="142">
                  <c:v>5/22/08</c:v>
                </c:pt>
                <c:pt idx="143">
                  <c:v>5/23/08</c:v>
                </c:pt>
                <c:pt idx="144">
                  <c:v>5/24/08</c:v>
                </c:pt>
                <c:pt idx="145">
                  <c:v>5/25/08</c:v>
                </c:pt>
                <c:pt idx="146">
                  <c:v>5/26/08</c:v>
                </c:pt>
                <c:pt idx="147">
                  <c:v>5/27/08</c:v>
                </c:pt>
                <c:pt idx="148">
                  <c:v>5/28/08</c:v>
                </c:pt>
                <c:pt idx="149">
                  <c:v>5/29/08</c:v>
                </c:pt>
                <c:pt idx="150">
                  <c:v>5/30/08</c:v>
                </c:pt>
                <c:pt idx="151">
                  <c:v>5/31/08</c:v>
                </c:pt>
                <c:pt idx="152">
                  <c:v>6/1/08</c:v>
                </c:pt>
                <c:pt idx="153">
                  <c:v>6/2/08</c:v>
                </c:pt>
                <c:pt idx="154">
                  <c:v>6/3/08</c:v>
                </c:pt>
                <c:pt idx="155">
                  <c:v>6/4/08</c:v>
                </c:pt>
                <c:pt idx="156">
                  <c:v>6/5/08</c:v>
                </c:pt>
                <c:pt idx="157">
                  <c:v>6/6/08</c:v>
                </c:pt>
                <c:pt idx="158">
                  <c:v>6/7/08</c:v>
                </c:pt>
                <c:pt idx="159">
                  <c:v>6/8/08</c:v>
                </c:pt>
                <c:pt idx="160">
                  <c:v>6/9/08</c:v>
                </c:pt>
                <c:pt idx="161">
                  <c:v>6/10/08</c:v>
                </c:pt>
                <c:pt idx="162">
                  <c:v>6/11/08</c:v>
                </c:pt>
                <c:pt idx="163">
                  <c:v>6/12/08</c:v>
                </c:pt>
                <c:pt idx="164">
                  <c:v>6/13/08</c:v>
                </c:pt>
                <c:pt idx="165">
                  <c:v>6/14/08</c:v>
                </c:pt>
                <c:pt idx="166">
                  <c:v>6/15/08</c:v>
                </c:pt>
                <c:pt idx="167">
                  <c:v>6/16/08</c:v>
                </c:pt>
                <c:pt idx="168">
                  <c:v>6/17/08</c:v>
                </c:pt>
                <c:pt idx="169">
                  <c:v>6/18/08</c:v>
                </c:pt>
                <c:pt idx="170">
                  <c:v>6/19/08</c:v>
                </c:pt>
                <c:pt idx="171">
                  <c:v>6/20/08</c:v>
                </c:pt>
                <c:pt idx="172">
                  <c:v>6/21/08</c:v>
                </c:pt>
                <c:pt idx="173">
                  <c:v>6/22/08</c:v>
                </c:pt>
                <c:pt idx="174">
                  <c:v>6/23/08</c:v>
                </c:pt>
                <c:pt idx="175">
                  <c:v>6/24/08</c:v>
                </c:pt>
                <c:pt idx="176">
                  <c:v>6/25/08</c:v>
                </c:pt>
                <c:pt idx="177">
                  <c:v>6/26/08</c:v>
                </c:pt>
                <c:pt idx="178">
                  <c:v>6/27/08</c:v>
                </c:pt>
                <c:pt idx="179">
                  <c:v>6/28/08</c:v>
                </c:pt>
                <c:pt idx="180">
                  <c:v>6/29/08</c:v>
                </c:pt>
                <c:pt idx="181">
                  <c:v>6/30/08</c:v>
                </c:pt>
                <c:pt idx="182">
                  <c:v>7/1/08</c:v>
                </c:pt>
                <c:pt idx="183">
                  <c:v>7/2/08</c:v>
                </c:pt>
                <c:pt idx="184">
                  <c:v>7/3/08</c:v>
                </c:pt>
                <c:pt idx="185">
                  <c:v>7/4/08</c:v>
                </c:pt>
                <c:pt idx="186">
                  <c:v>7/5/08</c:v>
                </c:pt>
                <c:pt idx="187">
                  <c:v>7/6/08</c:v>
                </c:pt>
                <c:pt idx="188">
                  <c:v>7/7/08</c:v>
                </c:pt>
                <c:pt idx="189">
                  <c:v>7/8/08</c:v>
                </c:pt>
                <c:pt idx="190">
                  <c:v>7/9/08</c:v>
                </c:pt>
                <c:pt idx="191">
                  <c:v>7/10/08</c:v>
                </c:pt>
                <c:pt idx="192">
                  <c:v>7/11/08</c:v>
                </c:pt>
                <c:pt idx="193">
                  <c:v>7/12/08</c:v>
                </c:pt>
                <c:pt idx="194">
                  <c:v>7/13/08</c:v>
                </c:pt>
                <c:pt idx="195">
                  <c:v>7/14/08</c:v>
                </c:pt>
                <c:pt idx="196">
                  <c:v>7/15/08</c:v>
                </c:pt>
                <c:pt idx="197">
                  <c:v>7/16/08</c:v>
                </c:pt>
                <c:pt idx="198">
                  <c:v>7/17/08</c:v>
                </c:pt>
                <c:pt idx="199">
                  <c:v>7/18/08</c:v>
                </c:pt>
                <c:pt idx="200">
                  <c:v>7/19/08</c:v>
                </c:pt>
                <c:pt idx="201">
                  <c:v>7/20/08</c:v>
                </c:pt>
                <c:pt idx="202">
                  <c:v>7/21/08</c:v>
                </c:pt>
                <c:pt idx="203">
                  <c:v>7/22/08</c:v>
                </c:pt>
                <c:pt idx="204">
                  <c:v>7/23/08</c:v>
                </c:pt>
                <c:pt idx="205">
                  <c:v>7/24/08</c:v>
                </c:pt>
                <c:pt idx="206">
                  <c:v>7/25/08</c:v>
                </c:pt>
                <c:pt idx="207">
                  <c:v>7/26/08</c:v>
                </c:pt>
                <c:pt idx="208">
                  <c:v>7/27/08</c:v>
                </c:pt>
                <c:pt idx="209">
                  <c:v>7/28/08</c:v>
                </c:pt>
                <c:pt idx="210">
                  <c:v>7/29/08</c:v>
                </c:pt>
                <c:pt idx="211">
                  <c:v>7/30/08</c:v>
                </c:pt>
                <c:pt idx="212">
                  <c:v>7/31/08</c:v>
                </c:pt>
                <c:pt idx="213">
                  <c:v>8/1/08</c:v>
                </c:pt>
                <c:pt idx="214">
                  <c:v>8/2/08</c:v>
                </c:pt>
                <c:pt idx="215">
                  <c:v>8/3/08</c:v>
                </c:pt>
                <c:pt idx="216">
                  <c:v>8/4/08</c:v>
                </c:pt>
                <c:pt idx="217">
                  <c:v>8/5/08</c:v>
                </c:pt>
                <c:pt idx="218">
                  <c:v>8/6/08</c:v>
                </c:pt>
                <c:pt idx="219">
                  <c:v>8/7/08</c:v>
                </c:pt>
                <c:pt idx="220">
                  <c:v>8/8/08</c:v>
                </c:pt>
                <c:pt idx="221">
                  <c:v>8/9/08</c:v>
                </c:pt>
                <c:pt idx="222">
                  <c:v>8/10/08</c:v>
                </c:pt>
                <c:pt idx="223">
                  <c:v>8/11/08</c:v>
                </c:pt>
                <c:pt idx="224">
                  <c:v>8/12/08</c:v>
                </c:pt>
                <c:pt idx="225">
                  <c:v>8/13/08</c:v>
                </c:pt>
                <c:pt idx="226">
                  <c:v>8/14/08</c:v>
                </c:pt>
                <c:pt idx="227">
                  <c:v>8/15/08</c:v>
                </c:pt>
                <c:pt idx="228">
                  <c:v>8/16/08</c:v>
                </c:pt>
                <c:pt idx="229">
                  <c:v>8/17/08</c:v>
                </c:pt>
                <c:pt idx="230">
                  <c:v>8/18/08</c:v>
                </c:pt>
                <c:pt idx="231">
                  <c:v>8/19/08</c:v>
                </c:pt>
                <c:pt idx="232">
                  <c:v>8/20/08</c:v>
                </c:pt>
                <c:pt idx="233">
                  <c:v>8/21/08</c:v>
                </c:pt>
                <c:pt idx="234">
                  <c:v>8/22/08</c:v>
                </c:pt>
                <c:pt idx="235">
                  <c:v>8/23/08</c:v>
                </c:pt>
                <c:pt idx="236">
                  <c:v>8/24/08</c:v>
                </c:pt>
                <c:pt idx="237">
                  <c:v>8/25/08</c:v>
                </c:pt>
                <c:pt idx="238">
                  <c:v>8/26/08</c:v>
                </c:pt>
                <c:pt idx="239">
                  <c:v>8/27/08</c:v>
                </c:pt>
                <c:pt idx="240">
                  <c:v>8/28/08</c:v>
                </c:pt>
                <c:pt idx="241">
                  <c:v>8/29/08</c:v>
                </c:pt>
                <c:pt idx="242">
                  <c:v>8/30/08</c:v>
                </c:pt>
                <c:pt idx="243">
                  <c:v>8/31/08</c:v>
                </c:pt>
                <c:pt idx="244">
                  <c:v>9/1/08</c:v>
                </c:pt>
                <c:pt idx="245">
                  <c:v>9/2/08</c:v>
                </c:pt>
                <c:pt idx="246">
                  <c:v>9/3/08</c:v>
                </c:pt>
                <c:pt idx="247">
                  <c:v>9/4/08</c:v>
                </c:pt>
                <c:pt idx="248">
                  <c:v>9/5/08</c:v>
                </c:pt>
                <c:pt idx="249">
                  <c:v>9/6/08</c:v>
                </c:pt>
                <c:pt idx="250">
                  <c:v>9/7/08</c:v>
                </c:pt>
                <c:pt idx="251">
                  <c:v>9/8/08</c:v>
                </c:pt>
                <c:pt idx="252">
                  <c:v>9/9/08</c:v>
                </c:pt>
                <c:pt idx="253">
                  <c:v>9/10/08</c:v>
                </c:pt>
                <c:pt idx="254">
                  <c:v>9/11/08</c:v>
                </c:pt>
                <c:pt idx="255">
                  <c:v>9/12/08</c:v>
                </c:pt>
                <c:pt idx="256">
                  <c:v>9/13/08</c:v>
                </c:pt>
                <c:pt idx="257">
                  <c:v>9/14/08</c:v>
                </c:pt>
                <c:pt idx="258">
                  <c:v>9/15/08</c:v>
                </c:pt>
                <c:pt idx="259">
                  <c:v>9/16/08</c:v>
                </c:pt>
                <c:pt idx="260">
                  <c:v>9/17/08</c:v>
                </c:pt>
                <c:pt idx="261">
                  <c:v>9/18/08</c:v>
                </c:pt>
                <c:pt idx="262">
                  <c:v>9/19/08</c:v>
                </c:pt>
                <c:pt idx="263">
                  <c:v>9/20/08</c:v>
                </c:pt>
                <c:pt idx="264">
                  <c:v>9/21/08</c:v>
                </c:pt>
                <c:pt idx="265">
                  <c:v>9/22/08</c:v>
                </c:pt>
                <c:pt idx="266">
                  <c:v>9/23/08</c:v>
                </c:pt>
                <c:pt idx="267">
                  <c:v>9/24/08</c:v>
                </c:pt>
                <c:pt idx="268">
                  <c:v>9/25/08</c:v>
                </c:pt>
                <c:pt idx="269">
                  <c:v>9/26/08</c:v>
                </c:pt>
                <c:pt idx="270">
                  <c:v>9/27/08</c:v>
                </c:pt>
                <c:pt idx="271">
                  <c:v>9/28/08</c:v>
                </c:pt>
                <c:pt idx="272">
                  <c:v>9/29/08</c:v>
                </c:pt>
                <c:pt idx="273">
                  <c:v>9/30/08</c:v>
                </c:pt>
                <c:pt idx="274">
                  <c:v>10/1/08</c:v>
                </c:pt>
                <c:pt idx="275">
                  <c:v>10/2/08</c:v>
                </c:pt>
                <c:pt idx="276">
                  <c:v>10/3/08</c:v>
                </c:pt>
                <c:pt idx="277">
                  <c:v>10/4/08</c:v>
                </c:pt>
                <c:pt idx="278">
                  <c:v>10/5/08</c:v>
                </c:pt>
                <c:pt idx="279">
                  <c:v>10/6/08</c:v>
                </c:pt>
                <c:pt idx="280">
                  <c:v>10/7/08</c:v>
                </c:pt>
                <c:pt idx="281">
                  <c:v>10/8/08</c:v>
                </c:pt>
                <c:pt idx="282">
                  <c:v>10/9/08</c:v>
                </c:pt>
                <c:pt idx="283">
                  <c:v>10/10/08</c:v>
                </c:pt>
                <c:pt idx="284">
                  <c:v>10/11/08</c:v>
                </c:pt>
                <c:pt idx="285">
                  <c:v>10/12/08</c:v>
                </c:pt>
                <c:pt idx="286">
                  <c:v>10/13/08</c:v>
                </c:pt>
                <c:pt idx="287">
                  <c:v>10/14/08</c:v>
                </c:pt>
                <c:pt idx="288">
                  <c:v>10/15/08</c:v>
                </c:pt>
                <c:pt idx="289">
                  <c:v>10/16/08</c:v>
                </c:pt>
                <c:pt idx="290">
                  <c:v>10/17/08</c:v>
                </c:pt>
                <c:pt idx="291">
                  <c:v>10/18/08</c:v>
                </c:pt>
                <c:pt idx="292">
                  <c:v>10/19/08</c:v>
                </c:pt>
                <c:pt idx="293">
                  <c:v>10/20/08</c:v>
                </c:pt>
                <c:pt idx="294">
                  <c:v>10/21/08</c:v>
                </c:pt>
                <c:pt idx="295">
                  <c:v>10/22/08</c:v>
                </c:pt>
                <c:pt idx="296">
                  <c:v>10/23/08</c:v>
                </c:pt>
                <c:pt idx="297">
                  <c:v>10/24/08</c:v>
                </c:pt>
                <c:pt idx="298">
                  <c:v>10/25/08</c:v>
                </c:pt>
                <c:pt idx="299">
                  <c:v>10/26/08</c:v>
                </c:pt>
                <c:pt idx="300">
                  <c:v>10/27/08</c:v>
                </c:pt>
                <c:pt idx="301">
                  <c:v>10/28/08</c:v>
                </c:pt>
                <c:pt idx="302">
                  <c:v>10/29/08</c:v>
                </c:pt>
                <c:pt idx="303">
                  <c:v>10/30/08</c:v>
                </c:pt>
                <c:pt idx="304">
                  <c:v>10/31/08</c:v>
                </c:pt>
                <c:pt idx="305">
                  <c:v>11/1/08</c:v>
                </c:pt>
                <c:pt idx="306">
                  <c:v>11/2/08</c:v>
                </c:pt>
                <c:pt idx="307">
                  <c:v>11/3/08</c:v>
                </c:pt>
                <c:pt idx="308">
                  <c:v>11/4/08</c:v>
                </c:pt>
                <c:pt idx="309">
                  <c:v>11/5/08</c:v>
                </c:pt>
                <c:pt idx="310">
                  <c:v>11/6/08</c:v>
                </c:pt>
                <c:pt idx="311">
                  <c:v>11/7/08</c:v>
                </c:pt>
                <c:pt idx="312">
                  <c:v>11/8/08</c:v>
                </c:pt>
                <c:pt idx="313">
                  <c:v>11/9/08</c:v>
                </c:pt>
                <c:pt idx="314">
                  <c:v>11/10/08</c:v>
                </c:pt>
                <c:pt idx="315">
                  <c:v>11/11/08</c:v>
                </c:pt>
                <c:pt idx="316">
                  <c:v>11/12/08</c:v>
                </c:pt>
                <c:pt idx="317">
                  <c:v>11/13/08</c:v>
                </c:pt>
                <c:pt idx="318">
                  <c:v>11/14/08</c:v>
                </c:pt>
                <c:pt idx="319">
                  <c:v>11/15/08</c:v>
                </c:pt>
                <c:pt idx="320">
                  <c:v>11/16/08</c:v>
                </c:pt>
                <c:pt idx="321">
                  <c:v>11/17/08</c:v>
                </c:pt>
                <c:pt idx="322">
                  <c:v>11/18/08</c:v>
                </c:pt>
                <c:pt idx="323">
                  <c:v>11/19/08</c:v>
                </c:pt>
                <c:pt idx="324">
                  <c:v>11/20/08</c:v>
                </c:pt>
                <c:pt idx="325">
                  <c:v>11/21/08</c:v>
                </c:pt>
                <c:pt idx="326">
                  <c:v>11/22/08</c:v>
                </c:pt>
                <c:pt idx="327">
                  <c:v>11/23/08</c:v>
                </c:pt>
                <c:pt idx="328">
                  <c:v>11/24/08</c:v>
                </c:pt>
                <c:pt idx="329">
                  <c:v>11/25/08</c:v>
                </c:pt>
                <c:pt idx="330">
                  <c:v>11/26/08</c:v>
                </c:pt>
                <c:pt idx="331">
                  <c:v>11/27/08</c:v>
                </c:pt>
                <c:pt idx="332">
                  <c:v>11/28/08</c:v>
                </c:pt>
                <c:pt idx="333">
                  <c:v>11/29/08</c:v>
                </c:pt>
                <c:pt idx="334">
                  <c:v>11/30/08</c:v>
                </c:pt>
                <c:pt idx="335">
                  <c:v>12/1/08</c:v>
                </c:pt>
                <c:pt idx="336">
                  <c:v>12/2/08</c:v>
                </c:pt>
                <c:pt idx="337">
                  <c:v>12/3/08</c:v>
                </c:pt>
                <c:pt idx="338">
                  <c:v>12/4/08</c:v>
                </c:pt>
                <c:pt idx="339">
                  <c:v>12/5/08</c:v>
                </c:pt>
                <c:pt idx="340">
                  <c:v>12/6/08</c:v>
                </c:pt>
                <c:pt idx="341">
                  <c:v>12/7/08</c:v>
                </c:pt>
                <c:pt idx="342">
                  <c:v>12/8/08</c:v>
                </c:pt>
                <c:pt idx="343">
                  <c:v>12/9/08</c:v>
                </c:pt>
                <c:pt idx="344">
                  <c:v>12/10/08</c:v>
                </c:pt>
                <c:pt idx="345">
                  <c:v>12/11/08</c:v>
                </c:pt>
                <c:pt idx="346">
                  <c:v>12/12/08</c:v>
                </c:pt>
                <c:pt idx="347">
                  <c:v>12/13/08</c:v>
                </c:pt>
                <c:pt idx="348">
                  <c:v>12/14/08</c:v>
                </c:pt>
                <c:pt idx="349">
                  <c:v>12/15/08</c:v>
                </c:pt>
                <c:pt idx="350">
                  <c:v>12/16/08</c:v>
                </c:pt>
                <c:pt idx="351">
                  <c:v>12/17/08</c:v>
                </c:pt>
                <c:pt idx="352">
                  <c:v>12/18/08</c:v>
                </c:pt>
                <c:pt idx="353">
                  <c:v>12/19/08</c:v>
                </c:pt>
                <c:pt idx="354">
                  <c:v>12/20/08</c:v>
                </c:pt>
                <c:pt idx="355">
                  <c:v>12/21/08</c:v>
                </c:pt>
                <c:pt idx="356">
                  <c:v>12/22/08</c:v>
                </c:pt>
                <c:pt idx="357">
                  <c:v>12/23/08</c:v>
                </c:pt>
                <c:pt idx="358">
                  <c:v>12/24/08</c:v>
                </c:pt>
                <c:pt idx="359">
                  <c:v>12/25/08</c:v>
                </c:pt>
                <c:pt idx="360">
                  <c:v>12/26/08</c:v>
                </c:pt>
                <c:pt idx="361">
                  <c:v>12/27/08</c:v>
                </c:pt>
                <c:pt idx="362">
                  <c:v>12/28/08</c:v>
                </c:pt>
                <c:pt idx="363">
                  <c:v>12/29/08</c:v>
                </c:pt>
                <c:pt idx="364">
                  <c:v>12/30/08</c:v>
                </c:pt>
                <c:pt idx="365">
                  <c:v>12/31/08</c:v>
                </c:pt>
                <c:pt idx="366">
                  <c:v>1/1/09</c:v>
                </c:pt>
                <c:pt idx="367">
                  <c:v>1/2/09</c:v>
                </c:pt>
                <c:pt idx="368">
                  <c:v>1/3/09</c:v>
                </c:pt>
                <c:pt idx="369">
                  <c:v>1/4/09</c:v>
                </c:pt>
                <c:pt idx="370">
                  <c:v>1/5/09</c:v>
                </c:pt>
                <c:pt idx="371">
                  <c:v>1/6/09</c:v>
                </c:pt>
                <c:pt idx="372">
                  <c:v>1/7/09</c:v>
                </c:pt>
                <c:pt idx="373">
                  <c:v>1/8/09</c:v>
                </c:pt>
                <c:pt idx="374">
                  <c:v>1/9/09</c:v>
                </c:pt>
                <c:pt idx="375">
                  <c:v>1/10/09</c:v>
                </c:pt>
                <c:pt idx="376">
                  <c:v>1/11/09</c:v>
                </c:pt>
                <c:pt idx="377">
                  <c:v>1/12/09</c:v>
                </c:pt>
                <c:pt idx="378">
                  <c:v>1/13/09</c:v>
                </c:pt>
                <c:pt idx="379">
                  <c:v>1/14/09</c:v>
                </c:pt>
                <c:pt idx="380">
                  <c:v>1/15/09</c:v>
                </c:pt>
                <c:pt idx="381">
                  <c:v>1/16/09</c:v>
                </c:pt>
                <c:pt idx="382">
                  <c:v>1/17/09</c:v>
                </c:pt>
                <c:pt idx="383">
                  <c:v>1/18/09</c:v>
                </c:pt>
                <c:pt idx="384">
                  <c:v>1/19/09</c:v>
                </c:pt>
                <c:pt idx="385">
                  <c:v>1/20/09</c:v>
                </c:pt>
                <c:pt idx="386">
                  <c:v>1/21/09</c:v>
                </c:pt>
                <c:pt idx="387">
                  <c:v>1/22/09</c:v>
                </c:pt>
                <c:pt idx="388">
                  <c:v>1/23/09</c:v>
                </c:pt>
                <c:pt idx="389">
                  <c:v>1/24/09</c:v>
                </c:pt>
                <c:pt idx="390">
                  <c:v>1/25/09</c:v>
                </c:pt>
                <c:pt idx="391">
                  <c:v>1/26/09</c:v>
                </c:pt>
                <c:pt idx="392">
                  <c:v>1/27/09</c:v>
                </c:pt>
                <c:pt idx="393">
                  <c:v>1/28/09</c:v>
                </c:pt>
                <c:pt idx="394">
                  <c:v>1/29/09</c:v>
                </c:pt>
                <c:pt idx="395">
                  <c:v>1/30/09</c:v>
                </c:pt>
                <c:pt idx="396">
                  <c:v>1/31/09</c:v>
                </c:pt>
                <c:pt idx="397">
                  <c:v>2/1/09</c:v>
                </c:pt>
                <c:pt idx="398">
                  <c:v>2/2/09</c:v>
                </c:pt>
                <c:pt idx="399">
                  <c:v>2/3/09</c:v>
                </c:pt>
                <c:pt idx="400">
                  <c:v>2/4/09</c:v>
                </c:pt>
                <c:pt idx="401">
                  <c:v>2/5/09</c:v>
                </c:pt>
                <c:pt idx="402">
                  <c:v>2/6/09</c:v>
                </c:pt>
                <c:pt idx="403">
                  <c:v>2/7/09</c:v>
                </c:pt>
                <c:pt idx="404">
                  <c:v>2/8/09</c:v>
                </c:pt>
                <c:pt idx="405">
                  <c:v>2/9/09</c:v>
                </c:pt>
                <c:pt idx="406">
                  <c:v>2/10/09</c:v>
                </c:pt>
                <c:pt idx="407">
                  <c:v>2/11/09</c:v>
                </c:pt>
                <c:pt idx="408">
                  <c:v>2/12/09</c:v>
                </c:pt>
                <c:pt idx="409">
                  <c:v>2/13/09</c:v>
                </c:pt>
                <c:pt idx="410">
                  <c:v>2/14/09</c:v>
                </c:pt>
                <c:pt idx="411">
                  <c:v>2/15/09</c:v>
                </c:pt>
                <c:pt idx="412">
                  <c:v>2/16/09</c:v>
                </c:pt>
                <c:pt idx="413">
                  <c:v>2/17/09</c:v>
                </c:pt>
                <c:pt idx="414">
                  <c:v>2/18/09</c:v>
                </c:pt>
                <c:pt idx="415">
                  <c:v>2/19/09</c:v>
                </c:pt>
                <c:pt idx="416">
                  <c:v>2/20/09</c:v>
                </c:pt>
                <c:pt idx="417">
                  <c:v>2/21/09</c:v>
                </c:pt>
                <c:pt idx="418">
                  <c:v>2/22/09</c:v>
                </c:pt>
                <c:pt idx="419">
                  <c:v>2/23/09</c:v>
                </c:pt>
                <c:pt idx="420">
                  <c:v>2/24/09</c:v>
                </c:pt>
                <c:pt idx="421">
                  <c:v>2/25/09</c:v>
                </c:pt>
                <c:pt idx="422">
                  <c:v>2/26/09</c:v>
                </c:pt>
                <c:pt idx="423">
                  <c:v>2/27/09</c:v>
                </c:pt>
                <c:pt idx="424">
                  <c:v>2/28/09</c:v>
                </c:pt>
                <c:pt idx="425">
                  <c:v>3/1/09</c:v>
                </c:pt>
                <c:pt idx="426">
                  <c:v>3/2/09</c:v>
                </c:pt>
                <c:pt idx="427">
                  <c:v>3/3/09</c:v>
                </c:pt>
                <c:pt idx="428">
                  <c:v>3/4/09</c:v>
                </c:pt>
                <c:pt idx="429">
                  <c:v>3/5/09</c:v>
                </c:pt>
                <c:pt idx="430">
                  <c:v>3/6/09</c:v>
                </c:pt>
                <c:pt idx="431">
                  <c:v>3/7/09</c:v>
                </c:pt>
                <c:pt idx="432">
                  <c:v>3/8/09</c:v>
                </c:pt>
                <c:pt idx="433">
                  <c:v>3/9/09</c:v>
                </c:pt>
                <c:pt idx="434">
                  <c:v>3/10/09</c:v>
                </c:pt>
                <c:pt idx="435">
                  <c:v>3/11/09</c:v>
                </c:pt>
                <c:pt idx="436">
                  <c:v>3/12/09</c:v>
                </c:pt>
                <c:pt idx="437">
                  <c:v>3/13/09</c:v>
                </c:pt>
                <c:pt idx="438">
                  <c:v>3/14/09</c:v>
                </c:pt>
                <c:pt idx="439">
                  <c:v>3/15/09</c:v>
                </c:pt>
                <c:pt idx="440">
                  <c:v>3/16/09</c:v>
                </c:pt>
                <c:pt idx="441">
                  <c:v>3/17/09</c:v>
                </c:pt>
                <c:pt idx="442">
                  <c:v>3/18/09</c:v>
                </c:pt>
                <c:pt idx="443">
                  <c:v>3/19/09</c:v>
                </c:pt>
                <c:pt idx="444">
                  <c:v>3/20/09</c:v>
                </c:pt>
                <c:pt idx="445">
                  <c:v>3/21/09</c:v>
                </c:pt>
                <c:pt idx="446">
                  <c:v>3/22/09</c:v>
                </c:pt>
                <c:pt idx="447">
                  <c:v>3/23/09</c:v>
                </c:pt>
                <c:pt idx="448">
                  <c:v>3/24/09</c:v>
                </c:pt>
                <c:pt idx="449">
                  <c:v>3/25/09</c:v>
                </c:pt>
                <c:pt idx="450">
                  <c:v>3/26/09</c:v>
                </c:pt>
                <c:pt idx="451">
                  <c:v>3/27/09</c:v>
                </c:pt>
                <c:pt idx="452">
                  <c:v>3/28/09</c:v>
                </c:pt>
                <c:pt idx="453">
                  <c:v>3/29/09</c:v>
                </c:pt>
                <c:pt idx="454">
                  <c:v>3/30/09</c:v>
                </c:pt>
                <c:pt idx="455">
                  <c:v>3/31/09</c:v>
                </c:pt>
                <c:pt idx="456">
                  <c:v>4/1/09</c:v>
                </c:pt>
                <c:pt idx="457">
                  <c:v>4/2/09</c:v>
                </c:pt>
                <c:pt idx="458">
                  <c:v>4/3/09</c:v>
                </c:pt>
                <c:pt idx="459">
                  <c:v>4/4/09</c:v>
                </c:pt>
                <c:pt idx="460">
                  <c:v>4/5/09</c:v>
                </c:pt>
                <c:pt idx="461">
                  <c:v>4/6/09</c:v>
                </c:pt>
                <c:pt idx="462">
                  <c:v>4/7/09</c:v>
                </c:pt>
                <c:pt idx="463">
                  <c:v>4/8/09</c:v>
                </c:pt>
                <c:pt idx="464">
                  <c:v>4/9/09</c:v>
                </c:pt>
                <c:pt idx="465">
                  <c:v>4/10/09</c:v>
                </c:pt>
                <c:pt idx="466">
                  <c:v>4/11/09</c:v>
                </c:pt>
                <c:pt idx="467">
                  <c:v>4/12/09</c:v>
                </c:pt>
                <c:pt idx="468">
                  <c:v>4/13/09</c:v>
                </c:pt>
                <c:pt idx="469">
                  <c:v>4/14/09</c:v>
                </c:pt>
                <c:pt idx="470">
                  <c:v>4/15/09</c:v>
                </c:pt>
                <c:pt idx="471">
                  <c:v>4/16/09</c:v>
                </c:pt>
                <c:pt idx="472">
                  <c:v>4/17/09</c:v>
                </c:pt>
                <c:pt idx="473">
                  <c:v>4/18/09</c:v>
                </c:pt>
                <c:pt idx="474">
                  <c:v>4/19/09</c:v>
                </c:pt>
                <c:pt idx="475">
                  <c:v>4/20/09</c:v>
                </c:pt>
                <c:pt idx="476">
                  <c:v>4/21/09</c:v>
                </c:pt>
                <c:pt idx="477">
                  <c:v>4/22/09</c:v>
                </c:pt>
                <c:pt idx="478">
                  <c:v>4/23/09</c:v>
                </c:pt>
                <c:pt idx="479">
                  <c:v>4/24/09</c:v>
                </c:pt>
                <c:pt idx="480">
                  <c:v>4/25/09</c:v>
                </c:pt>
                <c:pt idx="481">
                  <c:v>4/26/09</c:v>
                </c:pt>
                <c:pt idx="482">
                  <c:v>4/27/09</c:v>
                </c:pt>
                <c:pt idx="483">
                  <c:v>4/28/09</c:v>
                </c:pt>
                <c:pt idx="484">
                  <c:v>4/29/09</c:v>
                </c:pt>
                <c:pt idx="485">
                  <c:v>4/30/09</c:v>
                </c:pt>
                <c:pt idx="486">
                  <c:v>5/1/09</c:v>
                </c:pt>
                <c:pt idx="487">
                  <c:v>5/2/09</c:v>
                </c:pt>
                <c:pt idx="488">
                  <c:v>5/3/09</c:v>
                </c:pt>
                <c:pt idx="489">
                  <c:v>5/4/09</c:v>
                </c:pt>
                <c:pt idx="490">
                  <c:v>5/5/09</c:v>
                </c:pt>
                <c:pt idx="491">
                  <c:v>5/6/09</c:v>
                </c:pt>
                <c:pt idx="492">
                  <c:v>5/7/09</c:v>
                </c:pt>
                <c:pt idx="493">
                  <c:v>5/8/09</c:v>
                </c:pt>
                <c:pt idx="494">
                  <c:v>5/9/09</c:v>
                </c:pt>
                <c:pt idx="495">
                  <c:v>5/10/09</c:v>
                </c:pt>
                <c:pt idx="496">
                  <c:v>5/11/09</c:v>
                </c:pt>
                <c:pt idx="497">
                  <c:v>5/12/09</c:v>
                </c:pt>
                <c:pt idx="498">
                  <c:v>5/13/09</c:v>
                </c:pt>
                <c:pt idx="499">
                  <c:v>5/14/09</c:v>
                </c:pt>
                <c:pt idx="500">
                  <c:v>5/15/09</c:v>
                </c:pt>
                <c:pt idx="501">
                  <c:v>5/16/09</c:v>
                </c:pt>
                <c:pt idx="502">
                  <c:v>5/17/09</c:v>
                </c:pt>
                <c:pt idx="503">
                  <c:v>5/18/09</c:v>
                </c:pt>
                <c:pt idx="504">
                  <c:v>5/19/09</c:v>
                </c:pt>
                <c:pt idx="505">
                  <c:v>5/20/09</c:v>
                </c:pt>
                <c:pt idx="506">
                  <c:v>5/21/09</c:v>
                </c:pt>
                <c:pt idx="507">
                  <c:v>5/22/09</c:v>
                </c:pt>
                <c:pt idx="508">
                  <c:v>5/23/09</c:v>
                </c:pt>
                <c:pt idx="509">
                  <c:v>5/24/09</c:v>
                </c:pt>
                <c:pt idx="510">
                  <c:v>5/25/09</c:v>
                </c:pt>
                <c:pt idx="511">
                  <c:v>5/26/09</c:v>
                </c:pt>
                <c:pt idx="512">
                  <c:v>5/27/09</c:v>
                </c:pt>
                <c:pt idx="513">
                  <c:v>5/28/09</c:v>
                </c:pt>
                <c:pt idx="514">
                  <c:v>5/29/09</c:v>
                </c:pt>
                <c:pt idx="515">
                  <c:v>5/30/09</c:v>
                </c:pt>
                <c:pt idx="516">
                  <c:v>5/31/09</c:v>
                </c:pt>
                <c:pt idx="517">
                  <c:v>6/1/09</c:v>
                </c:pt>
                <c:pt idx="518">
                  <c:v>6/2/09</c:v>
                </c:pt>
                <c:pt idx="519">
                  <c:v>6/3/09</c:v>
                </c:pt>
                <c:pt idx="520">
                  <c:v>6/4/09</c:v>
                </c:pt>
                <c:pt idx="521">
                  <c:v>6/5/09</c:v>
                </c:pt>
                <c:pt idx="522">
                  <c:v>6/6/09</c:v>
                </c:pt>
                <c:pt idx="523">
                  <c:v>6/7/09</c:v>
                </c:pt>
                <c:pt idx="524">
                  <c:v>6/8/09</c:v>
                </c:pt>
                <c:pt idx="525">
                  <c:v>6/9/09</c:v>
                </c:pt>
                <c:pt idx="526">
                  <c:v>6/10/09</c:v>
                </c:pt>
                <c:pt idx="527">
                  <c:v>6/11/09</c:v>
                </c:pt>
                <c:pt idx="528">
                  <c:v>6/12/09</c:v>
                </c:pt>
                <c:pt idx="529">
                  <c:v>6/13/09</c:v>
                </c:pt>
                <c:pt idx="530">
                  <c:v>6/14/09</c:v>
                </c:pt>
                <c:pt idx="531">
                  <c:v>6/15/09</c:v>
                </c:pt>
                <c:pt idx="532">
                  <c:v>6/16/09</c:v>
                </c:pt>
                <c:pt idx="533">
                  <c:v>6/17/09</c:v>
                </c:pt>
                <c:pt idx="534">
                  <c:v>6/18/09</c:v>
                </c:pt>
                <c:pt idx="535">
                  <c:v>6/19/09</c:v>
                </c:pt>
                <c:pt idx="536">
                  <c:v>6/20/09</c:v>
                </c:pt>
                <c:pt idx="537">
                  <c:v>6/21/09</c:v>
                </c:pt>
                <c:pt idx="538">
                  <c:v>6/22/09</c:v>
                </c:pt>
                <c:pt idx="539">
                  <c:v>6/23/09</c:v>
                </c:pt>
                <c:pt idx="540">
                  <c:v>6/24/09</c:v>
                </c:pt>
                <c:pt idx="541">
                  <c:v>6/25/09</c:v>
                </c:pt>
                <c:pt idx="542">
                  <c:v>6/26/09</c:v>
                </c:pt>
                <c:pt idx="543">
                  <c:v>6/27/09</c:v>
                </c:pt>
                <c:pt idx="544">
                  <c:v>6/28/09</c:v>
                </c:pt>
                <c:pt idx="545">
                  <c:v>6/29/09</c:v>
                </c:pt>
                <c:pt idx="546">
                  <c:v>6/30/09</c:v>
                </c:pt>
                <c:pt idx="547">
                  <c:v>7/1/09</c:v>
                </c:pt>
                <c:pt idx="548">
                  <c:v>7/2/09</c:v>
                </c:pt>
                <c:pt idx="549">
                  <c:v>7/3/09</c:v>
                </c:pt>
                <c:pt idx="550">
                  <c:v>7/4/09</c:v>
                </c:pt>
                <c:pt idx="551">
                  <c:v>7/5/09</c:v>
                </c:pt>
                <c:pt idx="552">
                  <c:v>7/6/09</c:v>
                </c:pt>
                <c:pt idx="553">
                  <c:v>7/7/09</c:v>
                </c:pt>
                <c:pt idx="554">
                  <c:v>7/8/09</c:v>
                </c:pt>
                <c:pt idx="555">
                  <c:v>7/9/09</c:v>
                </c:pt>
                <c:pt idx="556">
                  <c:v>7/10/09</c:v>
                </c:pt>
                <c:pt idx="557">
                  <c:v>7/11/09</c:v>
                </c:pt>
                <c:pt idx="558">
                  <c:v>7/12/09</c:v>
                </c:pt>
                <c:pt idx="559">
                  <c:v>7/13/09</c:v>
                </c:pt>
                <c:pt idx="560">
                  <c:v>7/14/09</c:v>
                </c:pt>
                <c:pt idx="561">
                  <c:v>7/15/09</c:v>
                </c:pt>
                <c:pt idx="562">
                  <c:v>7/16/09</c:v>
                </c:pt>
                <c:pt idx="563">
                  <c:v>7/17/09</c:v>
                </c:pt>
                <c:pt idx="564">
                  <c:v>7/18/09</c:v>
                </c:pt>
                <c:pt idx="565">
                  <c:v>7/19/09</c:v>
                </c:pt>
                <c:pt idx="566">
                  <c:v>7/20/09</c:v>
                </c:pt>
                <c:pt idx="567">
                  <c:v>7/21/09</c:v>
                </c:pt>
                <c:pt idx="568">
                  <c:v>7/22/09</c:v>
                </c:pt>
                <c:pt idx="569">
                  <c:v>7/23/09</c:v>
                </c:pt>
                <c:pt idx="570">
                  <c:v>7/24/09</c:v>
                </c:pt>
                <c:pt idx="571">
                  <c:v>7/25/09</c:v>
                </c:pt>
                <c:pt idx="572">
                  <c:v>7/26/09</c:v>
                </c:pt>
                <c:pt idx="573">
                  <c:v>7/27/09</c:v>
                </c:pt>
                <c:pt idx="574">
                  <c:v>7/28/09</c:v>
                </c:pt>
                <c:pt idx="575">
                  <c:v>7/29/09</c:v>
                </c:pt>
                <c:pt idx="576">
                  <c:v>7/30/09</c:v>
                </c:pt>
                <c:pt idx="577">
                  <c:v>7/31/09</c:v>
                </c:pt>
                <c:pt idx="578">
                  <c:v>8/1/09</c:v>
                </c:pt>
                <c:pt idx="579">
                  <c:v>8/2/09</c:v>
                </c:pt>
                <c:pt idx="580">
                  <c:v>8/3/09</c:v>
                </c:pt>
                <c:pt idx="581">
                  <c:v>8/4/09</c:v>
                </c:pt>
                <c:pt idx="582">
                  <c:v>8/5/09</c:v>
                </c:pt>
                <c:pt idx="583">
                  <c:v>8/6/09</c:v>
                </c:pt>
                <c:pt idx="584">
                  <c:v>8/7/09</c:v>
                </c:pt>
                <c:pt idx="585">
                  <c:v>8/8/09</c:v>
                </c:pt>
                <c:pt idx="586">
                  <c:v>8/9/09</c:v>
                </c:pt>
                <c:pt idx="587">
                  <c:v>8/10/09</c:v>
                </c:pt>
                <c:pt idx="588">
                  <c:v>8/11/09</c:v>
                </c:pt>
                <c:pt idx="589">
                  <c:v>8/12/09</c:v>
                </c:pt>
                <c:pt idx="590">
                  <c:v>8/13/09</c:v>
                </c:pt>
                <c:pt idx="591">
                  <c:v>8/14/09</c:v>
                </c:pt>
                <c:pt idx="592">
                  <c:v>8/15/09</c:v>
                </c:pt>
                <c:pt idx="593">
                  <c:v>8/16/09</c:v>
                </c:pt>
                <c:pt idx="594">
                  <c:v>8/17/09</c:v>
                </c:pt>
                <c:pt idx="595">
                  <c:v>8/18/09</c:v>
                </c:pt>
                <c:pt idx="596">
                  <c:v>8/19/09</c:v>
                </c:pt>
                <c:pt idx="597">
                  <c:v>8/20/09</c:v>
                </c:pt>
                <c:pt idx="598">
                  <c:v>8/21/09</c:v>
                </c:pt>
                <c:pt idx="599">
                  <c:v>8/22/09</c:v>
                </c:pt>
                <c:pt idx="600">
                  <c:v>8/23/09</c:v>
                </c:pt>
                <c:pt idx="601">
                  <c:v>8/24/09</c:v>
                </c:pt>
                <c:pt idx="602">
                  <c:v>8/25/09</c:v>
                </c:pt>
                <c:pt idx="603">
                  <c:v>8/26/09</c:v>
                </c:pt>
                <c:pt idx="604">
                  <c:v>8/27/09</c:v>
                </c:pt>
                <c:pt idx="605">
                  <c:v>8/28/09</c:v>
                </c:pt>
                <c:pt idx="606">
                  <c:v>8/29/09</c:v>
                </c:pt>
                <c:pt idx="607">
                  <c:v>8/30/09</c:v>
                </c:pt>
                <c:pt idx="608">
                  <c:v>8/31/09</c:v>
                </c:pt>
                <c:pt idx="609">
                  <c:v>9/1/09</c:v>
                </c:pt>
                <c:pt idx="610">
                  <c:v>9/2/09</c:v>
                </c:pt>
                <c:pt idx="611">
                  <c:v>9/3/09</c:v>
                </c:pt>
                <c:pt idx="612">
                  <c:v>9/4/09</c:v>
                </c:pt>
                <c:pt idx="613">
                  <c:v>9/5/09</c:v>
                </c:pt>
                <c:pt idx="614">
                  <c:v>9/6/09</c:v>
                </c:pt>
                <c:pt idx="615">
                  <c:v>9/7/09</c:v>
                </c:pt>
                <c:pt idx="616">
                  <c:v>9/8/09</c:v>
                </c:pt>
                <c:pt idx="617">
                  <c:v>9/9/09</c:v>
                </c:pt>
                <c:pt idx="618">
                  <c:v>9/10/09</c:v>
                </c:pt>
                <c:pt idx="619">
                  <c:v>9/11/09</c:v>
                </c:pt>
                <c:pt idx="620">
                  <c:v>9/12/09</c:v>
                </c:pt>
                <c:pt idx="621">
                  <c:v>9/13/09</c:v>
                </c:pt>
                <c:pt idx="622">
                  <c:v>9/14/09</c:v>
                </c:pt>
                <c:pt idx="623">
                  <c:v>9/15/09</c:v>
                </c:pt>
                <c:pt idx="624">
                  <c:v>9/16/09</c:v>
                </c:pt>
                <c:pt idx="625">
                  <c:v>9/17/09</c:v>
                </c:pt>
                <c:pt idx="626">
                  <c:v>9/18/09</c:v>
                </c:pt>
                <c:pt idx="627">
                  <c:v>9/19/09</c:v>
                </c:pt>
                <c:pt idx="628">
                  <c:v>9/20/09</c:v>
                </c:pt>
                <c:pt idx="629">
                  <c:v>9/21/09</c:v>
                </c:pt>
                <c:pt idx="630">
                  <c:v>9/22/09</c:v>
                </c:pt>
                <c:pt idx="631">
                  <c:v>9/23/09</c:v>
                </c:pt>
                <c:pt idx="632">
                  <c:v>9/24/09</c:v>
                </c:pt>
                <c:pt idx="633">
                  <c:v>9/25/09</c:v>
                </c:pt>
                <c:pt idx="634">
                  <c:v>9/26/09</c:v>
                </c:pt>
                <c:pt idx="635">
                  <c:v>9/27/09</c:v>
                </c:pt>
                <c:pt idx="636">
                  <c:v>9/28/09</c:v>
                </c:pt>
                <c:pt idx="637">
                  <c:v>9/29/09</c:v>
                </c:pt>
                <c:pt idx="638">
                  <c:v>9/30/09</c:v>
                </c:pt>
                <c:pt idx="639">
                  <c:v>10/1/09</c:v>
                </c:pt>
                <c:pt idx="640">
                  <c:v>10/2/09</c:v>
                </c:pt>
                <c:pt idx="641">
                  <c:v>10/3/09</c:v>
                </c:pt>
                <c:pt idx="642">
                  <c:v>10/4/09</c:v>
                </c:pt>
                <c:pt idx="643">
                  <c:v>10/5/09</c:v>
                </c:pt>
                <c:pt idx="644">
                  <c:v>10/6/09</c:v>
                </c:pt>
                <c:pt idx="645">
                  <c:v>10/7/09</c:v>
                </c:pt>
                <c:pt idx="646">
                  <c:v>10/8/09</c:v>
                </c:pt>
                <c:pt idx="647">
                  <c:v>10/9/09</c:v>
                </c:pt>
                <c:pt idx="648">
                  <c:v>10/10/09</c:v>
                </c:pt>
                <c:pt idx="649">
                  <c:v>10/11/09</c:v>
                </c:pt>
                <c:pt idx="650">
                  <c:v>10/12/09</c:v>
                </c:pt>
                <c:pt idx="651">
                  <c:v>10/13/09</c:v>
                </c:pt>
                <c:pt idx="652">
                  <c:v>10/14/09</c:v>
                </c:pt>
                <c:pt idx="653">
                  <c:v>10/15/09</c:v>
                </c:pt>
                <c:pt idx="654">
                  <c:v>10/16/09</c:v>
                </c:pt>
                <c:pt idx="655">
                  <c:v>10/17/09</c:v>
                </c:pt>
                <c:pt idx="656">
                  <c:v>10/18/09</c:v>
                </c:pt>
                <c:pt idx="657">
                  <c:v>10/19/09</c:v>
                </c:pt>
                <c:pt idx="658">
                  <c:v>10/20/09</c:v>
                </c:pt>
                <c:pt idx="659">
                  <c:v>10/21/09</c:v>
                </c:pt>
                <c:pt idx="660">
                  <c:v>10/22/09</c:v>
                </c:pt>
                <c:pt idx="661">
                  <c:v>10/23/09</c:v>
                </c:pt>
                <c:pt idx="662">
                  <c:v>10/24/09</c:v>
                </c:pt>
                <c:pt idx="663">
                  <c:v>10/25/09</c:v>
                </c:pt>
                <c:pt idx="664">
                  <c:v>10/26/09</c:v>
                </c:pt>
                <c:pt idx="665">
                  <c:v>10/27/09</c:v>
                </c:pt>
                <c:pt idx="666">
                  <c:v>10/28/09</c:v>
                </c:pt>
                <c:pt idx="667">
                  <c:v>10/29/09</c:v>
                </c:pt>
                <c:pt idx="668">
                  <c:v>10/30/09</c:v>
                </c:pt>
                <c:pt idx="669">
                  <c:v>10/31/09</c:v>
                </c:pt>
                <c:pt idx="670">
                  <c:v>11/1/09</c:v>
                </c:pt>
                <c:pt idx="671">
                  <c:v>11/2/09</c:v>
                </c:pt>
                <c:pt idx="672">
                  <c:v>11/3/09</c:v>
                </c:pt>
                <c:pt idx="673">
                  <c:v>11/4/09</c:v>
                </c:pt>
                <c:pt idx="674">
                  <c:v>11/5/09</c:v>
                </c:pt>
                <c:pt idx="675">
                  <c:v>11/6/09</c:v>
                </c:pt>
                <c:pt idx="676">
                  <c:v>11/7/09</c:v>
                </c:pt>
                <c:pt idx="677">
                  <c:v>11/8/09</c:v>
                </c:pt>
                <c:pt idx="678">
                  <c:v>11/9/09</c:v>
                </c:pt>
                <c:pt idx="679">
                  <c:v>11/10/09</c:v>
                </c:pt>
                <c:pt idx="680">
                  <c:v>11/11/09</c:v>
                </c:pt>
                <c:pt idx="681">
                  <c:v>11/12/09</c:v>
                </c:pt>
                <c:pt idx="682">
                  <c:v>11/13/09</c:v>
                </c:pt>
                <c:pt idx="683">
                  <c:v>11/14/09</c:v>
                </c:pt>
                <c:pt idx="684">
                  <c:v>11/15/09</c:v>
                </c:pt>
                <c:pt idx="685">
                  <c:v>11/16/09</c:v>
                </c:pt>
                <c:pt idx="686">
                  <c:v>11/17/09</c:v>
                </c:pt>
                <c:pt idx="687">
                  <c:v>11/18/09</c:v>
                </c:pt>
                <c:pt idx="688">
                  <c:v>11/19/09</c:v>
                </c:pt>
                <c:pt idx="689">
                  <c:v>11/20/09</c:v>
                </c:pt>
                <c:pt idx="690">
                  <c:v>11/21/09</c:v>
                </c:pt>
                <c:pt idx="691">
                  <c:v>11/22/09</c:v>
                </c:pt>
                <c:pt idx="692">
                  <c:v>11/23/09</c:v>
                </c:pt>
                <c:pt idx="693">
                  <c:v>11/24/09</c:v>
                </c:pt>
                <c:pt idx="694">
                  <c:v>11/25/09</c:v>
                </c:pt>
                <c:pt idx="695">
                  <c:v>11/26/09</c:v>
                </c:pt>
                <c:pt idx="696">
                  <c:v>11/27/09</c:v>
                </c:pt>
                <c:pt idx="697">
                  <c:v>11/28/09</c:v>
                </c:pt>
                <c:pt idx="698">
                  <c:v>11/29/09</c:v>
                </c:pt>
                <c:pt idx="699">
                  <c:v>11/30/09</c:v>
                </c:pt>
                <c:pt idx="700">
                  <c:v>12/1/09</c:v>
                </c:pt>
                <c:pt idx="701">
                  <c:v>12/2/09</c:v>
                </c:pt>
                <c:pt idx="702">
                  <c:v>12/3/09</c:v>
                </c:pt>
                <c:pt idx="703">
                  <c:v>12/4/09</c:v>
                </c:pt>
                <c:pt idx="704">
                  <c:v>12/5/09</c:v>
                </c:pt>
                <c:pt idx="705">
                  <c:v>12/6/09</c:v>
                </c:pt>
                <c:pt idx="706">
                  <c:v>12/7/09</c:v>
                </c:pt>
                <c:pt idx="707">
                  <c:v>12/8/09</c:v>
                </c:pt>
                <c:pt idx="708">
                  <c:v>12/9/09</c:v>
                </c:pt>
                <c:pt idx="709">
                  <c:v>12/10/09</c:v>
                </c:pt>
                <c:pt idx="710">
                  <c:v>12/11/09</c:v>
                </c:pt>
                <c:pt idx="711">
                  <c:v>12/12/09</c:v>
                </c:pt>
                <c:pt idx="712">
                  <c:v>12/13/09</c:v>
                </c:pt>
                <c:pt idx="713">
                  <c:v>12/14/09</c:v>
                </c:pt>
                <c:pt idx="714">
                  <c:v>12/15/09</c:v>
                </c:pt>
                <c:pt idx="715">
                  <c:v>12/16/09</c:v>
                </c:pt>
                <c:pt idx="716">
                  <c:v>12/17/09</c:v>
                </c:pt>
                <c:pt idx="717">
                  <c:v>12/18/09</c:v>
                </c:pt>
                <c:pt idx="718">
                  <c:v>12/19/09</c:v>
                </c:pt>
                <c:pt idx="719">
                  <c:v>12/20/09</c:v>
                </c:pt>
                <c:pt idx="720">
                  <c:v>12/21/09</c:v>
                </c:pt>
                <c:pt idx="721">
                  <c:v>12/22/09</c:v>
                </c:pt>
                <c:pt idx="722">
                  <c:v>12/23/09</c:v>
                </c:pt>
                <c:pt idx="723">
                  <c:v>12/24/09</c:v>
                </c:pt>
                <c:pt idx="724">
                  <c:v>12/25/09</c:v>
                </c:pt>
                <c:pt idx="725">
                  <c:v>12/26/09</c:v>
                </c:pt>
                <c:pt idx="726">
                  <c:v>12/27/09</c:v>
                </c:pt>
                <c:pt idx="727">
                  <c:v>12/28/09</c:v>
                </c:pt>
                <c:pt idx="728">
                  <c:v>12/29/09</c:v>
                </c:pt>
                <c:pt idx="729">
                  <c:v>12/30/09</c:v>
                </c:pt>
                <c:pt idx="730">
                  <c:v>12/31/09</c:v>
                </c:pt>
                <c:pt idx="731">
                  <c:v>1/4/10</c:v>
                </c:pt>
                <c:pt idx="732">
                  <c:v>1/5/10</c:v>
                </c:pt>
                <c:pt idx="733">
                  <c:v>1/6/10</c:v>
                </c:pt>
                <c:pt idx="734">
                  <c:v>1/7/10</c:v>
                </c:pt>
                <c:pt idx="735">
                  <c:v>1/8/10</c:v>
                </c:pt>
                <c:pt idx="736">
                  <c:v>1/11/10</c:v>
                </c:pt>
                <c:pt idx="737">
                  <c:v>1/12/10</c:v>
                </c:pt>
                <c:pt idx="738">
                  <c:v>1/13/10</c:v>
                </c:pt>
                <c:pt idx="739">
                  <c:v>1/14/10</c:v>
                </c:pt>
                <c:pt idx="740">
                  <c:v>1/15/10</c:v>
                </c:pt>
                <c:pt idx="741">
                  <c:v>1/19/10</c:v>
                </c:pt>
                <c:pt idx="742">
                  <c:v>1/20/10</c:v>
                </c:pt>
                <c:pt idx="743">
                  <c:v>1/21/10</c:v>
                </c:pt>
                <c:pt idx="744">
                  <c:v>1/22/10</c:v>
                </c:pt>
                <c:pt idx="745">
                  <c:v>1/25/10</c:v>
                </c:pt>
                <c:pt idx="746">
                  <c:v>1/26/10</c:v>
                </c:pt>
                <c:pt idx="747">
                  <c:v>1/27/10</c:v>
                </c:pt>
                <c:pt idx="748">
                  <c:v>1/28/10</c:v>
                </c:pt>
                <c:pt idx="749">
                  <c:v>1/29/10</c:v>
                </c:pt>
                <c:pt idx="750">
                  <c:v>2/1/10</c:v>
                </c:pt>
                <c:pt idx="751">
                  <c:v>2/2/10</c:v>
                </c:pt>
                <c:pt idx="752">
                  <c:v>2/3/10</c:v>
                </c:pt>
                <c:pt idx="753">
                  <c:v>2/4/10</c:v>
                </c:pt>
                <c:pt idx="754">
                  <c:v>2/5/10</c:v>
                </c:pt>
                <c:pt idx="755">
                  <c:v>2/8/10</c:v>
                </c:pt>
                <c:pt idx="756">
                  <c:v>2/9/10</c:v>
                </c:pt>
                <c:pt idx="757">
                  <c:v>2/10/10</c:v>
                </c:pt>
                <c:pt idx="758">
                  <c:v>2/11/10</c:v>
                </c:pt>
                <c:pt idx="759">
                  <c:v>2/12/10</c:v>
                </c:pt>
                <c:pt idx="760">
                  <c:v>2/15/10</c:v>
                </c:pt>
                <c:pt idx="761">
                  <c:v>2/16/10</c:v>
                </c:pt>
                <c:pt idx="762">
                  <c:v>2/17/10</c:v>
                </c:pt>
                <c:pt idx="763">
                  <c:v>18-Feb-10</c:v>
                </c:pt>
                <c:pt idx="764">
                  <c:v>2/19/10</c:v>
                </c:pt>
                <c:pt idx="765">
                  <c:v>2/22/10</c:v>
                </c:pt>
                <c:pt idx="766">
                  <c:v>2/23/10</c:v>
                </c:pt>
                <c:pt idx="767">
                  <c:v>2/24/10</c:v>
                </c:pt>
                <c:pt idx="768">
                  <c:v>2/25/10</c:v>
                </c:pt>
                <c:pt idx="769">
                  <c:v>26-Feb-10</c:v>
                </c:pt>
                <c:pt idx="770">
                  <c:v>3/1/10</c:v>
                </c:pt>
                <c:pt idx="771">
                  <c:v>3/2/10</c:v>
                </c:pt>
                <c:pt idx="772">
                  <c:v>3/3/10</c:v>
                </c:pt>
                <c:pt idx="773">
                  <c:v>3/4/10</c:v>
                </c:pt>
                <c:pt idx="774">
                  <c:v>3/5/10</c:v>
                </c:pt>
                <c:pt idx="775">
                  <c:v>3/8/10</c:v>
                </c:pt>
                <c:pt idx="776">
                  <c:v>3/9/10</c:v>
                </c:pt>
                <c:pt idx="777">
                  <c:v>3/10/10</c:v>
                </c:pt>
                <c:pt idx="778">
                  <c:v>3/11/10</c:v>
                </c:pt>
                <c:pt idx="779">
                  <c:v>3/12/10</c:v>
                </c:pt>
                <c:pt idx="780">
                  <c:v>3/15/10</c:v>
                </c:pt>
                <c:pt idx="781">
                  <c:v>3/16/10</c:v>
                </c:pt>
                <c:pt idx="782">
                  <c:v>3/17/10</c:v>
                </c:pt>
                <c:pt idx="783">
                  <c:v>18-Mar-10</c:v>
                </c:pt>
                <c:pt idx="784">
                  <c:v>3/19/10</c:v>
                </c:pt>
                <c:pt idx="785">
                  <c:v>3/22/10</c:v>
                </c:pt>
                <c:pt idx="786">
                  <c:v>3/23/10</c:v>
                </c:pt>
                <c:pt idx="787">
                  <c:v>3/24/10</c:v>
                </c:pt>
                <c:pt idx="788">
                  <c:v>3/25/10</c:v>
                </c:pt>
                <c:pt idx="789">
                  <c:v>3/26/10</c:v>
                </c:pt>
                <c:pt idx="790">
                  <c:v>3/29/10</c:v>
                </c:pt>
                <c:pt idx="791">
                  <c:v>3/30/10</c:v>
                </c:pt>
                <c:pt idx="792">
                  <c:v>3/31/10</c:v>
                </c:pt>
                <c:pt idx="793">
                  <c:v>4/1/10</c:v>
                </c:pt>
                <c:pt idx="794">
                  <c:v>4/5/10</c:v>
                </c:pt>
                <c:pt idx="795">
                  <c:v>4/6/10</c:v>
                </c:pt>
                <c:pt idx="796">
                  <c:v>4/7/10</c:v>
                </c:pt>
                <c:pt idx="797">
                  <c:v>4/8/10</c:v>
                </c:pt>
                <c:pt idx="798">
                  <c:v>4/9/10</c:v>
                </c:pt>
                <c:pt idx="799">
                  <c:v>4/12/10</c:v>
                </c:pt>
                <c:pt idx="800">
                  <c:v>4/13/10</c:v>
                </c:pt>
                <c:pt idx="801">
                  <c:v>4/14/10</c:v>
                </c:pt>
                <c:pt idx="802">
                  <c:v>4/15/10</c:v>
                </c:pt>
                <c:pt idx="803">
                  <c:v>4/16/10</c:v>
                </c:pt>
                <c:pt idx="804">
                  <c:v>4/19/10</c:v>
                </c:pt>
                <c:pt idx="805">
                  <c:v>4/20/10</c:v>
                </c:pt>
                <c:pt idx="806">
                  <c:v>4/21/10</c:v>
                </c:pt>
                <c:pt idx="807">
                  <c:v>4/22/10</c:v>
                </c:pt>
                <c:pt idx="808">
                  <c:v>4/23/10</c:v>
                </c:pt>
                <c:pt idx="809">
                  <c:v>4/26/10</c:v>
                </c:pt>
                <c:pt idx="810">
                  <c:v>4/27/10</c:v>
                </c:pt>
                <c:pt idx="811">
                  <c:v>4/28/10</c:v>
                </c:pt>
                <c:pt idx="812">
                  <c:v>4/29/10</c:v>
                </c:pt>
                <c:pt idx="813">
                  <c:v>4/30/10</c:v>
                </c:pt>
                <c:pt idx="814">
                  <c:v>5/3/10</c:v>
                </c:pt>
                <c:pt idx="815">
                  <c:v>5/4/10</c:v>
                </c:pt>
                <c:pt idx="816">
                  <c:v>5/5/10</c:v>
                </c:pt>
                <c:pt idx="817">
                  <c:v>5/6/10</c:v>
                </c:pt>
                <c:pt idx="818">
                  <c:v>5/7/10</c:v>
                </c:pt>
                <c:pt idx="819">
                  <c:v>5/10/10</c:v>
                </c:pt>
                <c:pt idx="820">
                  <c:v>5/11/10</c:v>
                </c:pt>
                <c:pt idx="821">
                  <c:v>5/12/10</c:v>
                </c:pt>
                <c:pt idx="822">
                  <c:v>5/13/10</c:v>
                </c:pt>
                <c:pt idx="823">
                  <c:v>5/14/10</c:v>
                </c:pt>
                <c:pt idx="824">
                  <c:v>5/17/10</c:v>
                </c:pt>
                <c:pt idx="825">
                  <c:v>5/18/10</c:v>
                </c:pt>
                <c:pt idx="826">
                  <c:v>5/19/10</c:v>
                </c:pt>
                <c:pt idx="827">
                  <c:v>5/20/10</c:v>
                </c:pt>
                <c:pt idx="828">
                  <c:v>5/21/10</c:v>
                </c:pt>
                <c:pt idx="829">
                  <c:v>5/24/10</c:v>
                </c:pt>
                <c:pt idx="830">
                  <c:v>5/25/10</c:v>
                </c:pt>
                <c:pt idx="831">
                  <c:v>5/26/10</c:v>
                </c:pt>
                <c:pt idx="832">
                  <c:v>5/27/10</c:v>
                </c:pt>
                <c:pt idx="833">
                  <c:v>5/28/10</c:v>
                </c:pt>
                <c:pt idx="834">
                  <c:v>6/1/10</c:v>
                </c:pt>
                <c:pt idx="835">
                  <c:v>6/2/10</c:v>
                </c:pt>
                <c:pt idx="836">
                  <c:v>6/3/10</c:v>
                </c:pt>
                <c:pt idx="837">
                  <c:v>6/4/10</c:v>
                </c:pt>
                <c:pt idx="838">
                  <c:v>6/7/10</c:v>
                </c:pt>
                <c:pt idx="839">
                  <c:v>6/8/10</c:v>
                </c:pt>
                <c:pt idx="840">
                  <c:v>6/9/10</c:v>
                </c:pt>
                <c:pt idx="841">
                  <c:v>10/6/10</c:v>
                </c:pt>
                <c:pt idx="842">
                  <c:v>6/11/10</c:v>
                </c:pt>
                <c:pt idx="843">
                  <c:v>6/14/10</c:v>
                </c:pt>
                <c:pt idx="844">
                  <c:v>6/15/10</c:v>
                </c:pt>
                <c:pt idx="845">
                  <c:v>6/16/10</c:v>
                </c:pt>
                <c:pt idx="846">
                  <c:v>6/17/10</c:v>
                </c:pt>
                <c:pt idx="847">
                  <c:v>6/18/10</c:v>
                </c:pt>
                <c:pt idx="848">
                  <c:v>6/21/10</c:v>
                </c:pt>
                <c:pt idx="849">
                  <c:v>6/22/10</c:v>
                </c:pt>
                <c:pt idx="850">
                  <c:v>6/23/10</c:v>
                </c:pt>
                <c:pt idx="851">
                  <c:v>6/24/10</c:v>
                </c:pt>
                <c:pt idx="852">
                  <c:v>6/25/10</c:v>
                </c:pt>
                <c:pt idx="853">
                  <c:v>6/28/10</c:v>
                </c:pt>
                <c:pt idx="854">
                  <c:v>6/29/10</c:v>
                </c:pt>
                <c:pt idx="855">
                  <c:v>6/30/10</c:v>
                </c:pt>
                <c:pt idx="856">
                  <c:v>7/1/10</c:v>
                </c:pt>
                <c:pt idx="857">
                  <c:v>7/2/10</c:v>
                </c:pt>
                <c:pt idx="858">
                  <c:v>7/6/10</c:v>
                </c:pt>
                <c:pt idx="859">
                  <c:v>7/7/10</c:v>
                </c:pt>
                <c:pt idx="860">
                  <c:v>7/8/10</c:v>
                </c:pt>
                <c:pt idx="861">
                  <c:v>7/9/10</c:v>
                </c:pt>
                <c:pt idx="862">
                  <c:v>7/12/10</c:v>
                </c:pt>
                <c:pt idx="863">
                  <c:v>7/13/10</c:v>
                </c:pt>
                <c:pt idx="864">
                  <c:v>7/14/10</c:v>
                </c:pt>
                <c:pt idx="865">
                  <c:v>7/15/10</c:v>
                </c:pt>
                <c:pt idx="866">
                  <c:v>7/19/10</c:v>
                </c:pt>
                <c:pt idx="867">
                  <c:v>7/20/10</c:v>
                </c:pt>
                <c:pt idx="868">
                  <c:v>7/21/10</c:v>
                </c:pt>
                <c:pt idx="869">
                  <c:v>7/22/10</c:v>
                </c:pt>
                <c:pt idx="870">
                  <c:v>7/23/10</c:v>
                </c:pt>
                <c:pt idx="871">
                  <c:v>7/26/10</c:v>
                </c:pt>
                <c:pt idx="872">
                  <c:v>7/27/10</c:v>
                </c:pt>
                <c:pt idx="873">
                  <c:v>7/28/10</c:v>
                </c:pt>
                <c:pt idx="874">
                  <c:v>7/29/10</c:v>
                </c:pt>
                <c:pt idx="875">
                  <c:v>7/30/10</c:v>
                </c:pt>
                <c:pt idx="876">
                  <c:v>7/31/10</c:v>
                </c:pt>
                <c:pt idx="877">
                  <c:v>8/2/10</c:v>
                </c:pt>
                <c:pt idx="878">
                  <c:v>8/3/10</c:v>
                </c:pt>
                <c:pt idx="879">
                  <c:v>8/4/10</c:v>
                </c:pt>
                <c:pt idx="880">
                  <c:v>8/5/10</c:v>
                </c:pt>
                <c:pt idx="881">
                  <c:v>8/6/10</c:v>
                </c:pt>
                <c:pt idx="882">
                  <c:v>8/9/10</c:v>
                </c:pt>
                <c:pt idx="883">
                  <c:v>8/10/10</c:v>
                </c:pt>
                <c:pt idx="884">
                  <c:v>8/11/10</c:v>
                </c:pt>
                <c:pt idx="885">
                  <c:v>8/12/10</c:v>
                </c:pt>
                <c:pt idx="886">
                  <c:v>8/13/10</c:v>
                </c:pt>
                <c:pt idx="887">
                  <c:v>8/16/10</c:v>
                </c:pt>
                <c:pt idx="888">
                  <c:v>8/17/10</c:v>
                </c:pt>
                <c:pt idx="889">
                  <c:v>8/18/10</c:v>
                </c:pt>
                <c:pt idx="890">
                  <c:v>8/19/10</c:v>
                </c:pt>
                <c:pt idx="891">
                  <c:v>8/20/10</c:v>
                </c:pt>
                <c:pt idx="892">
                  <c:v>8/23/10</c:v>
                </c:pt>
                <c:pt idx="893">
                  <c:v>8/24/10</c:v>
                </c:pt>
                <c:pt idx="894">
                  <c:v>8/25/10</c:v>
                </c:pt>
                <c:pt idx="895">
                  <c:v>8/26/10</c:v>
                </c:pt>
                <c:pt idx="896">
                  <c:v>8/27/10</c:v>
                </c:pt>
                <c:pt idx="897">
                  <c:v>8/30/10</c:v>
                </c:pt>
                <c:pt idx="898">
                  <c:v>8/31/10</c:v>
                </c:pt>
                <c:pt idx="899">
                  <c:v>9/1/10</c:v>
                </c:pt>
                <c:pt idx="900">
                  <c:v>9/2/10</c:v>
                </c:pt>
                <c:pt idx="901">
                  <c:v>9/3/10</c:v>
                </c:pt>
                <c:pt idx="902">
                  <c:v>9/7/10</c:v>
                </c:pt>
                <c:pt idx="903">
                  <c:v>9/8/10</c:v>
                </c:pt>
                <c:pt idx="904">
                  <c:v>9/9/10</c:v>
                </c:pt>
                <c:pt idx="905">
                  <c:v>9/10/10</c:v>
                </c:pt>
                <c:pt idx="906">
                  <c:v>9/13/10</c:v>
                </c:pt>
                <c:pt idx="907">
                  <c:v>9/14/10</c:v>
                </c:pt>
                <c:pt idx="908">
                  <c:v>9/15/10</c:v>
                </c:pt>
                <c:pt idx="909">
                  <c:v>9/16/10</c:v>
                </c:pt>
                <c:pt idx="910">
                  <c:v>9/17/10</c:v>
                </c:pt>
                <c:pt idx="911">
                  <c:v>9/20/10</c:v>
                </c:pt>
                <c:pt idx="912">
                  <c:v>9/21/10</c:v>
                </c:pt>
                <c:pt idx="913">
                  <c:v>9/22/10</c:v>
                </c:pt>
                <c:pt idx="914">
                  <c:v>9/23/10</c:v>
                </c:pt>
                <c:pt idx="915">
                  <c:v>9/24/10</c:v>
                </c:pt>
                <c:pt idx="916">
                  <c:v>9/27/10</c:v>
                </c:pt>
                <c:pt idx="917">
                  <c:v>9/28/10</c:v>
                </c:pt>
                <c:pt idx="918">
                  <c:v>9/29/10</c:v>
                </c:pt>
                <c:pt idx="919">
                  <c:v>9/30/10</c:v>
                </c:pt>
                <c:pt idx="920">
                  <c:v>10/1/10</c:v>
                </c:pt>
                <c:pt idx="921">
                  <c:v>10/4/10</c:v>
                </c:pt>
                <c:pt idx="922">
                  <c:v>10/5/10</c:v>
                </c:pt>
                <c:pt idx="923">
                  <c:v>10/6/10</c:v>
                </c:pt>
                <c:pt idx="924">
                  <c:v>10/7/10</c:v>
                </c:pt>
                <c:pt idx="925">
                  <c:v>10/8/10</c:v>
                </c:pt>
                <c:pt idx="926">
                  <c:v>10/11/10</c:v>
                </c:pt>
                <c:pt idx="927">
                  <c:v>10/12/10</c:v>
                </c:pt>
                <c:pt idx="928">
                  <c:v>10/13/10</c:v>
                </c:pt>
                <c:pt idx="929">
                  <c:v>10/14/10</c:v>
                </c:pt>
                <c:pt idx="930">
                  <c:v>10/15/10</c:v>
                </c:pt>
                <c:pt idx="931">
                  <c:v>10/18/10</c:v>
                </c:pt>
                <c:pt idx="932">
                  <c:v>10/19/10</c:v>
                </c:pt>
                <c:pt idx="933">
                  <c:v>10/20/10</c:v>
                </c:pt>
                <c:pt idx="934">
                  <c:v>10/21/10</c:v>
                </c:pt>
                <c:pt idx="935">
                  <c:v>10/22/10</c:v>
                </c:pt>
                <c:pt idx="936">
                  <c:v>10/25/10</c:v>
                </c:pt>
                <c:pt idx="937">
                  <c:v>10/26/10</c:v>
                </c:pt>
                <c:pt idx="938">
                  <c:v>10/27/10</c:v>
                </c:pt>
                <c:pt idx="939">
                  <c:v>10/28/10</c:v>
                </c:pt>
                <c:pt idx="940">
                  <c:v>10/29/10</c:v>
                </c:pt>
                <c:pt idx="941">
                  <c:v>11/1/10</c:v>
                </c:pt>
                <c:pt idx="942">
                  <c:v>11/2/10</c:v>
                </c:pt>
                <c:pt idx="943">
                  <c:v>11/3/10</c:v>
                </c:pt>
                <c:pt idx="944">
                  <c:v>11/4/10</c:v>
                </c:pt>
                <c:pt idx="945">
                  <c:v>11/5/10</c:v>
                </c:pt>
                <c:pt idx="946">
                  <c:v>11/8/10</c:v>
                </c:pt>
                <c:pt idx="947">
                  <c:v>11/9/10</c:v>
                </c:pt>
                <c:pt idx="948">
                  <c:v>11/10/10</c:v>
                </c:pt>
                <c:pt idx="949">
                  <c:v>11/11/10</c:v>
                </c:pt>
                <c:pt idx="950">
                  <c:v>11/12/10</c:v>
                </c:pt>
                <c:pt idx="951">
                  <c:v>11/15/10</c:v>
                </c:pt>
                <c:pt idx="952">
                  <c:v>11/16/10</c:v>
                </c:pt>
                <c:pt idx="953">
                  <c:v>11/17/10</c:v>
                </c:pt>
                <c:pt idx="954">
                  <c:v>11/18/10</c:v>
                </c:pt>
                <c:pt idx="955">
                  <c:v>11/19/10</c:v>
                </c:pt>
                <c:pt idx="956">
                  <c:v>11/22/10</c:v>
                </c:pt>
                <c:pt idx="957">
                  <c:v>11/23/10</c:v>
                </c:pt>
                <c:pt idx="958">
                  <c:v>11/24/10</c:v>
                </c:pt>
                <c:pt idx="959">
                  <c:v>11/28/10</c:v>
                </c:pt>
                <c:pt idx="960">
                  <c:v>11/29/10</c:v>
                </c:pt>
                <c:pt idx="961">
                  <c:v>12/1/10</c:v>
                </c:pt>
                <c:pt idx="962">
                  <c:v>12/2/10</c:v>
                </c:pt>
                <c:pt idx="963">
                  <c:v>12/3/10</c:v>
                </c:pt>
                <c:pt idx="964">
                  <c:v>12/6/10</c:v>
                </c:pt>
                <c:pt idx="965">
                  <c:v>12/7/10</c:v>
                </c:pt>
                <c:pt idx="966">
                  <c:v>12/8/10</c:v>
                </c:pt>
                <c:pt idx="967">
                  <c:v>12/9/10</c:v>
                </c:pt>
                <c:pt idx="968">
                  <c:v>12/10/10</c:v>
                </c:pt>
                <c:pt idx="969">
                  <c:v>12/13/10</c:v>
                </c:pt>
                <c:pt idx="970">
                  <c:v>12/14/10</c:v>
                </c:pt>
                <c:pt idx="971">
                  <c:v>12/15/10</c:v>
                </c:pt>
                <c:pt idx="972">
                  <c:v>12/16/10</c:v>
                </c:pt>
                <c:pt idx="973">
                  <c:v>12/17/10</c:v>
                </c:pt>
                <c:pt idx="974">
                  <c:v>12/20/10</c:v>
                </c:pt>
                <c:pt idx="975">
                  <c:v>12/21/10</c:v>
                </c:pt>
                <c:pt idx="976">
                  <c:v>12/22/10</c:v>
                </c:pt>
                <c:pt idx="977">
                  <c:v>12/23/10</c:v>
                </c:pt>
                <c:pt idx="978">
                  <c:v>12/27/10</c:v>
                </c:pt>
                <c:pt idx="979">
                  <c:v>12/28/10</c:v>
                </c:pt>
                <c:pt idx="980">
                  <c:v>12/29/10</c:v>
                </c:pt>
                <c:pt idx="981">
                  <c:v>12/30/10</c:v>
                </c:pt>
                <c:pt idx="982">
                  <c:v>12/31/10</c:v>
                </c:pt>
                <c:pt idx="983">
                  <c:v>1/3/11</c:v>
                </c:pt>
                <c:pt idx="984">
                  <c:v>1/4/11</c:v>
                </c:pt>
                <c:pt idx="985">
                  <c:v>1/5/11</c:v>
                </c:pt>
                <c:pt idx="986">
                  <c:v>1/6/11</c:v>
                </c:pt>
                <c:pt idx="987">
                  <c:v>1/7/11</c:v>
                </c:pt>
                <c:pt idx="988">
                  <c:v>1/10/11</c:v>
                </c:pt>
                <c:pt idx="989">
                  <c:v>1/11/11</c:v>
                </c:pt>
                <c:pt idx="990">
                  <c:v>1/12/11</c:v>
                </c:pt>
                <c:pt idx="991">
                  <c:v>1/13/11</c:v>
                </c:pt>
                <c:pt idx="992">
                  <c:v>1/14/11</c:v>
                </c:pt>
                <c:pt idx="993">
                  <c:v>1/18/11</c:v>
                </c:pt>
                <c:pt idx="994">
                  <c:v>1/19/11</c:v>
                </c:pt>
                <c:pt idx="995">
                  <c:v>1/20/11</c:v>
                </c:pt>
                <c:pt idx="996">
                  <c:v>1/21/11</c:v>
                </c:pt>
                <c:pt idx="997">
                  <c:v>1/24/11</c:v>
                </c:pt>
                <c:pt idx="998">
                  <c:v>1/25/11</c:v>
                </c:pt>
                <c:pt idx="999">
                  <c:v>1/26/11</c:v>
                </c:pt>
                <c:pt idx="1000">
                  <c:v>1/27/11</c:v>
                </c:pt>
                <c:pt idx="1001">
                  <c:v>1/28/11</c:v>
                </c:pt>
                <c:pt idx="1002">
                  <c:v>1/31/11</c:v>
                </c:pt>
                <c:pt idx="1003">
                  <c:v>2/1/11</c:v>
                </c:pt>
                <c:pt idx="1004">
                  <c:v>2/2/11</c:v>
                </c:pt>
                <c:pt idx="1005">
                  <c:v>2/3/11</c:v>
                </c:pt>
                <c:pt idx="1006">
                  <c:v>2/4/11</c:v>
                </c:pt>
                <c:pt idx="1007">
                  <c:v>2/7/11</c:v>
                </c:pt>
                <c:pt idx="1008">
                  <c:v>2/8/11</c:v>
                </c:pt>
                <c:pt idx="1009">
                  <c:v>2/9/11</c:v>
                </c:pt>
                <c:pt idx="1010">
                  <c:v>2/10/11</c:v>
                </c:pt>
                <c:pt idx="1011">
                  <c:v>2/11/11</c:v>
                </c:pt>
                <c:pt idx="1012">
                  <c:v>2/14/11</c:v>
                </c:pt>
                <c:pt idx="1013">
                  <c:v>2/15/11</c:v>
                </c:pt>
                <c:pt idx="1014">
                  <c:v>2/16/11</c:v>
                </c:pt>
                <c:pt idx="1015">
                  <c:v>2/17/11</c:v>
                </c:pt>
                <c:pt idx="1016">
                  <c:v>2/18/11</c:v>
                </c:pt>
                <c:pt idx="1017">
                  <c:v>2/22/11</c:v>
                </c:pt>
                <c:pt idx="1018">
                  <c:v>2/23/11</c:v>
                </c:pt>
                <c:pt idx="1019">
                  <c:v>2/24/11</c:v>
                </c:pt>
                <c:pt idx="1020">
                  <c:v>2/25/11</c:v>
                </c:pt>
                <c:pt idx="1021">
                  <c:v>3/1/11</c:v>
                </c:pt>
                <c:pt idx="1022">
                  <c:v>3/2/11</c:v>
                </c:pt>
                <c:pt idx="1023">
                  <c:v>3/3/11</c:v>
                </c:pt>
                <c:pt idx="1024">
                  <c:v>3/4/11</c:v>
                </c:pt>
                <c:pt idx="1025">
                  <c:v>3/7/11</c:v>
                </c:pt>
                <c:pt idx="1026">
                  <c:v>3/8/11</c:v>
                </c:pt>
                <c:pt idx="1027">
                  <c:v>3/9/11</c:v>
                </c:pt>
                <c:pt idx="1028">
                  <c:v>3/10/11</c:v>
                </c:pt>
                <c:pt idx="1029">
                  <c:v>3/11/11</c:v>
                </c:pt>
                <c:pt idx="1030">
                  <c:v>3/14/11</c:v>
                </c:pt>
                <c:pt idx="1031">
                  <c:v>3/15/11</c:v>
                </c:pt>
                <c:pt idx="1032">
                  <c:v>3/16/11</c:v>
                </c:pt>
                <c:pt idx="1033">
                  <c:v>3/17/11</c:v>
                </c:pt>
                <c:pt idx="1034">
                  <c:v>3/18/11</c:v>
                </c:pt>
                <c:pt idx="1035">
                  <c:v>3/21/11</c:v>
                </c:pt>
                <c:pt idx="1036">
                  <c:v>3/22/11</c:v>
                </c:pt>
                <c:pt idx="1037">
                  <c:v>3/23/11</c:v>
                </c:pt>
                <c:pt idx="1038">
                  <c:v>3/24/11</c:v>
                </c:pt>
                <c:pt idx="1039">
                  <c:v>3/25/11</c:v>
                </c:pt>
                <c:pt idx="1040">
                  <c:v>3/28/11</c:v>
                </c:pt>
                <c:pt idx="1041">
                  <c:v>3/29/11</c:v>
                </c:pt>
                <c:pt idx="1042">
                  <c:v>3/30/11</c:v>
                </c:pt>
                <c:pt idx="1043">
                  <c:v>3/31/11</c:v>
                </c:pt>
                <c:pt idx="1044">
                  <c:v>4/1/11</c:v>
                </c:pt>
                <c:pt idx="1045">
                  <c:v>4/4/11</c:v>
                </c:pt>
                <c:pt idx="1046">
                  <c:v>4/5/11</c:v>
                </c:pt>
                <c:pt idx="1047">
                  <c:v>4/6/11</c:v>
                </c:pt>
                <c:pt idx="1048">
                  <c:v>4/7/11</c:v>
                </c:pt>
                <c:pt idx="1049">
                  <c:v>4/8/11</c:v>
                </c:pt>
                <c:pt idx="1050">
                  <c:v>4/11/11</c:v>
                </c:pt>
                <c:pt idx="1051">
                  <c:v>4/12/11</c:v>
                </c:pt>
                <c:pt idx="1052">
                  <c:v>4/13/11</c:v>
                </c:pt>
                <c:pt idx="1053">
                  <c:v>4/14/11</c:v>
                </c:pt>
                <c:pt idx="1054">
                  <c:v>4/15/11</c:v>
                </c:pt>
                <c:pt idx="1055">
                  <c:v>4/18/11</c:v>
                </c:pt>
                <c:pt idx="1056">
                  <c:v>4/19/11</c:v>
                </c:pt>
                <c:pt idx="1057">
                  <c:v>4/20/11</c:v>
                </c:pt>
                <c:pt idx="1058">
                  <c:v>4/21/11</c:v>
                </c:pt>
                <c:pt idx="1059">
                  <c:v>4/22/11</c:v>
                </c:pt>
                <c:pt idx="1060">
                  <c:v>4/25/11</c:v>
                </c:pt>
                <c:pt idx="1061">
                  <c:v>4/26/11</c:v>
                </c:pt>
                <c:pt idx="1062">
                  <c:v>4/27/11</c:v>
                </c:pt>
                <c:pt idx="1063">
                  <c:v>4/28/11</c:v>
                </c:pt>
                <c:pt idx="1064">
                  <c:v>5/2/11</c:v>
                </c:pt>
                <c:pt idx="1065">
                  <c:v>5/3/11</c:v>
                </c:pt>
                <c:pt idx="1066">
                  <c:v>5/4/11</c:v>
                </c:pt>
                <c:pt idx="1067">
                  <c:v>5/5/11</c:v>
                </c:pt>
                <c:pt idx="1068">
                  <c:v>5/6/11</c:v>
                </c:pt>
                <c:pt idx="1069">
                  <c:v>5/9/11</c:v>
                </c:pt>
                <c:pt idx="1070">
                  <c:v>5/10/11</c:v>
                </c:pt>
                <c:pt idx="1071">
                  <c:v>5/11/11</c:v>
                </c:pt>
                <c:pt idx="1072">
                  <c:v>5/12/11</c:v>
                </c:pt>
                <c:pt idx="1073">
                  <c:v>5/13/11</c:v>
                </c:pt>
                <c:pt idx="1074">
                  <c:v>5/16/11</c:v>
                </c:pt>
                <c:pt idx="1075">
                  <c:v>5/17/11</c:v>
                </c:pt>
                <c:pt idx="1076">
                  <c:v>5/18/11</c:v>
                </c:pt>
                <c:pt idx="1077">
                  <c:v>5/19/11</c:v>
                </c:pt>
                <c:pt idx="1078">
                  <c:v>5/20/11</c:v>
                </c:pt>
                <c:pt idx="1079">
                  <c:v>5/23/11</c:v>
                </c:pt>
                <c:pt idx="1080">
                  <c:v>5/24/11</c:v>
                </c:pt>
                <c:pt idx="1081">
                  <c:v>5/25/11</c:v>
                </c:pt>
                <c:pt idx="1082">
                  <c:v>5/26/11</c:v>
                </c:pt>
                <c:pt idx="1083">
                  <c:v>5/27/11</c:v>
                </c:pt>
                <c:pt idx="1084">
                  <c:v>5/31/11</c:v>
                </c:pt>
                <c:pt idx="1085">
                  <c:v>6/1/11</c:v>
                </c:pt>
                <c:pt idx="1086">
                  <c:v>6/2/11</c:v>
                </c:pt>
                <c:pt idx="1087">
                  <c:v>6/3/11</c:v>
                </c:pt>
                <c:pt idx="1088">
                  <c:v>6/6/11</c:v>
                </c:pt>
                <c:pt idx="1089">
                  <c:v>6/7/11</c:v>
                </c:pt>
                <c:pt idx="1090">
                  <c:v>6/8/11</c:v>
                </c:pt>
                <c:pt idx="1091">
                  <c:v>6/9/11</c:v>
                </c:pt>
                <c:pt idx="1092">
                  <c:v>6/10/11</c:v>
                </c:pt>
                <c:pt idx="1093">
                  <c:v>6/13/11</c:v>
                </c:pt>
                <c:pt idx="1094">
                  <c:v>6/14/11</c:v>
                </c:pt>
                <c:pt idx="1095">
                  <c:v>6/15/11</c:v>
                </c:pt>
                <c:pt idx="1096">
                  <c:v>6/16/11</c:v>
                </c:pt>
                <c:pt idx="1097">
                  <c:v>6/17/11</c:v>
                </c:pt>
                <c:pt idx="1098">
                  <c:v>6/20/11</c:v>
                </c:pt>
                <c:pt idx="1099">
                  <c:v>6/21/11</c:v>
                </c:pt>
                <c:pt idx="1100">
                  <c:v>6/22/11</c:v>
                </c:pt>
                <c:pt idx="1101">
                  <c:v>6/23/11</c:v>
                </c:pt>
                <c:pt idx="1102">
                  <c:v>6/24/11</c:v>
                </c:pt>
                <c:pt idx="1103">
                  <c:v>6/27/11</c:v>
                </c:pt>
                <c:pt idx="1104">
                  <c:v>6/28/11</c:v>
                </c:pt>
                <c:pt idx="1105">
                  <c:v>6/29/11</c:v>
                </c:pt>
                <c:pt idx="1106">
                  <c:v>6/30/11</c:v>
                </c:pt>
                <c:pt idx="1107">
                  <c:v>7/1/11</c:v>
                </c:pt>
                <c:pt idx="1108">
                  <c:v>7/5/11</c:v>
                </c:pt>
                <c:pt idx="1109">
                  <c:v>7/6/11</c:v>
                </c:pt>
                <c:pt idx="1110">
                  <c:v>7/7/11</c:v>
                </c:pt>
                <c:pt idx="1111">
                  <c:v>7/8/11</c:v>
                </c:pt>
                <c:pt idx="1112">
                  <c:v>7/11/11</c:v>
                </c:pt>
                <c:pt idx="1113">
                  <c:v>7/12/11</c:v>
                </c:pt>
                <c:pt idx="1114">
                  <c:v>7/13/11</c:v>
                </c:pt>
                <c:pt idx="1115">
                  <c:v>7/14/11</c:v>
                </c:pt>
                <c:pt idx="1116">
                  <c:v>7/15/11</c:v>
                </c:pt>
                <c:pt idx="1117">
                  <c:v>7/18/11</c:v>
                </c:pt>
                <c:pt idx="1118">
                  <c:v>7/19/11</c:v>
                </c:pt>
                <c:pt idx="1119">
                  <c:v>7/20/11</c:v>
                </c:pt>
              </c:strCache>
            </c:strRef>
          </c:cat>
          <c:val>
            <c:numRef>
              <c:f>Prices!$D$2:$D$1121</c:f>
              <c:numCache>
                <c:formatCode>"$"#,##0</c:formatCode>
                <c:ptCount val="1120"/>
                <c:pt idx="0">
                  <c:v>3250</c:v>
                </c:pt>
                <c:pt idx="1">
                  <c:v>3250</c:v>
                </c:pt>
                <c:pt idx="2">
                  <c:v>3250</c:v>
                </c:pt>
                <c:pt idx="3">
                  <c:v>3200</c:v>
                </c:pt>
                <c:pt idx="4">
                  <c:v>3200</c:v>
                </c:pt>
                <c:pt idx="5">
                  <c:v>3200</c:v>
                </c:pt>
                <c:pt idx="6">
                  <c:v>3200</c:v>
                </c:pt>
                <c:pt idx="7">
                  <c:v>3225</c:v>
                </c:pt>
                <c:pt idx="8">
                  <c:v>3200</c:v>
                </c:pt>
                <c:pt idx="9">
                  <c:v>3200</c:v>
                </c:pt>
                <c:pt idx="10">
                  <c:v>3200</c:v>
                </c:pt>
                <c:pt idx="11">
                  <c:v>3200</c:v>
                </c:pt>
                <c:pt idx="12">
                  <c:v>3200</c:v>
                </c:pt>
                <c:pt idx="13">
                  <c:v>3050</c:v>
                </c:pt>
                <c:pt idx="14">
                  <c:v>3025</c:v>
                </c:pt>
                <c:pt idx="15">
                  <c:v>3025</c:v>
                </c:pt>
                <c:pt idx="16">
                  <c:v>3025</c:v>
                </c:pt>
                <c:pt idx="17">
                  <c:v>3000</c:v>
                </c:pt>
                <c:pt idx="18">
                  <c:v>3000</c:v>
                </c:pt>
                <c:pt idx="19">
                  <c:v>3000</c:v>
                </c:pt>
                <c:pt idx="20">
                  <c:v>3000</c:v>
                </c:pt>
                <c:pt idx="21">
                  <c:v>3000</c:v>
                </c:pt>
                <c:pt idx="22">
                  <c:v>2950</c:v>
                </c:pt>
                <c:pt idx="23">
                  <c:v>2950</c:v>
                </c:pt>
                <c:pt idx="24">
                  <c:v>2950</c:v>
                </c:pt>
                <c:pt idx="25">
                  <c:v>2950</c:v>
                </c:pt>
                <c:pt idx="26">
                  <c:v>2950</c:v>
                </c:pt>
                <c:pt idx="27">
                  <c:v>2950</c:v>
                </c:pt>
                <c:pt idx="28">
                  <c:v>2950</c:v>
                </c:pt>
                <c:pt idx="29">
                  <c:v>2950</c:v>
                </c:pt>
                <c:pt idx="30">
                  <c:v>2950</c:v>
                </c:pt>
                <c:pt idx="31">
                  <c:v>2950</c:v>
                </c:pt>
                <c:pt idx="32">
                  <c:v>2950</c:v>
                </c:pt>
                <c:pt idx="33">
                  <c:v>2950</c:v>
                </c:pt>
                <c:pt idx="34">
                  <c:v>2950</c:v>
                </c:pt>
                <c:pt idx="35">
                  <c:v>3000</c:v>
                </c:pt>
                <c:pt idx="36">
                  <c:v>3050</c:v>
                </c:pt>
                <c:pt idx="37">
                  <c:v>3050</c:v>
                </c:pt>
                <c:pt idx="38">
                  <c:v>3075</c:v>
                </c:pt>
                <c:pt idx="39">
                  <c:v>3075</c:v>
                </c:pt>
                <c:pt idx="40">
                  <c:v>3075</c:v>
                </c:pt>
                <c:pt idx="41">
                  <c:v>3075</c:v>
                </c:pt>
                <c:pt idx="42">
                  <c:v>3075</c:v>
                </c:pt>
                <c:pt idx="43">
                  <c:v>3075</c:v>
                </c:pt>
                <c:pt idx="44">
                  <c:v>3200</c:v>
                </c:pt>
                <c:pt idx="45">
                  <c:v>3200</c:v>
                </c:pt>
                <c:pt idx="46">
                  <c:v>3200</c:v>
                </c:pt>
                <c:pt idx="47">
                  <c:v>3200</c:v>
                </c:pt>
                <c:pt idx="48">
                  <c:v>3200</c:v>
                </c:pt>
                <c:pt idx="49">
                  <c:v>3200</c:v>
                </c:pt>
                <c:pt idx="50">
                  <c:v>3225</c:v>
                </c:pt>
                <c:pt idx="51">
                  <c:v>3300</c:v>
                </c:pt>
                <c:pt idx="52">
                  <c:v>3300</c:v>
                </c:pt>
                <c:pt idx="53">
                  <c:v>3300</c:v>
                </c:pt>
                <c:pt idx="54">
                  <c:v>3300</c:v>
                </c:pt>
                <c:pt idx="55">
                  <c:v>3500</c:v>
                </c:pt>
                <c:pt idx="56">
                  <c:v>3700</c:v>
                </c:pt>
                <c:pt idx="57">
                  <c:v>3725</c:v>
                </c:pt>
                <c:pt idx="58">
                  <c:v>3725</c:v>
                </c:pt>
                <c:pt idx="59">
                  <c:v>3725</c:v>
                </c:pt>
                <c:pt idx="60">
                  <c:v>3725</c:v>
                </c:pt>
                <c:pt idx="61">
                  <c:v>3725</c:v>
                </c:pt>
                <c:pt idx="62">
                  <c:v>3725</c:v>
                </c:pt>
                <c:pt idx="63">
                  <c:v>3725</c:v>
                </c:pt>
                <c:pt idx="64">
                  <c:v>3725</c:v>
                </c:pt>
                <c:pt idx="65">
                  <c:v>3700</c:v>
                </c:pt>
                <c:pt idx="66">
                  <c:v>3700</c:v>
                </c:pt>
                <c:pt idx="67">
                  <c:v>3700</c:v>
                </c:pt>
                <c:pt idx="68">
                  <c:v>3700</c:v>
                </c:pt>
                <c:pt idx="69">
                  <c:v>3950</c:v>
                </c:pt>
                <c:pt idx="70">
                  <c:v>3965</c:v>
                </c:pt>
                <c:pt idx="71">
                  <c:v>3865</c:v>
                </c:pt>
                <c:pt idx="72">
                  <c:v>3875</c:v>
                </c:pt>
                <c:pt idx="73">
                  <c:v>3850</c:v>
                </c:pt>
                <c:pt idx="74">
                  <c:v>3850</c:v>
                </c:pt>
                <c:pt idx="75">
                  <c:v>3850</c:v>
                </c:pt>
                <c:pt idx="76">
                  <c:v>3800</c:v>
                </c:pt>
                <c:pt idx="77">
                  <c:v>3700</c:v>
                </c:pt>
                <c:pt idx="78">
                  <c:v>3650</c:v>
                </c:pt>
                <c:pt idx="79">
                  <c:v>3550</c:v>
                </c:pt>
                <c:pt idx="80">
                  <c:v>3550</c:v>
                </c:pt>
                <c:pt idx="81">
                  <c:v>3550</c:v>
                </c:pt>
                <c:pt idx="82">
                  <c:v>3550</c:v>
                </c:pt>
                <c:pt idx="83">
                  <c:v>3550</c:v>
                </c:pt>
                <c:pt idx="84">
                  <c:v>3550</c:v>
                </c:pt>
                <c:pt idx="85">
                  <c:v>3550</c:v>
                </c:pt>
                <c:pt idx="86">
                  <c:v>3550</c:v>
                </c:pt>
                <c:pt idx="87">
                  <c:v>3550</c:v>
                </c:pt>
                <c:pt idx="88">
                  <c:v>3550</c:v>
                </c:pt>
                <c:pt idx="89">
                  <c:v>3550</c:v>
                </c:pt>
                <c:pt idx="90">
                  <c:v>3550</c:v>
                </c:pt>
                <c:pt idx="91">
                  <c:v>3650</c:v>
                </c:pt>
                <c:pt idx="92">
                  <c:v>3725</c:v>
                </c:pt>
                <c:pt idx="93">
                  <c:v>3750</c:v>
                </c:pt>
                <c:pt idx="94">
                  <c:v>3825</c:v>
                </c:pt>
                <c:pt idx="95">
                  <c:v>3825</c:v>
                </c:pt>
                <c:pt idx="96">
                  <c:v>3825</c:v>
                </c:pt>
                <c:pt idx="97">
                  <c:v>3800</c:v>
                </c:pt>
                <c:pt idx="98">
                  <c:v>3750</c:v>
                </c:pt>
                <c:pt idx="99">
                  <c:v>3700</c:v>
                </c:pt>
                <c:pt idx="100">
                  <c:v>3675</c:v>
                </c:pt>
                <c:pt idx="101">
                  <c:v>3700</c:v>
                </c:pt>
                <c:pt idx="102">
                  <c:v>3700</c:v>
                </c:pt>
                <c:pt idx="103">
                  <c:v>3700</c:v>
                </c:pt>
                <c:pt idx="104">
                  <c:v>3700</c:v>
                </c:pt>
                <c:pt idx="105">
                  <c:v>3700</c:v>
                </c:pt>
                <c:pt idx="106">
                  <c:v>3700</c:v>
                </c:pt>
                <c:pt idx="107">
                  <c:v>4000</c:v>
                </c:pt>
                <c:pt idx="108">
                  <c:v>4025</c:v>
                </c:pt>
                <c:pt idx="109">
                  <c:v>4025</c:v>
                </c:pt>
                <c:pt idx="110">
                  <c:v>4025</c:v>
                </c:pt>
                <c:pt idx="111">
                  <c:v>4800</c:v>
                </c:pt>
                <c:pt idx="112">
                  <c:v>4800</c:v>
                </c:pt>
                <c:pt idx="113">
                  <c:v>4500</c:v>
                </c:pt>
                <c:pt idx="114">
                  <c:v>4200</c:v>
                </c:pt>
                <c:pt idx="115">
                  <c:v>4200</c:v>
                </c:pt>
                <c:pt idx="116">
                  <c:v>4200</c:v>
                </c:pt>
                <c:pt idx="117">
                  <c:v>4200</c:v>
                </c:pt>
                <c:pt idx="118">
                  <c:v>4200</c:v>
                </c:pt>
                <c:pt idx="119">
                  <c:v>4200</c:v>
                </c:pt>
                <c:pt idx="120">
                  <c:v>4200</c:v>
                </c:pt>
                <c:pt idx="121">
                  <c:v>4200</c:v>
                </c:pt>
                <c:pt idx="122">
                  <c:v>4200</c:v>
                </c:pt>
                <c:pt idx="123">
                  <c:v>4200</c:v>
                </c:pt>
                <c:pt idx="124">
                  <c:v>4200</c:v>
                </c:pt>
                <c:pt idx="125">
                  <c:v>4200</c:v>
                </c:pt>
                <c:pt idx="126">
                  <c:v>4300</c:v>
                </c:pt>
                <c:pt idx="127">
                  <c:v>4400</c:v>
                </c:pt>
                <c:pt idx="128">
                  <c:v>4400</c:v>
                </c:pt>
                <c:pt idx="129">
                  <c:v>4000</c:v>
                </c:pt>
                <c:pt idx="130">
                  <c:v>4000</c:v>
                </c:pt>
                <c:pt idx="131">
                  <c:v>4000</c:v>
                </c:pt>
                <c:pt idx="132">
                  <c:v>4000</c:v>
                </c:pt>
                <c:pt idx="133">
                  <c:v>4000</c:v>
                </c:pt>
                <c:pt idx="134">
                  <c:v>4000</c:v>
                </c:pt>
                <c:pt idx="135">
                  <c:v>4000</c:v>
                </c:pt>
                <c:pt idx="136">
                  <c:v>4000</c:v>
                </c:pt>
                <c:pt idx="137">
                  <c:v>4000</c:v>
                </c:pt>
                <c:pt idx="138">
                  <c:v>4000</c:v>
                </c:pt>
                <c:pt idx="139">
                  <c:v>3800</c:v>
                </c:pt>
                <c:pt idx="140">
                  <c:v>3700</c:v>
                </c:pt>
                <c:pt idx="141">
                  <c:v>3700</c:v>
                </c:pt>
                <c:pt idx="142">
                  <c:v>4000</c:v>
                </c:pt>
                <c:pt idx="143">
                  <c:v>4000</c:v>
                </c:pt>
                <c:pt idx="144">
                  <c:v>4000</c:v>
                </c:pt>
                <c:pt idx="145">
                  <c:v>4000</c:v>
                </c:pt>
                <c:pt idx="146">
                  <c:v>4000</c:v>
                </c:pt>
                <c:pt idx="147">
                  <c:v>4100</c:v>
                </c:pt>
                <c:pt idx="148">
                  <c:v>4200</c:v>
                </c:pt>
                <c:pt idx="149">
                  <c:v>4300</c:v>
                </c:pt>
                <c:pt idx="150">
                  <c:v>4325</c:v>
                </c:pt>
                <c:pt idx="151">
                  <c:v>4325</c:v>
                </c:pt>
                <c:pt idx="152">
                  <c:v>4325</c:v>
                </c:pt>
                <c:pt idx="153">
                  <c:v>4325</c:v>
                </c:pt>
                <c:pt idx="154">
                  <c:v>4800</c:v>
                </c:pt>
                <c:pt idx="155">
                  <c:v>5200</c:v>
                </c:pt>
                <c:pt idx="156">
                  <c:v>5500</c:v>
                </c:pt>
                <c:pt idx="157">
                  <c:v>5250</c:v>
                </c:pt>
                <c:pt idx="158">
                  <c:v>5250</c:v>
                </c:pt>
                <c:pt idx="159">
                  <c:v>5250</c:v>
                </c:pt>
                <c:pt idx="160">
                  <c:v>5200</c:v>
                </c:pt>
                <c:pt idx="161">
                  <c:v>4850</c:v>
                </c:pt>
                <c:pt idx="162">
                  <c:v>4850</c:v>
                </c:pt>
                <c:pt idx="163">
                  <c:v>4850</c:v>
                </c:pt>
                <c:pt idx="164">
                  <c:v>4850</c:v>
                </c:pt>
                <c:pt idx="165">
                  <c:v>4850</c:v>
                </c:pt>
                <c:pt idx="166">
                  <c:v>4850</c:v>
                </c:pt>
                <c:pt idx="167">
                  <c:v>4900</c:v>
                </c:pt>
                <c:pt idx="168">
                  <c:v>5200</c:v>
                </c:pt>
                <c:pt idx="169">
                  <c:v>5200</c:v>
                </c:pt>
                <c:pt idx="170">
                  <c:v>5200</c:v>
                </c:pt>
                <c:pt idx="171">
                  <c:v>5200</c:v>
                </c:pt>
                <c:pt idx="172">
                  <c:v>5200</c:v>
                </c:pt>
                <c:pt idx="173">
                  <c:v>5200</c:v>
                </c:pt>
                <c:pt idx="174">
                  <c:v>5200</c:v>
                </c:pt>
                <c:pt idx="175">
                  <c:v>5200</c:v>
                </c:pt>
                <c:pt idx="176">
                  <c:v>5250</c:v>
                </c:pt>
                <c:pt idx="177">
                  <c:v>5250</c:v>
                </c:pt>
                <c:pt idx="178">
                  <c:v>5250</c:v>
                </c:pt>
                <c:pt idx="179">
                  <c:v>5250</c:v>
                </c:pt>
                <c:pt idx="180">
                  <c:v>5250</c:v>
                </c:pt>
                <c:pt idx="181">
                  <c:v>5250</c:v>
                </c:pt>
                <c:pt idx="182">
                  <c:v>5250</c:v>
                </c:pt>
                <c:pt idx="183">
                  <c:v>5250</c:v>
                </c:pt>
                <c:pt idx="184">
                  <c:v>5250</c:v>
                </c:pt>
                <c:pt idx="185">
                  <c:v>5250</c:v>
                </c:pt>
                <c:pt idx="186">
                  <c:v>5250</c:v>
                </c:pt>
                <c:pt idx="187">
                  <c:v>5250</c:v>
                </c:pt>
                <c:pt idx="188">
                  <c:v>5200</c:v>
                </c:pt>
                <c:pt idx="189">
                  <c:v>5100</c:v>
                </c:pt>
                <c:pt idx="190">
                  <c:v>4900</c:v>
                </c:pt>
                <c:pt idx="191">
                  <c:v>4900</c:v>
                </c:pt>
                <c:pt idx="192">
                  <c:v>2750</c:v>
                </c:pt>
                <c:pt idx="193">
                  <c:v>2750</c:v>
                </c:pt>
                <c:pt idx="194">
                  <c:v>2750</c:v>
                </c:pt>
                <c:pt idx="195">
                  <c:v>2750</c:v>
                </c:pt>
                <c:pt idx="196">
                  <c:v>1000</c:v>
                </c:pt>
                <c:pt idx="197">
                  <c:v>1000</c:v>
                </c:pt>
                <c:pt idx="198">
                  <c:v>1000</c:v>
                </c:pt>
                <c:pt idx="199">
                  <c:v>1000</c:v>
                </c:pt>
                <c:pt idx="200">
                  <c:v>1000</c:v>
                </c:pt>
                <c:pt idx="201">
                  <c:v>1000</c:v>
                </c:pt>
                <c:pt idx="202">
                  <c:v>1000</c:v>
                </c:pt>
                <c:pt idx="203">
                  <c:v>1000</c:v>
                </c:pt>
                <c:pt idx="204">
                  <c:v>1000</c:v>
                </c:pt>
                <c:pt idx="205">
                  <c:v>1000</c:v>
                </c:pt>
                <c:pt idx="206">
                  <c:v>1000</c:v>
                </c:pt>
                <c:pt idx="207">
                  <c:v>1000</c:v>
                </c:pt>
                <c:pt idx="208">
                  <c:v>1000</c:v>
                </c:pt>
                <c:pt idx="209">
                  <c:v>1000</c:v>
                </c:pt>
                <c:pt idx="210">
                  <c:v>1000</c:v>
                </c:pt>
                <c:pt idx="211">
                  <c:v>1000</c:v>
                </c:pt>
                <c:pt idx="212">
                  <c:v>1000</c:v>
                </c:pt>
                <c:pt idx="213">
                  <c:v>1000</c:v>
                </c:pt>
                <c:pt idx="214">
                  <c:v>1000</c:v>
                </c:pt>
                <c:pt idx="215">
                  <c:v>1000</c:v>
                </c:pt>
                <c:pt idx="216">
                  <c:v>800</c:v>
                </c:pt>
                <c:pt idx="217">
                  <c:v>800</c:v>
                </c:pt>
                <c:pt idx="218">
                  <c:v>800</c:v>
                </c:pt>
                <c:pt idx="219">
                  <c:v>800</c:v>
                </c:pt>
                <c:pt idx="220">
                  <c:v>800</c:v>
                </c:pt>
                <c:pt idx="221">
                  <c:v>800</c:v>
                </c:pt>
                <c:pt idx="222">
                  <c:v>800</c:v>
                </c:pt>
                <c:pt idx="223">
                  <c:v>800</c:v>
                </c:pt>
                <c:pt idx="224">
                  <c:v>800</c:v>
                </c:pt>
                <c:pt idx="225">
                  <c:v>800</c:v>
                </c:pt>
                <c:pt idx="226">
                  <c:v>500</c:v>
                </c:pt>
                <c:pt idx="227">
                  <c:v>500</c:v>
                </c:pt>
                <c:pt idx="228">
                  <c:v>500</c:v>
                </c:pt>
                <c:pt idx="229">
                  <c:v>500</c:v>
                </c:pt>
                <c:pt idx="230">
                  <c:v>425</c:v>
                </c:pt>
                <c:pt idx="231">
                  <c:v>425</c:v>
                </c:pt>
                <c:pt idx="232">
                  <c:v>425</c:v>
                </c:pt>
                <c:pt idx="233">
                  <c:v>425</c:v>
                </c:pt>
                <c:pt idx="234">
                  <c:v>425</c:v>
                </c:pt>
                <c:pt idx="235">
                  <c:v>425</c:v>
                </c:pt>
                <c:pt idx="236">
                  <c:v>425</c:v>
                </c:pt>
                <c:pt idx="237">
                  <c:v>425</c:v>
                </c:pt>
                <c:pt idx="238">
                  <c:v>425</c:v>
                </c:pt>
                <c:pt idx="239">
                  <c:v>425</c:v>
                </c:pt>
                <c:pt idx="240">
                  <c:v>425</c:v>
                </c:pt>
                <c:pt idx="241">
                  <c:v>425</c:v>
                </c:pt>
                <c:pt idx="242">
                  <c:v>425</c:v>
                </c:pt>
                <c:pt idx="243">
                  <c:v>425</c:v>
                </c:pt>
                <c:pt idx="244">
                  <c:v>425</c:v>
                </c:pt>
                <c:pt idx="245">
                  <c:v>425</c:v>
                </c:pt>
                <c:pt idx="246">
                  <c:v>500</c:v>
                </c:pt>
                <c:pt idx="247">
                  <c:v>500</c:v>
                </c:pt>
                <c:pt idx="248">
                  <c:v>500</c:v>
                </c:pt>
                <c:pt idx="249">
                  <c:v>500</c:v>
                </c:pt>
                <c:pt idx="250">
                  <c:v>500</c:v>
                </c:pt>
                <c:pt idx="251">
                  <c:v>500</c:v>
                </c:pt>
                <c:pt idx="252">
                  <c:v>500</c:v>
                </c:pt>
                <c:pt idx="253">
                  <c:v>500</c:v>
                </c:pt>
                <c:pt idx="254">
                  <c:v>500</c:v>
                </c:pt>
                <c:pt idx="255">
                  <c:v>500</c:v>
                </c:pt>
                <c:pt idx="256">
                  <c:v>500</c:v>
                </c:pt>
                <c:pt idx="257">
                  <c:v>500</c:v>
                </c:pt>
                <c:pt idx="258">
                  <c:v>500</c:v>
                </c:pt>
                <c:pt idx="259">
                  <c:v>500</c:v>
                </c:pt>
                <c:pt idx="260">
                  <c:v>500</c:v>
                </c:pt>
                <c:pt idx="261">
                  <c:v>500</c:v>
                </c:pt>
                <c:pt idx="262">
                  <c:v>500</c:v>
                </c:pt>
                <c:pt idx="263">
                  <c:v>500</c:v>
                </c:pt>
                <c:pt idx="264">
                  <c:v>500</c:v>
                </c:pt>
                <c:pt idx="265">
                  <c:v>500</c:v>
                </c:pt>
                <c:pt idx="266">
                  <c:v>500</c:v>
                </c:pt>
                <c:pt idx="267">
                  <c:v>500</c:v>
                </c:pt>
                <c:pt idx="268">
                  <c:v>500</c:v>
                </c:pt>
                <c:pt idx="269">
                  <c:v>500</c:v>
                </c:pt>
                <c:pt idx="270">
                  <c:v>500</c:v>
                </c:pt>
                <c:pt idx="271">
                  <c:v>500</c:v>
                </c:pt>
                <c:pt idx="272">
                  <c:v>500</c:v>
                </c:pt>
                <c:pt idx="273">
                  <c:v>500</c:v>
                </c:pt>
                <c:pt idx="274">
                  <c:v>500</c:v>
                </c:pt>
                <c:pt idx="275">
                  <c:v>500</c:v>
                </c:pt>
                <c:pt idx="276">
                  <c:v>1000</c:v>
                </c:pt>
                <c:pt idx="277">
                  <c:v>1000</c:v>
                </c:pt>
                <c:pt idx="278">
                  <c:v>1000</c:v>
                </c:pt>
                <c:pt idx="279">
                  <c:v>1000</c:v>
                </c:pt>
                <c:pt idx="280">
                  <c:v>1000</c:v>
                </c:pt>
                <c:pt idx="281">
                  <c:v>1000</c:v>
                </c:pt>
                <c:pt idx="282">
                  <c:v>1000</c:v>
                </c:pt>
                <c:pt idx="283">
                  <c:v>1000</c:v>
                </c:pt>
                <c:pt idx="284">
                  <c:v>1000</c:v>
                </c:pt>
                <c:pt idx="285">
                  <c:v>1000</c:v>
                </c:pt>
                <c:pt idx="286">
                  <c:v>1000</c:v>
                </c:pt>
                <c:pt idx="287">
                  <c:v>1000</c:v>
                </c:pt>
                <c:pt idx="288">
                  <c:v>1000</c:v>
                </c:pt>
                <c:pt idx="289">
                  <c:v>1000</c:v>
                </c:pt>
                <c:pt idx="290">
                  <c:v>1000</c:v>
                </c:pt>
                <c:pt idx="291">
                  <c:v>1000</c:v>
                </c:pt>
                <c:pt idx="292">
                  <c:v>1000</c:v>
                </c:pt>
                <c:pt idx="293">
                  <c:v>1000</c:v>
                </c:pt>
                <c:pt idx="294">
                  <c:v>1000</c:v>
                </c:pt>
                <c:pt idx="295">
                  <c:v>1000</c:v>
                </c:pt>
                <c:pt idx="296">
                  <c:v>1000</c:v>
                </c:pt>
                <c:pt idx="297">
                  <c:v>1000</c:v>
                </c:pt>
                <c:pt idx="298">
                  <c:v>1000</c:v>
                </c:pt>
                <c:pt idx="299">
                  <c:v>1000</c:v>
                </c:pt>
                <c:pt idx="300">
                  <c:v>1000</c:v>
                </c:pt>
                <c:pt idx="301">
                  <c:v>1000</c:v>
                </c:pt>
                <c:pt idx="302">
                  <c:v>1500</c:v>
                </c:pt>
                <c:pt idx="303">
                  <c:v>1500</c:v>
                </c:pt>
                <c:pt idx="304">
                  <c:v>1500</c:v>
                </c:pt>
                <c:pt idx="305">
                  <c:v>1500</c:v>
                </c:pt>
                <c:pt idx="306">
                  <c:v>1500</c:v>
                </c:pt>
                <c:pt idx="307">
                  <c:v>1500</c:v>
                </c:pt>
                <c:pt idx="308">
                  <c:v>1500</c:v>
                </c:pt>
                <c:pt idx="309">
                  <c:v>2000</c:v>
                </c:pt>
                <c:pt idx="310">
                  <c:v>2000</c:v>
                </c:pt>
                <c:pt idx="311">
                  <c:v>2000</c:v>
                </c:pt>
                <c:pt idx="312">
                  <c:v>2000</c:v>
                </c:pt>
                <c:pt idx="313">
                  <c:v>2000</c:v>
                </c:pt>
                <c:pt idx="314">
                  <c:v>2000</c:v>
                </c:pt>
                <c:pt idx="315">
                  <c:v>2000</c:v>
                </c:pt>
                <c:pt idx="316">
                  <c:v>2000</c:v>
                </c:pt>
                <c:pt idx="317">
                  <c:v>2000</c:v>
                </c:pt>
                <c:pt idx="318">
                  <c:v>2000</c:v>
                </c:pt>
                <c:pt idx="319">
                  <c:v>2000</c:v>
                </c:pt>
                <c:pt idx="320">
                  <c:v>2000</c:v>
                </c:pt>
                <c:pt idx="321">
                  <c:v>2000</c:v>
                </c:pt>
                <c:pt idx="322">
                  <c:v>2000</c:v>
                </c:pt>
                <c:pt idx="323">
                  <c:v>2000</c:v>
                </c:pt>
                <c:pt idx="324">
                  <c:v>2000</c:v>
                </c:pt>
                <c:pt idx="325">
                  <c:v>2000</c:v>
                </c:pt>
                <c:pt idx="326">
                  <c:v>2000</c:v>
                </c:pt>
                <c:pt idx="327">
                  <c:v>2000</c:v>
                </c:pt>
                <c:pt idx="328">
                  <c:v>2000</c:v>
                </c:pt>
                <c:pt idx="329">
                  <c:v>2000</c:v>
                </c:pt>
                <c:pt idx="330">
                  <c:v>2000</c:v>
                </c:pt>
                <c:pt idx="331">
                  <c:v>2000</c:v>
                </c:pt>
                <c:pt idx="332">
                  <c:v>2000</c:v>
                </c:pt>
                <c:pt idx="333">
                  <c:v>2000</c:v>
                </c:pt>
                <c:pt idx="334">
                  <c:v>2000</c:v>
                </c:pt>
                <c:pt idx="335">
                  <c:v>2000</c:v>
                </c:pt>
                <c:pt idx="336">
                  <c:v>2000</c:v>
                </c:pt>
                <c:pt idx="337">
                  <c:v>2000</c:v>
                </c:pt>
                <c:pt idx="338">
                  <c:v>2000</c:v>
                </c:pt>
                <c:pt idx="339">
                  <c:v>2000</c:v>
                </c:pt>
                <c:pt idx="340">
                  <c:v>2000</c:v>
                </c:pt>
                <c:pt idx="341">
                  <c:v>2000</c:v>
                </c:pt>
                <c:pt idx="342">
                  <c:v>2000</c:v>
                </c:pt>
                <c:pt idx="343">
                  <c:v>2000</c:v>
                </c:pt>
                <c:pt idx="344">
                  <c:v>2000</c:v>
                </c:pt>
                <c:pt idx="345">
                  <c:v>2000</c:v>
                </c:pt>
                <c:pt idx="346">
                  <c:v>2000</c:v>
                </c:pt>
                <c:pt idx="347">
                  <c:v>2000</c:v>
                </c:pt>
                <c:pt idx="348">
                  <c:v>2000</c:v>
                </c:pt>
                <c:pt idx="349">
                  <c:v>2000</c:v>
                </c:pt>
                <c:pt idx="350">
                  <c:v>2000</c:v>
                </c:pt>
                <c:pt idx="351">
                  <c:v>2000</c:v>
                </c:pt>
                <c:pt idx="352">
                  <c:v>2000</c:v>
                </c:pt>
                <c:pt idx="353">
                  <c:v>2000</c:v>
                </c:pt>
                <c:pt idx="354">
                  <c:v>2000</c:v>
                </c:pt>
                <c:pt idx="355">
                  <c:v>2000</c:v>
                </c:pt>
                <c:pt idx="356">
                  <c:v>2000</c:v>
                </c:pt>
                <c:pt idx="357">
                  <c:v>5500</c:v>
                </c:pt>
                <c:pt idx="358">
                  <c:v>5500</c:v>
                </c:pt>
                <c:pt idx="359">
                  <c:v>5500</c:v>
                </c:pt>
                <c:pt idx="360">
                  <c:v>5500</c:v>
                </c:pt>
                <c:pt idx="361">
                  <c:v>5500</c:v>
                </c:pt>
                <c:pt idx="362">
                  <c:v>5500</c:v>
                </c:pt>
                <c:pt idx="363">
                  <c:v>6000</c:v>
                </c:pt>
                <c:pt idx="364">
                  <c:v>6000</c:v>
                </c:pt>
                <c:pt idx="365">
                  <c:v>6000</c:v>
                </c:pt>
                <c:pt idx="366">
                  <c:v>6000</c:v>
                </c:pt>
                <c:pt idx="367">
                  <c:v>6000</c:v>
                </c:pt>
                <c:pt idx="368">
                  <c:v>6000</c:v>
                </c:pt>
                <c:pt idx="369">
                  <c:v>6000</c:v>
                </c:pt>
                <c:pt idx="370">
                  <c:v>5500</c:v>
                </c:pt>
                <c:pt idx="371">
                  <c:v>5250</c:v>
                </c:pt>
                <c:pt idx="372">
                  <c:v>4500</c:v>
                </c:pt>
                <c:pt idx="373">
                  <c:v>4250</c:v>
                </c:pt>
                <c:pt idx="374">
                  <c:v>4250</c:v>
                </c:pt>
                <c:pt idx="375">
                  <c:v>4250</c:v>
                </c:pt>
                <c:pt idx="376">
                  <c:v>4250</c:v>
                </c:pt>
                <c:pt idx="377">
                  <c:v>4250</c:v>
                </c:pt>
                <c:pt idx="378">
                  <c:v>4000</c:v>
                </c:pt>
                <c:pt idx="379">
                  <c:v>3800</c:v>
                </c:pt>
                <c:pt idx="380">
                  <c:v>3800</c:v>
                </c:pt>
                <c:pt idx="381">
                  <c:v>3600</c:v>
                </c:pt>
                <c:pt idx="382">
                  <c:v>3600</c:v>
                </c:pt>
                <c:pt idx="383">
                  <c:v>3600</c:v>
                </c:pt>
                <c:pt idx="384">
                  <c:v>3600</c:v>
                </c:pt>
                <c:pt idx="385">
                  <c:v>3600</c:v>
                </c:pt>
                <c:pt idx="386">
                  <c:v>3600</c:v>
                </c:pt>
                <c:pt idx="387">
                  <c:v>3300</c:v>
                </c:pt>
                <c:pt idx="388">
                  <c:v>3350</c:v>
                </c:pt>
                <c:pt idx="389">
                  <c:v>3350</c:v>
                </c:pt>
                <c:pt idx="390">
                  <c:v>3350</c:v>
                </c:pt>
                <c:pt idx="391">
                  <c:v>3352</c:v>
                </c:pt>
                <c:pt idx="392">
                  <c:v>3350</c:v>
                </c:pt>
                <c:pt idx="393">
                  <c:v>3350</c:v>
                </c:pt>
                <c:pt idx="394">
                  <c:v>3300</c:v>
                </c:pt>
                <c:pt idx="395">
                  <c:v>3225</c:v>
                </c:pt>
                <c:pt idx="396">
                  <c:v>3225</c:v>
                </c:pt>
                <c:pt idx="397">
                  <c:v>3225</c:v>
                </c:pt>
                <c:pt idx="398">
                  <c:v>3075</c:v>
                </c:pt>
                <c:pt idx="399">
                  <c:v>3025</c:v>
                </c:pt>
                <c:pt idx="400">
                  <c:v>2900</c:v>
                </c:pt>
                <c:pt idx="401">
                  <c:v>2737.5</c:v>
                </c:pt>
                <c:pt idx="402">
                  <c:v>2925</c:v>
                </c:pt>
                <c:pt idx="403">
                  <c:v>2925</c:v>
                </c:pt>
                <c:pt idx="404">
                  <c:v>2925</c:v>
                </c:pt>
                <c:pt idx="405">
                  <c:v>2987.5</c:v>
                </c:pt>
                <c:pt idx="406">
                  <c:v>3025</c:v>
                </c:pt>
                <c:pt idx="407">
                  <c:v>3025</c:v>
                </c:pt>
                <c:pt idx="408">
                  <c:v>3000</c:v>
                </c:pt>
                <c:pt idx="409">
                  <c:v>3000</c:v>
                </c:pt>
                <c:pt idx="410">
                  <c:v>3000</c:v>
                </c:pt>
                <c:pt idx="411">
                  <c:v>3000</c:v>
                </c:pt>
                <c:pt idx="412">
                  <c:v>3000</c:v>
                </c:pt>
                <c:pt idx="413">
                  <c:v>2850</c:v>
                </c:pt>
                <c:pt idx="414">
                  <c:v>2750</c:v>
                </c:pt>
                <c:pt idx="415">
                  <c:v>2475</c:v>
                </c:pt>
                <c:pt idx="416">
                  <c:v>2200</c:v>
                </c:pt>
                <c:pt idx="417">
                  <c:v>2200</c:v>
                </c:pt>
                <c:pt idx="418">
                  <c:v>2200</c:v>
                </c:pt>
                <c:pt idx="419">
                  <c:v>2200</c:v>
                </c:pt>
                <c:pt idx="420">
                  <c:v>2200</c:v>
                </c:pt>
                <c:pt idx="421">
                  <c:v>2250</c:v>
                </c:pt>
                <c:pt idx="422">
                  <c:v>2150</c:v>
                </c:pt>
                <c:pt idx="423">
                  <c:v>2150</c:v>
                </c:pt>
                <c:pt idx="424">
                  <c:v>2150</c:v>
                </c:pt>
                <c:pt idx="425">
                  <c:v>2150</c:v>
                </c:pt>
                <c:pt idx="426">
                  <c:v>2150</c:v>
                </c:pt>
                <c:pt idx="427">
                  <c:v>2100</c:v>
                </c:pt>
                <c:pt idx="428">
                  <c:v>2200</c:v>
                </c:pt>
                <c:pt idx="429">
                  <c:v>2200</c:v>
                </c:pt>
                <c:pt idx="430">
                  <c:v>2100</c:v>
                </c:pt>
                <c:pt idx="431">
                  <c:v>2100</c:v>
                </c:pt>
                <c:pt idx="432">
                  <c:v>2100</c:v>
                </c:pt>
                <c:pt idx="433">
                  <c:v>2225</c:v>
                </c:pt>
                <c:pt idx="434">
                  <c:v>2225</c:v>
                </c:pt>
                <c:pt idx="435">
                  <c:v>2250</c:v>
                </c:pt>
                <c:pt idx="436">
                  <c:v>2300</c:v>
                </c:pt>
                <c:pt idx="437">
                  <c:v>2250</c:v>
                </c:pt>
                <c:pt idx="438">
                  <c:v>2250</c:v>
                </c:pt>
                <c:pt idx="439">
                  <c:v>2250</c:v>
                </c:pt>
                <c:pt idx="440">
                  <c:v>2125</c:v>
                </c:pt>
                <c:pt idx="441">
                  <c:v>2150</c:v>
                </c:pt>
                <c:pt idx="442">
                  <c:v>2150</c:v>
                </c:pt>
                <c:pt idx="443">
                  <c:v>2175</c:v>
                </c:pt>
                <c:pt idx="444">
                  <c:v>2150</c:v>
                </c:pt>
                <c:pt idx="445">
                  <c:v>2150</c:v>
                </c:pt>
                <c:pt idx="446">
                  <c:v>2150</c:v>
                </c:pt>
                <c:pt idx="447">
                  <c:v>2150</c:v>
                </c:pt>
                <c:pt idx="448">
                  <c:v>2150</c:v>
                </c:pt>
                <c:pt idx="449">
                  <c:v>2150</c:v>
                </c:pt>
                <c:pt idx="450">
                  <c:v>2150</c:v>
                </c:pt>
                <c:pt idx="451">
                  <c:v>2200</c:v>
                </c:pt>
                <c:pt idx="452">
                  <c:v>2200</c:v>
                </c:pt>
                <c:pt idx="453">
                  <c:v>2200</c:v>
                </c:pt>
                <c:pt idx="454">
                  <c:v>2150</c:v>
                </c:pt>
                <c:pt idx="455">
                  <c:v>2075</c:v>
                </c:pt>
                <c:pt idx="456">
                  <c:v>2050</c:v>
                </c:pt>
                <c:pt idx="457">
                  <c:v>1925</c:v>
                </c:pt>
                <c:pt idx="458">
                  <c:v>1800</c:v>
                </c:pt>
                <c:pt idx="459">
                  <c:v>1800</c:v>
                </c:pt>
                <c:pt idx="460">
                  <c:v>1800</c:v>
                </c:pt>
                <c:pt idx="461">
                  <c:v>1550</c:v>
                </c:pt>
                <c:pt idx="462">
                  <c:v>1325</c:v>
                </c:pt>
                <c:pt idx="463">
                  <c:v>1075</c:v>
                </c:pt>
                <c:pt idx="464">
                  <c:v>1150</c:v>
                </c:pt>
                <c:pt idx="465">
                  <c:v>1150</c:v>
                </c:pt>
                <c:pt idx="466">
                  <c:v>1150</c:v>
                </c:pt>
                <c:pt idx="467">
                  <c:v>1150</c:v>
                </c:pt>
                <c:pt idx="468">
                  <c:v>1150</c:v>
                </c:pt>
                <c:pt idx="469">
                  <c:v>1137.5</c:v>
                </c:pt>
                <c:pt idx="470">
                  <c:v>1137.5</c:v>
                </c:pt>
                <c:pt idx="471">
                  <c:v>1100</c:v>
                </c:pt>
                <c:pt idx="472">
                  <c:v>1125</c:v>
                </c:pt>
                <c:pt idx="473">
                  <c:v>1125</c:v>
                </c:pt>
                <c:pt idx="474">
                  <c:v>1125</c:v>
                </c:pt>
                <c:pt idx="475">
                  <c:v>1150</c:v>
                </c:pt>
                <c:pt idx="476">
                  <c:v>1125</c:v>
                </c:pt>
                <c:pt idx="477">
                  <c:v>1125</c:v>
                </c:pt>
                <c:pt idx="478">
                  <c:v>1125</c:v>
                </c:pt>
                <c:pt idx="479">
                  <c:v>1125</c:v>
                </c:pt>
                <c:pt idx="480">
                  <c:v>1125</c:v>
                </c:pt>
                <c:pt idx="481">
                  <c:v>1125</c:v>
                </c:pt>
                <c:pt idx="482">
                  <c:v>1075</c:v>
                </c:pt>
                <c:pt idx="483">
                  <c:v>1100</c:v>
                </c:pt>
                <c:pt idx="484">
                  <c:v>1100</c:v>
                </c:pt>
                <c:pt idx="485">
                  <c:v>1100</c:v>
                </c:pt>
                <c:pt idx="486">
                  <c:v>1100</c:v>
                </c:pt>
                <c:pt idx="487">
                  <c:v>1100</c:v>
                </c:pt>
                <c:pt idx="488">
                  <c:v>1100</c:v>
                </c:pt>
                <c:pt idx="489">
                  <c:v>1100</c:v>
                </c:pt>
                <c:pt idx="490">
                  <c:v>1100</c:v>
                </c:pt>
                <c:pt idx="491">
                  <c:v>1125</c:v>
                </c:pt>
                <c:pt idx="492">
                  <c:v>1137.5</c:v>
                </c:pt>
                <c:pt idx="493">
                  <c:v>1150</c:v>
                </c:pt>
                <c:pt idx="494">
                  <c:v>1150</c:v>
                </c:pt>
                <c:pt idx="495">
                  <c:v>1150</c:v>
                </c:pt>
                <c:pt idx="496">
                  <c:v>1150</c:v>
                </c:pt>
                <c:pt idx="497">
                  <c:v>1175</c:v>
                </c:pt>
                <c:pt idx="498">
                  <c:v>1200</c:v>
                </c:pt>
                <c:pt idx="499">
                  <c:v>1212.5</c:v>
                </c:pt>
                <c:pt idx="500">
                  <c:v>1225</c:v>
                </c:pt>
                <c:pt idx="501">
                  <c:v>1225</c:v>
                </c:pt>
                <c:pt idx="502">
                  <c:v>1225</c:v>
                </c:pt>
                <c:pt idx="503">
                  <c:v>1225</c:v>
                </c:pt>
                <c:pt idx="504">
                  <c:v>1225</c:v>
                </c:pt>
                <c:pt idx="505">
                  <c:v>1212.5</c:v>
                </c:pt>
                <c:pt idx="506">
                  <c:v>1262.5</c:v>
                </c:pt>
                <c:pt idx="507">
                  <c:v>1225</c:v>
                </c:pt>
                <c:pt idx="508">
                  <c:v>1225</c:v>
                </c:pt>
                <c:pt idx="509">
                  <c:v>1225</c:v>
                </c:pt>
                <c:pt idx="510">
                  <c:v>1225</c:v>
                </c:pt>
                <c:pt idx="511">
                  <c:v>1237.5</c:v>
                </c:pt>
                <c:pt idx="512">
                  <c:v>1237.5</c:v>
                </c:pt>
                <c:pt idx="513">
                  <c:v>1300</c:v>
                </c:pt>
                <c:pt idx="514">
                  <c:v>1287.5</c:v>
                </c:pt>
                <c:pt idx="515">
                  <c:v>1287.5</c:v>
                </c:pt>
                <c:pt idx="516">
                  <c:v>1287.5</c:v>
                </c:pt>
                <c:pt idx="517">
                  <c:v>1287.5</c:v>
                </c:pt>
                <c:pt idx="518">
                  <c:v>1300</c:v>
                </c:pt>
                <c:pt idx="519">
                  <c:v>1275</c:v>
                </c:pt>
                <c:pt idx="520">
                  <c:v>1250</c:v>
                </c:pt>
                <c:pt idx="521">
                  <c:v>1262.5</c:v>
                </c:pt>
                <c:pt idx="522">
                  <c:v>1262.5</c:v>
                </c:pt>
                <c:pt idx="523">
                  <c:v>1262.5</c:v>
                </c:pt>
                <c:pt idx="524">
                  <c:v>1262.5</c:v>
                </c:pt>
                <c:pt idx="525">
                  <c:v>1175</c:v>
                </c:pt>
                <c:pt idx="526">
                  <c:v>1175</c:v>
                </c:pt>
                <c:pt idx="527">
                  <c:v>1175</c:v>
                </c:pt>
                <c:pt idx="528">
                  <c:v>1175</c:v>
                </c:pt>
                <c:pt idx="529">
                  <c:v>1175</c:v>
                </c:pt>
                <c:pt idx="530">
                  <c:v>1175</c:v>
                </c:pt>
                <c:pt idx="531">
                  <c:v>1125</c:v>
                </c:pt>
                <c:pt idx="532">
                  <c:v>1100</c:v>
                </c:pt>
                <c:pt idx="533">
                  <c:v>1075</c:v>
                </c:pt>
                <c:pt idx="534">
                  <c:v>1125</c:v>
                </c:pt>
                <c:pt idx="535">
                  <c:v>1125</c:v>
                </c:pt>
                <c:pt idx="536">
                  <c:v>1125</c:v>
                </c:pt>
                <c:pt idx="537">
                  <c:v>1125</c:v>
                </c:pt>
                <c:pt idx="538">
                  <c:v>1125</c:v>
                </c:pt>
                <c:pt idx="539">
                  <c:v>1125</c:v>
                </c:pt>
                <c:pt idx="540">
                  <c:v>1100</c:v>
                </c:pt>
                <c:pt idx="541">
                  <c:v>1112.5</c:v>
                </c:pt>
                <c:pt idx="542">
                  <c:v>1112.5</c:v>
                </c:pt>
                <c:pt idx="543">
                  <c:v>1112.5</c:v>
                </c:pt>
                <c:pt idx="544">
                  <c:v>1112.5</c:v>
                </c:pt>
                <c:pt idx="545">
                  <c:v>1112.5</c:v>
                </c:pt>
                <c:pt idx="546">
                  <c:v>1112.5</c:v>
                </c:pt>
                <c:pt idx="547">
                  <c:v>1112.5</c:v>
                </c:pt>
                <c:pt idx="548">
                  <c:v>1100</c:v>
                </c:pt>
                <c:pt idx="549">
                  <c:v>1100</c:v>
                </c:pt>
                <c:pt idx="550">
                  <c:v>1100</c:v>
                </c:pt>
                <c:pt idx="551">
                  <c:v>1100</c:v>
                </c:pt>
                <c:pt idx="552">
                  <c:v>1100</c:v>
                </c:pt>
                <c:pt idx="553">
                  <c:v>1000</c:v>
                </c:pt>
                <c:pt idx="554">
                  <c:v>1000</c:v>
                </c:pt>
                <c:pt idx="555">
                  <c:v>1100</c:v>
                </c:pt>
                <c:pt idx="556">
                  <c:v>1075</c:v>
                </c:pt>
                <c:pt idx="557">
                  <c:v>1075</c:v>
                </c:pt>
                <c:pt idx="558">
                  <c:v>1075</c:v>
                </c:pt>
                <c:pt idx="559">
                  <c:v>1060</c:v>
                </c:pt>
                <c:pt idx="560">
                  <c:v>1000</c:v>
                </c:pt>
                <c:pt idx="561">
                  <c:v>1000</c:v>
                </c:pt>
                <c:pt idx="562">
                  <c:v>925</c:v>
                </c:pt>
                <c:pt idx="563">
                  <c:v>925</c:v>
                </c:pt>
                <c:pt idx="564">
                  <c:v>925</c:v>
                </c:pt>
                <c:pt idx="565">
                  <c:v>925</c:v>
                </c:pt>
                <c:pt idx="566">
                  <c:v>925</c:v>
                </c:pt>
                <c:pt idx="567">
                  <c:v>887.5</c:v>
                </c:pt>
                <c:pt idx="568">
                  <c:v>825</c:v>
                </c:pt>
                <c:pt idx="569">
                  <c:v>687.5</c:v>
                </c:pt>
                <c:pt idx="570">
                  <c:v>662.5</c:v>
                </c:pt>
                <c:pt idx="571">
                  <c:v>662.5</c:v>
                </c:pt>
                <c:pt idx="572">
                  <c:v>662.5</c:v>
                </c:pt>
                <c:pt idx="573">
                  <c:v>650</c:v>
                </c:pt>
                <c:pt idx="574">
                  <c:v>587.5</c:v>
                </c:pt>
                <c:pt idx="575">
                  <c:v>600</c:v>
                </c:pt>
                <c:pt idx="576">
                  <c:v>600</c:v>
                </c:pt>
                <c:pt idx="577">
                  <c:v>600</c:v>
                </c:pt>
                <c:pt idx="578">
                  <c:v>600</c:v>
                </c:pt>
                <c:pt idx="579">
                  <c:v>600</c:v>
                </c:pt>
                <c:pt idx="580">
                  <c:v>600</c:v>
                </c:pt>
                <c:pt idx="581">
                  <c:v>600</c:v>
                </c:pt>
                <c:pt idx="582">
                  <c:v>625</c:v>
                </c:pt>
                <c:pt idx="583">
                  <c:v>650</c:v>
                </c:pt>
                <c:pt idx="584">
                  <c:v>650</c:v>
                </c:pt>
                <c:pt idx="585">
                  <c:v>650</c:v>
                </c:pt>
                <c:pt idx="586">
                  <c:v>650</c:v>
                </c:pt>
                <c:pt idx="587">
                  <c:v>650</c:v>
                </c:pt>
                <c:pt idx="588">
                  <c:v>650</c:v>
                </c:pt>
                <c:pt idx="589">
                  <c:v>650</c:v>
                </c:pt>
                <c:pt idx="590">
                  <c:v>650</c:v>
                </c:pt>
                <c:pt idx="591">
                  <c:v>650</c:v>
                </c:pt>
                <c:pt idx="592">
                  <c:v>650</c:v>
                </c:pt>
                <c:pt idx="593">
                  <c:v>650</c:v>
                </c:pt>
                <c:pt idx="594">
                  <c:v>650</c:v>
                </c:pt>
                <c:pt idx="595">
                  <c:v>655</c:v>
                </c:pt>
                <c:pt idx="596">
                  <c:v>652.5</c:v>
                </c:pt>
                <c:pt idx="597">
                  <c:v>652.5</c:v>
                </c:pt>
                <c:pt idx="598">
                  <c:v>652.5</c:v>
                </c:pt>
                <c:pt idx="599">
                  <c:v>652.5</c:v>
                </c:pt>
                <c:pt idx="600">
                  <c:v>652.5</c:v>
                </c:pt>
                <c:pt idx="601">
                  <c:v>652.5</c:v>
                </c:pt>
                <c:pt idx="602">
                  <c:v>652.5</c:v>
                </c:pt>
                <c:pt idx="603">
                  <c:v>652.5</c:v>
                </c:pt>
                <c:pt idx="604">
                  <c:v>675</c:v>
                </c:pt>
                <c:pt idx="605">
                  <c:v>675</c:v>
                </c:pt>
                <c:pt idx="606">
                  <c:v>675</c:v>
                </c:pt>
                <c:pt idx="607">
                  <c:v>675</c:v>
                </c:pt>
                <c:pt idx="608">
                  <c:v>675</c:v>
                </c:pt>
                <c:pt idx="609">
                  <c:v>660</c:v>
                </c:pt>
                <c:pt idx="610">
                  <c:v>650</c:v>
                </c:pt>
                <c:pt idx="611">
                  <c:v>650</c:v>
                </c:pt>
                <c:pt idx="612">
                  <c:v>625</c:v>
                </c:pt>
                <c:pt idx="613">
                  <c:v>625</c:v>
                </c:pt>
                <c:pt idx="614">
                  <c:v>625</c:v>
                </c:pt>
                <c:pt idx="615">
                  <c:v>625</c:v>
                </c:pt>
                <c:pt idx="616">
                  <c:v>612.5</c:v>
                </c:pt>
                <c:pt idx="617">
                  <c:v>590</c:v>
                </c:pt>
                <c:pt idx="618">
                  <c:v>565</c:v>
                </c:pt>
                <c:pt idx="619">
                  <c:v>565</c:v>
                </c:pt>
                <c:pt idx="620">
                  <c:v>565</c:v>
                </c:pt>
                <c:pt idx="621">
                  <c:v>565</c:v>
                </c:pt>
                <c:pt idx="622">
                  <c:v>565</c:v>
                </c:pt>
                <c:pt idx="623">
                  <c:v>565</c:v>
                </c:pt>
                <c:pt idx="624">
                  <c:v>535</c:v>
                </c:pt>
                <c:pt idx="625">
                  <c:v>525</c:v>
                </c:pt>
                <c:pt idx="626">
                  <c:v>525</c:v>
                </c:pt>
                <c:pt idx="627">
                  <c:v>525</c:v>
                </c:pt>
                <c:pt idx="628">
                  <c:v>525</c:v>
                </c:pt>
                <c:pt idx="629">
                  <c:v>525</c:v>
                </c:pt>
                <c:pt idx="630">
                  <c:v>533</c:v>
                </c:pt>
                <c:pt idx="631">
                  <c:v>518</c:v>
                </c:pt>
                <c:pt idx="632">
                  <c:v>500</c:v>
                </c:pt>
                <c:pt idx="633">
                  <c:v>500</c:v>
                </c:pt>
                <c:pt idx="634">
                  <c:v>500</c:v>
                </c:pt>
                <c:pt idx="635">
                  <c:v>500</c:v>
                </c:pt>
                <c:pt idx="636">
                  <c:v>500</c:v>
                </c:pt>
                <c:pt idx="637">
                  <c:v>513</c:v>
                </c:pt>
                <c:pt idx="638">
                  <c:v>515</c:v>
                </c:pt>
                <c:pt idx="639">
                  <c:v>523</c:v>
                </c:pt>
                <c:pt idx="640">
                  <c:v>523</c:v>
                </c:pt>
                <c:pt idx="641">
                  <c:v>523</c:v>
                </c:pt>
                <c:pt idx="642">
                  <c:v>523</c:v>
                </c:pt>
                <c:pt idx="643">
                  <c:v>523</c:v>
                </c:pt>
                <c:pt idx="644">
                  <c:v>520</c:v>
                </c:pt>
                <c:pt idx="645">
                  <c:v>533</c:v>
                </c:pt>
                <c:pt idx="646">
                  <c:v>600</c:v>
                </c:pt>
                <c:pt idx="647">
                  <c:v>588</c:v>
                </c:pt>
                <c:pt idx="648">
                  <c:v>588</c:v>
                </c:pt>
                <c:pt idx="649">
                  <c:v>588</c:v>
                </c:pt>
                <c:pt idx="650">
                  <c:v>575</c:v>
                </c:pt>
                <c:pt idx="651">
                  <c:v>585</c:v>
                </c:pt>
                <c:pt idx="652">
                  <c:v>585</c:v>
                </c:pt>
                <c:pt idx="653">
                  <c:v>585</c:v>
                </c:pt>
                <c:pt idx="654">
                  <c:v>585</c:v>
                </c:pt>
                <c:pt idx="655">
                  <c:v>585</c:v>
                </c:pt>
                <c:pt idx="656">
                  <c:v>585</c:v>
                </c:pt>
                <c:pt idx="657">
                  <c:v>585</c:v>
                </c:pt>
                <c:pt idx="658">
                  <c:v>590</c:v>
                </c:pt>
                <c:pt idx="659">
                  <c:v>590</c:v>
                </c:pt>
                <c:pt idx="660">
                  <c:v>590</c:v>
                </c:pt>
                <c:pt idx="661">
                  <c:v>603</c:v>
                </c:pt>
                <c:pt idx="662">
                  <c:v>603</c:v>
                </c:pt>
                <c:pt idx="663">
                  <c:v>603</c:v>
                </c:pt>
                <c:pt idx="664">
                  <c:v>638</c:v>
                </c:pt>
                <c:pt idx="665">
                  <c:v>700</c:v>
                </c:pt>
                <c:pt idx="666">
                  <c:v>675</c:v>
                </c:pt>
                <c:pt idx="667">
                  <c:v>687</c:v>
                </c:pt>
                <c:pt idx="668">
                  <c:v>688</c:v>
                </c:pt>
                <c:pt idx="669">
                  <c:v>688</c:v>
                </c:pt>
                <c:pt idx="670">
                  <c:v>688</c:v>
                </c:pt>
                <c:pt idx="671">
                  <c:v>688</c:v>
                </c:pt>
                <c:pt idx="672">
                  <c:v>688</c:v>
                </c:pt>
                <c:pt idx="673">
                  <c:v>688</c:v>
                </c:pt>
                <c:pt idx="674">
                  <c:v>688</c:v>
                </c:pt>
                <c:pt idx="675">
                  <c:v>675</c:v>
                </c:pt>
                <c:pt idx="676">
                  <c:v>675</c:v>
                </c:pt>
                <c:pt idx="677">
                  <c:v>675</c:v>
                </c:pt>
                <c:pt idx="678">
                  <c:v>675</c:v>
                </c:pt>
                <c:pt idx="679">
                  <c:v>675</c:v>
                </c:pt>
                <c:pt idx="680">
                  <c:v>663</c:v>
                </c:pt>
                <c:pt idx="681">
                  <c:v>650</c:v>
                </c:pt>
                <c:pt idx="682">
                  <c:v>650</c:v>
                </c:pt>
                <c:pt idx="683">
                  <c:v>650</c:v>
                </c:pt>
                <c:pt idx="684">
                  <c:v>650</c:v>
                </c:pt>
                <c:pt idx="685">
                  <c:v>650</c:v>
                </c:pt>
                <c:pt idx="686">
                  <c:v>640</c:v>
                </c:pt>
                <c:pt idx="687">
                  <c:v>627</c:v>
                </c:pt>
                <c:pt idx="688">
                  <c:v>625</c:v>
                </c:pt>
                <c:pt idx="689">
                  <c:v>625</c:v>
                </c:pt>
                <c:pt idx="690">
                  <c:v>625</c:v>
                </c:pt>
                <c:pt idx="691">
                  <c:v>625</c:v>
                </c:pt>
                <c:pt idx="692">
                  <c:v>623</c:v>
                </c:pt>
                <c:pt idx="693">
                  <c:v>625</c:v>
                </c:pt>
                <c:pt idx="694">
                  <c:v>625</c:v>
                </c:pt>
                <c:pt idx="695">
                  <c:v>625</c:v>
                </c:pt>
                <c:pt idx="696">
                  <c:v>625</c:v>
                </c:pt>
                <c:pt idx="697">
                  <c:v>625</c:v>
                </c:pt>
                <c:pt idx="698">
                  <c:v>625</c:v>
                </c:pt>
                <c:pt idx="699">
                  <c:v>625</c:v>
                </c:pt>
                <c:pt idx="700">
                  <c:v>625</c:v>
                </c:pt>
                <c:pt idx="701">
                  <c:v>635</c:v>
                </c:pt>
                <c:pt idx="702">
                  <c:v>645</c:v>
                </c:pt>
                <c:pt idx="703">
                  <c:v>645</c:v>
                </c:pt>
                <c:pt idx="704">
                  <c:v>645</c:v>
                </c:pt>
                <c:pt idx="705">
                  <c:v>645</c:v>
                </c:pt>
                <c:pt idx="706">
                  <c:v>645</c:v>
                </c:pt>
                <c:pt idx="707">
                  <c:v>645</c:v>
                </c:pt>
                <c:pt idx="708">
                  <c:v>645</c:v>
                </c:pt>
                <c:pt idx="709">
                  <c:v>665</c:v>
                </c:pt>
                <c:pt idx="710">
                  <c:v>665</c:v>
                </c:pt>
                <c:pt idx="711">
                  <c:v>665</c:v>
                </c:pt>
                <c:pt idx="712">
                  <c:v>665</c:v>
                </c:pt>
                <c:pt idx="713">
                  <c:v>665</c:v>
                </c:pt>
                <c:pt idx="714">
                  <c:v>645</c:v>
                </c:pt>
                <c:pt idx="715">
                  <c:v>635</c:v>
                </c:pt>
                <c:pt idx="716">
                  <c:v>645</c:v>
                </c:pt>
                <c:pt idx="717">
                  <c:v>675</c:v>
                </c:pt>
                <c:pt idx="718">
                  <c:v>675</c:v>
                </c:pt>
                <c:pt idx="719">
                  <c:v>675</c:v>
                </c:pt>
                <c:pt idx="720">
                  <c:v>680</c:v>
                </c:pt>
                <c:pt idx="721">
                  <c:v>680</c:v>
                </c:pt>
                <c:pt idx="722">
                  <c:v>680</c:v>
                </c:pt>
                <c:pt idx="723">
                  <c:v>680</c:v>
                </c:pt>
                <c:pt idx="724">
                  <c:v>680</c:v>
                </c:pt>
                <c:pt idx="725">
                  <c:v>680</c:v>
                </c:pt>
                <c:pt idx="726">
                  <c:v>680</c:v>
                </c:pt>
                <c:pt idx="727">
                  <c:v>680</c:v>
                </c:pt>
                <c:pt idx="728">
                  <c:v>680</c:v>
                </c:pt>
                <c:pt idx="729">
                  <c:v>680</c:v>
                </c:pt>
                <c:pt idx="730">
                  <c:v>680</c:v>
                </c:pt>
                <c:pt idx="731" formatCode="&quot;$&quot;#,##0.00">
                  <c:v>665</c:v>
                </c:pt>
                <c:pt idx="732" formatCode="&quot;$&quot;#,##0.00">
                  <c:v>680</c:v>
                </c:pt>
                <c:pt idx="733" formatCode="&quot;$&quot;#,##0.00">
                  <c:v>680</c:v>
                </c:pt>
                <c:pt idx="734" formatCode="&quot;$&quot;#,##0.00">
                  <c:v>680</c:v>
                </c:pt>
                <c:pt idx="735" formatCode="&quot;$&quot;#,##0.00">
                  <c:v>695</c:v>
                </c:pt>
                <c:pt idx="736" formatCode="&quot;$&quot;#,##0.00">
                  <c:v>725</c:v>
                </c:pt>
                <c:pt idx="737" formatCode="&quot;$&quot;#,##0.00">
                  <c:v>740</c:v>
                </c:pt>
                <c:pt idx="738" formatCode="&quot;$&quot;#,##0.00">
                  <c:v>740</c:v>
                </c:pt>
                <c:pt idx="739" formatCode="&quot;$&quot;#,##0.00">
                  <c:v>712.5</c:v>
                </c:pt>
                <c:pt idx="740" formatCode="&quot;$&quot;#,##0.00">
                  <c:v>700</c:v>
                </c:pt>
                <c:pt idx="741" formatCode="&quot;$&quot;#,##0.00">
                  <c:v>695</c:v>
                </c:pt>
                <c:pt idx="742" formatCode="&quot;$&quot;#,##0.00">
                  <c:v>687.5</c:v>
                </c:pt>
                <c:pt idx="743" formatCode="&quot;$&quot;#,##0.00">
                  <c:v>687.5</c:v>
                </c:pt>
                <c:pt idx="744" formatCode="&quot;$&quot;#,##0.00">
                  <c:v>662.5</c:v>
                </c:pt>
                <c:pt idx="745" formatCode="&quot;$&quot;#,##0.00">
                  <c:v>662.5</c:v>
                </c:pt>
                <c:pt idx="746" formatCode="&quot;$&quot;#,##0.00">
                  <c:v>650</c:v>
                </c:pt>
                <c:pt idx="747" formatCode="&quot;$&quot;#,##0.00">
                  <c:v>620</c:v>
                </c:pt>
                <c:pt idx="748" formatCode="&quot;$&quot;#,##0.00">
                  <c:v>617.5</c:v>
                </c:pt>
                <c:pt idx="749" formatCode="&quot;$&quot;#,##0.00">
                  <c:v>617.5</c:v>
                </c:pt>
                <c:pt idx="750" formatCode="&quot;$&quot;#,##0.00">
                  <c:v>617.5</c:v>
                </c:pt>
                <c:pt idx="751" formatCode="&quot;$&quot;#,##0.00">
                  <c:v>612.5</c:v>
                </c:pt>
                <c:pt idx="752" formatCode="&quot;$&quot;#,##0.00">
                  <c:v>612.5</c:v>
                </c:pt>
                <c:pt idx="753" formatCode="&quot;$&quot;#,##0.00">
                  <c:v>612.5</c:v>
                </c:pt>
                <c:pt idx="754" formatCode="&quot;$&quot;#,##0.00">
                  <c:v>612.5</c:v>
                </c:pt>
                <c:pt idx="755" formatCode="&quot;$&quot;#,##0.00">
                  <c:v>612.5</c:v>
                </c:pt>
                <c:pt idx="756" formatCode="&quot;$&quot;#,##0.00">
                  <c:v>615</c:v>
                </c:pt>
                <c:pt idx="757" formatCode="&quot;$&quot;#,##0.00">
                  <c:v>615</c:v>
                </c:pt>
                <c:pt idx="758" formatCode="&quot;$&quot;#,##0.00">
                  <c:v>615</c:v>
                </c:pt>
                <c:pt idx="759" formatCode="&quot;$&quot;#,##0.00">
                  <c:v>615</c:v>
                </c:pt>
                <c:pt idx="760" formatCode="&quot;$&quot;#,##0.00">
                  <c:v>615</c:v>
                </c:pt>
                <c:pt idx="761" formatCode="&quot;$&quot;#,##0.00">
                  <c:v>615</c:v>
                </c:pt>
                <c:pt idx="762" formatCode="&quot;$&quot;#,##0.00">
                  <c:v>615</c:v>
                </c:pt>
                <c:pt idx="763" formatCode="&quot;$&quot;#,##0.00">
                  <c:v>615</c:v>
                </c:pt>
                <c:pt idx="764" formatCode="&quot;$&quot;#,##0.00">
                  <c:v>615</c:v>
                </c:pt>
                <c:pt idx="765" formatCode="&quot;$&quot;#,##0.00">
                  <c:v>610</c:v>
                </c:pt>
                <c:pt idx="766" formatCode="&quot;$&quot;#,##0.00">
                  <c:v>610</c:v>
                </c:pt>
                <c:pt idx="767" formatCode="&quot;$&quot;#,##0.00">
                  <c:v>605</c:v>
                </c:pt>
                <c:pt idx="768" formatCode="&quot;$&quot;#,##0.00">
                  <c:v>605</c:v>
                </c:pt>
                <c:pt idx="769" formatCode="&quot;$&quot;#,##0.00">
                  <c:v>587.5</c:v>
                </c:pt>
                <c:pt idx="770" formatCode="&quot;$&quot;#,##0.00">
                  <c:v>587.5</c:v>
                </c:pt>
                <c:pt idx="771" formatCode="&quot;$&quot;#,##0.00">
                  <c:v>550</c:v>
                </c:pt>
                <c:pt idx="772" formatCode="&quot;$&quot;#,##0.00">
                  <c:v>532.5</c:v>
                </c:pt>
                <c:pt idx="773" formatCode="&quot;$&quot;#,##0.00">
                  <c:v>542.5</c:v>
                </c:pt>
                <c:pt idx="774" formatCode="&quot;$&quot;#,##0.00">
                  <c:v>545</c:v>
                </c:pt>
                <c:pt idx="775" formatCode="&quot;$&quot;#,##0.00">
                  <c:v>545</c:v>
                </c:pt>
                <c:pt idx="776" formatCode="&quot;$&quot;#,##0.00">
                  <c:v>545</c:v>
                </c:pt>
                <c:pt idx="777" formatCode="&quot;$&quot;#,##0.00">
                  <c:v>557.5</c:v>
                </c:pt>
                <c:pt idx="778" formatCode="&quot;$&quot;#,##0.00">
                  <c:v>565</c:v>
                </c:pt>
                <c:pt idx="779" formatCode="&quot;$&quot;#,##0.00">
                  <c:v>565</c:v>
                </c:pt>
                <c:pt idx="780" formatCode="&quot;$&quot;#,##0.00">
                  <c:v>565</c:v>
                </c:pt>
                <c:pt idx="781" formatCode="&quot;$&quot;#,##0.00">
                  <c:v>562.5</c:v>
                </c:pt>
                <c:pt idx="782" formatCode="&quot;$&quot;#,##0.00">
                  <c:v>555</c:v>
                </c:pt>
                <c:pt idx="783" formatCode="&quot;$&quot;#,##0.00">
                  <c:v>545</c:v>
                </c:pt>
                <c:pt idx="784" formatCode="&quot;$&quot;#,##0.00">
                  <c:v>540</c:v>
                </c:pt>
                <c:pt idx="785" formatCode="&quot;$&quot;#,##0.00">
                  <c:v>532.5</c:v>
                </c:pt>
                <c:pt idx="786" formatCode="&quot;$&quot;#,##0.00">
                  <c:v>520</c:v>
                </c:pt>
                <c:pt idx="787" formatCode="&quot;$&quot;#,##0.00">
                  <c:v>492.5</c:v>
                </c:pt>
                <c:pt idx="788" formatCode="&quot;$&quot;#,##0.00">
                  <c:v>457.5</c:v>
                </c:pt>
                <c:pt idx="789" formatCode="&quot;$&quot;#,##0.00">
                  <c:v>457.5</c:v>
                </c:pt>
                <c:pt idx="790" formatCode="&quot;$&quot;#,##0.00">
                  <c:v>457.5</c:v>
                </c:pt>
                <c:pt idx="791" formatCode="&quot;$&quot;#,##0.00">
                  <c:v>457.5</c:v>
                </c:pt>
                <c:pt idx="792" formatCode="&quot;$&quot;#,##0.00">
                  <c:v>450</c:v>
                </c:pt>
                <c:pt idx="793" formatCode="&quot;$&quot;#,##0.00">
                  <c:v>450</c:v>
                </c:pt>
                <c:pt idx="794" formatCode="&quot;$&quot;#,##0.00">
                  <c:v>437.5</c:v>
                </c:pt>
                <c:pt idx="795" formatCode="&quot;$&quot;#,##0.00">
                  <c:v>425</c:v>
                </c:pt>
                <c:pt idx="796" formatCode="&quot;$&quot;#,##0.00">
                  <c:v>400</c:v>
                </c:pt>
                <c:pt idx="797" formatCode="&quot;$&quot;#,##0.00">
                  <c:v>400</c:v>
                </c:pt>
                <c:pt idx="798" formatCode="&quot;$&quot;#,##0.00">
                  <c:v>367.6</c:v>
                </c:pt>
                <c:pt idx="799" formatCode="&quot;$&quot;#,##0.00">
                  <c:v>362.5</c:v>
                </c:pt>
                <c:pt idx="800" formatCode="&quot;$&quot;#,##0.00">
                  <c:v>325</c:v>
                </c:pt>
                <c:pt idx="801" formatCode="&quot;$&quot;#,##0.00">
                  <c:v>307.5</c:v>
                </c:pt>
                <c:pt idx="802" formatCode="&quot;$&quot;#,##0.00">
                  <c:v>295</c:v>
                </c:pt>
                <c:pt idx="803" formatCode="&quot;$&quot;#,##0.00">
                  <c:v>290</c:v>
                </c:pt>
                <c:pt idx="804" formatCode="&quot;$&quot;#,##0.00">
                  <c:v>285</c:v>
                </c:pt>
                <c:pt idx="805" formatCode="&quot;$&quot;#,##0.00">
                  <c:v>285</c:v>
                </c:pt>
                <c:pt idx="806" formatCode="&quot;$&quot;#,##0.00">
                  <c:v>285</c:v>
                </c:pt>
                <c:pt idx="807" formatCode="&quot;$&quot;#,##0.00">
                  <c:v>307.5</c:v>
                </c:pt>
                <c:pt idx="808" formatCode="&quot;$&quot;#,##0.00">
                  <c:v>372.5</c:v>
                </c:pt>
                <c:pt idx="809" formatCode="&quot;$&quot;#,##0.00">
                  <c:v>385</c:v>
                </c:pt>
                <c:pt idx="810" formatCode="&quot;$&quot;#,##0.00">
                  <c:v>435</c:v>
                </c:pt>
                <c:pt idx="811" formatCode="&quot;$&quot;#,##0.00">
                  <c:v>420</c:v>
                </c:pt>
                <c:pt idx="812" formatCode="&quot;$&quot;#,##0.00">
                  <c:v>420</c:v>
                </c:pt>
                <c:pt idx="813" formatCode="&quot;$&quot;#,##0.00">
                  <c:v>437.5</c:v>
                </c:pt>
                <c:pt idx="814" formatCode="&quot;$&quot;#,##0.00">
                  <c:v>437.5</c:v>
                </c:pt>
                <c:pt idx="815" formatCode="&quot;$&quot;#,##0.00">
                  <c:v>430</c:v>
                </c:pt>
                <c:pt idx="816" formatCode="&quot;$&quot;#,##0.00">
                  <c:v>435</c:v>
                </c:pt>
                <c:pt idx="817" formatCode="&quot;$&quot;#,##0.00">
                  <c:v>430</c:v>
                </c:pt>
                <c:pt idx="818" formatCode="&quot;$&quot;#,##0.00">
                  <c:v>430</c:v>
                </c:pt>
                <c:pt idx="819" formatCode="&quot;$&quot;#,##0.00">
                  <c:v>420</c:v>
                </c:pt>
                <c:pt idx="820" formatCode="&quot;$&quot;#,##0.00">
                  <c:v>420</c:v>
                </c:pt>
                <c:pt idx="821" formatCode="&quot;$&quot;#,##0.00">
                  <c:v>360</c:v>
                </c:pt>
                <c:pt idx="822" formatCode="&quot;$&quot;#,##0.00">
                  <c:v>330</c:v>
                </c:pt>
                <c:pt idx="823" formatCode="&quot;$&quot;#,##0.00">
                  <c:v>340</c:v>
                </c:pt>
                <c:pt idx="824" formatCode="&quot;$&quot;#,##0.00">
                  <c:v>385</c:v>
                </c:pt>
                <c:pt idx="825" formatCode="&quot;$&quot;#,##0.00">
                  <c:v>412.5</c:v>
                </c:pt>
                <c:pt idx="826" formatCode="&quot;$&quot;#,##0.00">
                  <c:v>370</c:v>
                </c:pt>
                <c:pt idx="827" formatCode="&quot;$&quot;#,##0.00">
                  <c:v>365</c:v>
                </c:pt>
                <c:pt idx="828" formatCode="&quot;$&quot;#,##0.00">
                  <c:v>365</c:v>
                </c:pt>
                <c:pt idx="829" formatCode="&quot;$&quot;#,##0.00">
                  <c:v>365</c:v>
                </c:pt>
                <c:pt idx="830" formatCode="&quot;$&quot;#,##0.00">
                  <c:v>367.5</c:v>
                </c:pt>
                <c:pt idx="831" formatCode="&quot;$&quot;#,##0.00">
                  <c:v>367.5</c:v>
                </c:pt>
                <c:pt idx="832" formatCode="&quot;$&quot;#,##0.00">
                  <c:v>362.5</c:v>
                </c:pt>
                <c:pt idx="833" formatCode="&quot;$&quot;#,##0.00">
                  <c:v>367.5</c:v>
                </c:pt>
                <c:pt idx="834" formatCode="&quot;$&quot;#,##0.00">
                  <c:v>370</c:v>
                </c:pt>
                <c:pt idx="835" formatCode="&quot;$&quot;#,##0.00">
                  <c:v>370</c:v>
                </c:pt>
                <c:pt idx="836" formatCode="&quot;$&quot;#,##0.00">
                  <c:v>385</c:v>
                </c:pt>
                <c:pt idx="837" formatCode="&quot;$&quot;#,##0.00">
                  <c:v>380</c:v>
                </c:pt>
                <c:pt idx="838" formatCode="&quot;$&quot;#,##0.00">
                  <c:v>380</c:v>
                </c:pt>
                <c:pt idx="839" formatCode="&quot;$&quot;#,##0.00">
                  <c:v>380</c:v>
                </c:pt>
                <c:pt idx="840" formatCode="&quot;$&quot;#,##0.00">
                  <c:v>405</c:v>
                </c:pt>
                <c:pt idx="841" formatCode="&quot;$&quot;#,##0.00">
                  <c:v>410</c:v>
                </c:pt>
                <c:pt idx="842" formatCode="&quot;$&quot;#,##0.00">
                  <c:v>410</c:v>
                </c:pt>
                <c:pt idx="843" formatCode="&quot;$&quot;#,##0.00">
                  <c:v>417.5</c:v>
                </c:pt>
                <c:pt idx="844" formatCode="&quot;$&quot;#,##0.00">
                  <c:v>430</c:v>
                </c:pt>
                <c:pt idx="845" formatCode="&quot;$&quot;#,##0.00">
                  <c:v>432.5</c:v>
                </c:pt>
                <c:pt idx="846" formatCode="&quot;$&quot;#,##0.00">
                  <c:v>432.5</c:v>
                </c:pt>
                <c:pt idx="847" formatCode="&quot;$&quot;#,##0.00">
                  <c:v>427.5</c:v>
                </c:pt>
                <c:pt idx="848" formatCode="&quot;$&quot;#,##0.00">
                  <c:v>427.5</c:v>
                </c:pt>
                <c:pt idx="849" formatCode="&quot;$&quot;#,##0.00">
                  <c:v>427.5</c:v>
                </c:pt>
                <c:pt idx="850" formatCode="&quot;$&quot;#,##0.00">
                  <c:v>437.5</c:v>
                </c:pt>
                <c:pt idx="851" formatCode="&quot;$&quot;#,##0.00">
                  <c:v>455</c:v>
                </c:pt>
                <c:pt idx="852" formatCode="&quot;$&quot;#,##0.00">
                  <c:v>455</c:v>
                </c:pt>
                <c:pt idx="853" formatCode="&quot;$&quot;#,##0.00">
                  <c:v>462.5</c:v>
                </c:pt>
                <c:pt idx="854" formatCode="&quot;$&quot;#,##0.00">
                  <c:v>462.5</c:v>
                </c:pt>
                <c:pt idx="855" formatCode="&quot;$&quot;#,##0.00">
                  <c:v>462.5</c:v>
                </c:pt>
                <c:pt idx="856" formatCode="&quot;$&quot;#,##0.00">
                  <c:v>465</c:v>
                </c:pt>
                <c:pt idx="857" formatCode="&quot;$&quot;#,##0.00">
                  <c:v>465</c:v>
                </c:pt>
                <c:pt idx="858" formatCode="&quot;$&quot;#,##0.00">
                  <c:v>400</c:v>
                </c:pt>
                <c:pt idx="859" formatCode="&quot;$&quot;#,##0.00">
                  <c:v>365</c:v>
                </c:pt>
                <c:pt idx="860" formatCode="&quot;$&quot;#,##0.00">
                  <c:v>365</c:v>
                </c:pt>
                <c:pt idx="861" formatCode="&quot;$&quot;#,##0.00">
                  <c:v>237.5</c:v>
                </c:pt>
                <c:pt idx="862" formatCode="&quot;$&quot;#,##0.00">
                  <c:v>237.5</c:v>
                </c:pt>
                <c:pt idx="863" formatCode="&quot;$&quot;#,##0.00">
                  <c:v>232.5</c:v>
                </c:pt>
                <c:pt idx="864" formatCode="&quot;$&quot;#,##0.00">
                  <c:v>270</c:v>
                </c:pt>
                <c:pt idx="865" formatCode="&quot;$&quot;#,##0.00">
                  <c:v>265</c:v>
                </c:pt>
                <c:pt idx="866" formatCode="&quot;$&quot;#,##0.00">
                  <c:v>297.5</c:v>
                </c:pt>
                <c:pt idx="867" formatCode="&quot;$&quot;#,##0.00">
                  <c:v>290</c:v>
                </c:pt>
                <c:pt idx="868" formatCode="&quot;$&quot;#,##0.00">
                  <c:v>290</c:v>
                </c:pt>
                <c:pt idx="869" formatCode="&quot;$&quot;#,##0.00">
                  <c:v>280</c:v>
                </c:pt>
                <c:pt idx="870" formatCode="&quot;$&quot;#,##0.00">
                  <c:v>280</c:v>
                </c:pt>
                <c:pt idx="871" formatCode="&quot;$&quot;#,##0.00">
                  <c:v>260</c:v>
                </c:pt>
                <c:pt idx="872" formatCode="&quot;$&quot;#,##0.00">
                  <c:v>260</c:v>
                </c:pt>
                <c:pt idx="873" formatCode="&quot;$&quot;#,##0.00">
                  <c:v>260</c:v>
                </c:pt>
                <c:pt idx="874" formatCode="&quot;$&quot;#,##0.00">
                  <c:v>260</c:v>
                </c:pt>
                <c:pt idx="875" formatCode="&quot;$&quot;#,##0.00">
                  <c:v>260</c:v>
                </c:pt>
                <c:pt idx="876" formatCode="&quot;$&quot;#,##0.00">
                  <c:v>260</c:v>
                </c:pt>
                <c:pt idx="877" formatCode="&quot;$&quot;#,##0.00">
                  <c:v>260</c:v>
                </c:pt>
                <c:pt idx="878" formatCode="&quot;$&quot;#,##0.00">
                  <c:v>260</c:v>
                </c:pt>
                <c:pt idx="879" formatCode="&quot;$&quot;#,##0.00">
                  <c:v>312.5</c:v>
                </c:pt>
                <c:pt idx="880" formatCode="&quot;$&quot;#,##0.00">
                  <c:v>305</c:v>
                </c:pt>
                <c:pt idx="881" formatCode="&quot;$&quot;#,##0.00">
                  <c:v>327.5</c:v>
                </c:pt>
                <c:pt idx="882" formatCode="&quot;$&quot;#,##0.00">
                  <c:v>337.5</c:v>
                </c:pt>
                <c:pt idx="883" formatCode="&quot;$&quot;#,##0.00">
                  <c:v>360</c:v>
                </c:pt>
                <c:pt idx="884" formatCode="&quot;$&quot;#,##0.00">
                  <c:v>375</c:v>
                </c:pt>
                <c:pt idx="885" formatCode="&quot;$&quot;#,##0.00">
                  <c:v>375</c:v>
                </c:pt>
                <c:pt idx="886" formatCode="&quot;$&quot;#,##0.00">
                  <c:v>400</c:v>
                </c:pt>
                <c:pt idx="887" formatCode="&quot;$&quot;#,##0.00">
                  <c:v>400</c:v>
                </c:pt>
                <c:pt idx="888" formatCode="&quot;$&quot;#,##0.00">
                  <c:v>400</c:v>
                </c:pt>
                <c:pt idx="889" formatCode="&quot;$&quot;#,##0.00">
                  <c:v>410</c:v>
                </c:pt>
                <c:pt idx="890" formatCode="&quot;$&quot;#,##0.00">
                  <c:v>420</c:v>
                </c:pt>
                <c:pt idx="891" formatCode="&quot;$&quot;#,##0.00">
                  <c:v>420</c:v>
                </c:pt>
                <c:pt idx="892" formatCode="&quot;$&quot;#,##0.00">
                  <c:v>420</c:v>
                </c:pt>
                <c:pt idx="893" formatCode="&quot;$&quot;#,##0.00">
                  <c:v>420</c:v>
                </c:pt>
                <c:pt idx="894" formatCode="&quot;$&quot;#,##0.00">
                  <c:v>422.5</c:v>
                </c:pt>
                <c:pt idx="895" formatCode="&quot;$&quot;#,##0.00">
                  <c:v>437.5</c:v>
                </c:pt>
                <c:pt idx="896" formatCode="&quot;$&quot;#,##0.00">
                  <c:v>460</c:v>
                </c:pt>
                <c:pt idx="897" formatCode="&quot;$&quot;#,##0.00">
                  <c:v>500</c:v>
                </c:pt>
                <c:pt idx="898" formatCode="&quot;$&quot;#,##0.00">
                  <c:v>522.5</c:v>
                </c:pt>
                <c:pt idx="899" formatCode="&quot;$&quot;#,##0.00">
                  <c:v>542.5</c:v>
                </c:pt>
                <c:pt idx="900" formatCode="&quot;$&quot;#,##0.00">
                  <c:v>545</c:v>
                </c:pt>
                <c:pt idx="901" formatCode="&quot;$&quot;#,##0.00">
                  <c:v>550</c:v>
                </c:pt>
                <c:pt idx="902" formatCode="&quot;$&quot;#,##0.00">
                  <c:v>550</c:v>
                </c:pt>
                <c:pt idx="903" formatCode="&quot;$&quot;#,##0.00">
                  <c:v>527.5</c:v>
                </c:pt>
                <c:pt idx="904" formatCode="&quot;$&quot;#,##0.00">
                  <c:v>460</c:v>
                </c:pt>
                <c:pt idx="905" formatCode="&quot;$&quot;#,##0.00">
                  <c:v>457.5</c:v>
                </c:pt>
                <c:pt idx="906" formatCode="&quot;$&quot;#,##0.00">
                  <c:v>457.5</c:v>
                </c:pt>
                <c:pt idx="907" formatCode="&quot;$&quot;#,##0.00">
                  <c:v>457.5</c:v>
                </c:pt>
                <c:pt idx="908" formatCode="&quot;$&quot;#,##0.00">
                  <c:v>457.5</c:v>
                </c:pt>
                <c:pt idx="909" formatCode="&quot;$&quot;#,##0.00">
                  <c:v>445</c:v>
                </c:pt>
                <c:pt idx="910" formatCode="&quot;$&quot;#,##0.00">
                  <c:v>445</c:v>
                </c:pt>
                <c:pt idx="911" formatCode="&quot;$&quot;#,##0.00">
                  <c:v>437.5</c:v>
                </c:pt>
                <c:pt idx="912" formatCode="&quot;$&quot;#,##0.00">
                  <c:v>437.5</c:v>
                </c:pt>
                <c:pt idx="913" formatCode="&quot;$&quot;#,##0.00">
                  <c:v>437.5</c:v>
                </c:pt>
                <c:pt idx="914" formatCode="&quot;$&quot;#,##0.00">
                  <c:v>410</c:v>
                </c:pt>
                <c:pt idx="915" formatCode="&quot;$&quot;#,##0.00">
                  <c:v>360</c:v>
                </c:pt>
                <c:pt idx="916" formatCode="&quot;$&quot;#,##0.00">
                  <c:v>370</c:v>
                </c:pt>
                <c:pt idx="917" formatCode="&quot;$&quot;#,##0.00">
                  <c:v>355</c:v>
                </c:pt>
                <c:pt idx="918" formatCode="&quot;$&quot;#,##0.00">
                  <c:v>360</c:v>
                </c:pt>
                <c:pt idx="919" formatCode="&quot;$&quot;#,##0.00">
                  <c:v>335</c:v>
                </c:pt>
                <c:pt idx="920" formatCode="&quot;$&quot;#,##0.00">
                  <c:v>325</c:v>
                </c:pt>
                <c:pt idx="921" formatCode="&quot;$&quot;#,##0.00">
                  <c:v>287.5</c:v>
                </c:pt>
                <c:pt idx="922" formatCode="&quot;$&quot;#,##0.00">
                  <c:v>292.5</c:v>
                </c:pt>
                <c:pt idx="923" formatCode="&quot;$&quot;#,##0.00">
                  <c:v>322.5</c:v>
                </c:pt>
                <c:pt idx="924" formatCode="&quot;$&quot;#,##0.00">
                  <c:v>337.5</c:v>
                </c:pt>
                <c:pt idx="925" formatCode="&quot;$&quot;#,##0.00">
                  <c:v>347.5</c:v>
                </c:pt>
                <c:pt idx="926" formatCode="&quot;$&quot;#,##0.00">
                  <c:v>327.5</c:v>
                </c:pt>
                <c:pt idx="927" formatCode="&quot;$&quot;#,##0.00">
                  <c:v>325</c:v>
                </c:pt>
                <c:pt idx="928" formatCode="&quot;$&quot;#,##0.00">
                  <c:v>325</c:v>
                </c:pt>
                <c:pt idx="929" formatCode="&quot;$&quot;#,##0.00">
                  <c:v>320</c:v>
                </c:pt>
                <c:pt idx="930" formatCode="&quot;$&quot;#,##0.00">
                  <c:v>320</c:v>
                </c:pt>
                <c:pt idx="931" formatCode="&quot;$&quot;#,##0.00">
                  <c:v>320</c:v>
                </c:pt>
                <c:pt idx="932" formatCode="&quot;$&quot;#,##0.00">
                  <c:v>335</c:v>
                </c:pt>
                <c:pt idx="933" formatCode="&quot;$&quot;#,##0.00">
                  <c:v>342.5</c:v>
                </c:pt>
                <c:pt idx="934" formatCode="&quot;$&quot;#,##0.00">
                  <c:v>357.5</c:v>
                </c:pt>
                <c:pt idx="935" formatCode="&quot;$&quot;#,##0.00">
                  <c:v>347.5</c:v>
                </c:pt>
                <c:pt idx="936" formatCode="&quot;$&quot;#,##0.00">
                  <c:v>365</c:v>
                </c:pt>
                <c:pt idx="937" formatCode="&quot;$&quot;#,##0.00">
                  <c:v>370</c:v>
                </c:pt>
                <c:pt idx="938" formatCode="&quot;$&quot;#,##0.00">
                  <c:v>350</c:v>
                </c:pt>
                <c:pt idx="939" formatCode="&quot;$&quot;#,##0.00">
                  <c:v>365</c:v>
                </c:pt>
                <c:pt idx="940" formatCode="&quot;$&quot;#,##0.00">
                  <c:v>337.5</c:v>
                </c:pt>
                <c:pt idx="941" formatCode="&quot;$&quot;#,##0.00">
                  <c:v>330</c:v>
                </c:pt>
                <c:pt idx="942" formatCode="&quot;$&quot;#,##0.00">
                  <c:v>330</c:v>
                </c:pt>
                <c:pt idx="943" formatCode="&quot;$&quot;#,##0.00">
                  <c:v>330</c:v>
                </c:pt>
                <c:pt idx="944" formatCode="&quot;$&quot;#,##0.00">
                  <c:v>332.5</c:v>
                </c:pt>
                <c:pt idx="945" formatCode="&quot;$&quot;#,##0.00">
                  <c:v>325</c:v>
                </c:pt>
                <c:pt idx="946" formatCode="&quot;$&quot;#,##0.00">
                  <c:v>325</c:v>
                </c:pt>
                <c:pt idx="947" formatCode="&quot;$&quot;#,##0.00">
                  <c:v>325</c:v>
                </c:pt>
                <c:pt idx="948" formatCode="&quot;$&quot;#,##0.00">
                  <c:v>310</c:v>
                </c:pt>
                <c:pt idx="949" formatCode="&quot;$&quot;#,##0.00">
                  <c:v>310</c:v>
                </c:pt>
                <c:pt idx="950" formatCode="&quot;$&quot;#,##0.00">
                  <c:v>310</c:v>
                </c:pt>
                <c:pt idx="951" formatCode="&quot;$&quot;#,##0.00">
                  <c:v>305</c:v>
                </c:pt>
                <c:pt idx="952" formatCode="&quot;$&quot;#,##0.00">
                  <c:v>305</c:v>
                </c:pt>
                <c:pt idx="953" formatCode="&quot;$&quot;#,##0.00">
                  <c:v>305</c:v>
                </c:pt>
                <c:pt idx="954" formatCode="&quot;$&quot;#,##0.00">
                  <c:v>305</c:v>
                </c:pt>
                <c:pt idx="955" formatCode="&quot;$&quot;#,##0.00">
                  <c:v>290</c:v>
                </c:pt>
                <c:pt idx="956" formatCode="&quot;$&quot;#,##0.00">
                  <c:v>280</c:v>
                </c:pt>
                <c:pt idx="957" formatCode="&quot;$&quot;#,##0.00">
                  <c:v>272.5</c:v>
                </c:pt>
                <c:pt idx="958" formatCode="&quot;$&quot;#,##0.00">
                  <c:v>272.5</c:v>
                </c:pt>
                <c:pt idx="959" formatCode="&quot;$&quot;#,##0.00">
                  <c:v>272.5</c:v>
                </c:pt>
                <c:pt idx="960" formatCode="&quot;$&quot;#,##0.00">
                  <c:v>280</c:v>
                </c:pt>
                <c:pt idx="961" formatCode="&quot;$&quot;#,##0.00">
                  <c:v>280</c:v>
                </c:pt>
                <c:pt idx="962" formatCode="&quot;$&quot;#,##0.00">
                  <c:v>275</c:v>
                </c:pt>
                <c:pt idx="963" formatCode="&quot;$&quot;#,##0.00">
                  <c:v>275</c:v>
                </c:pt>
                <c:pt idx="964" formatCode="&quot;$&quot;#,##0.00">
                  <c:v>280</c:v>
                </c:pt>
                <c:pt idx="965" formatCode="&quot;$&quot;#,##0.00">
                  <c:v>280</c:v>
                </c:pt>
                <c:pt idx="966" formatCode="&quot;$&quot;#,##0.00">
                  <c:v>292.5</c:v>
                </c:pt>
                <c:pt idx="967" formatCode="&quot;$&quot;#,##0.00">
                  <c:v>292.5</c:v>
                </c:pt>
                <c:pt idx="968" formatCode="&quot;$&quot;#,##0.00">
                  <c:v>300</c:v>
                </c:pt>
                <c:pt idx="969" formatCode="&quot;$&quot;#,##0.00">
                  <c:v>300</c:v>
                </c:pt>
                <c:pt idx="970" formatCode="&quot;$&quot;#,##0.00">
                  <c:v>300</c:v>
                </c:pt>
                <c:pt idx="971" formatCode="&quot;$&quot;#,##0.00">
                  <c:v>302.5</c:v>
                </c:pt>
                <c:pt idx="972" formatCode="&quot;$&quot;#,##0.00">
                  <c:v>302.5</c:v>
                </c:pt>
                <c:pt idx="973" formatCode="&quot;$&quot;#,##0.00">
                  <c:v>302.5</c:v>
                </c:pt>
                <c:pt idx="974" formatCode="&quot;$&quot;#,##0.00">
                  <c:v>312.5</c:v>
                </c:pt>
                <c:pt idx="975" formatCode="&quot;$&quot;#,##0.00">
                  <c:v>312.5</c:v>
                </c:pt>
                <c:pt idx="976" formatCode="&quot;$&quot;#,##0.00">
                  <c:v>320</c:v>
                </c:pt>
                <c:pt idx="977" formatCode="&quot;$&quot;#,##0.00">
                  <c:v>320</c:v>
                </c:pt>
                <c:pt idx="978" formatCode="&quot;$&quot;#,##0.00">
                  <c:v>320</c:v>
                </c:pt>
                <c:pt idx="979" formatCode="&quot;$&quot;#,##0.00">
                  <c:v>320</c:v>
                </c:pt>
                <c:pt idx="980" formatCode="&quot;$&quot;#,##0.00">
                  <c:v>320</c:v>
                </c:pt>
                <c:pt idx="981" formatCode="&quot;$&quot;#,##0.00">
                  <c:v>320</c:v>
                </c:pt>
                <c:pt idx="982" formatCode="&quot;$&quot;#,##0.00">
                  <c:v>320</c:v>
                </c:pt>
                <c:pt idx="983" formatCode="&quot;$&quot;#,##0.00">
                  <c:v>290</c:v>
                </c:pt>
                <c:pt idx="984" formatCode="&quot;$&quot;#,##0.00">
                  <c:v>290</c:v>
                </c:pt>
                <c:pt idx="985" formatCode="&quot;$&quot;#,##0.00">
                  <c:v>290</c:v>
                </c:pt>
                <c:pt idx="986" formatCode="&quot;$&quot;#,##0.00">
                  <c:v>290</c:v>
                </c:pt>
                <c:pt idx="987" formatCode="&quot;$&quot;#,##0.00">
                  <c:v>290</c:v>
                </c:pt>
                <c:pt idx="988" formatCode="&quot;$&quot;#,##0.00">
                  <c:v>302.5</c:v>
                </c:pt>
                <c:pt idx="989" formatCode="&quot;$&quot;#,##0.00">
                  <c:v>315</c:v>
                </c:pt>
                <c:pt idx="990" formatCode="&quot;$&quot;#,##0.00">
                  <c:v>315</c:v>
                </c:pt>
                <c:pt idx="991" formatCode="&quot;$&quot;#,##0.00">
                  <c:v>322.5</c:v>
                </c:pt>
                <c:pt idx="992" formatCode="&quot;$&quot;#,##0.00">
                  <c:v>322.5</c:v>
                </c:pt>
                <c:pt idx="993" formatCode="&quot;$&quot;#,##0.00">
                  <c:v>322.5</c:v>
                </c:pt>
                <c:pt idx="994" formatCode="&quot;$&quot;#,##0.00">
                  <c:v>322.5</c:v>
                </c:pt>
                <c:pt idx="995" formatCode="&quot;$&quot;#,##0.00">
                  <c:v>322.5</c:v>
                </c:pt>
                <c:pt idx="996" formatCode="&quot;$&quot;#,##0.00">
                  <c:v>332.5</c:v>
                </c:pt>
                <c:pt idx="997" formatCode="&quot;$&quot;#,##0.00">
                  <c:v>322.5</c:v>
                </c:pt>
                <c:pt idx="998" formatCode="&quot;$&quot;#,##0.00">
                  <c:v>322.5</c:v>
                </c:pt>
                <c:pt idx="999" formatCode="&quot;$&quot;#,##0.00">
                  <c:v>322.5</c:v>
                </c:pt>
                <c:pt idx="1000" formatCode="&quot;$&quot;#,##0.00">
                  <c:v>322.5</c:v>
                </c:pt>
                <c:pt idx="1001" formatCode="&quot;$&quot;#,##0.00">
                  <c:v>325</c:v>
                </c:pt>
                <c:pt idx="1002" formatCode="&quot;$&quot;#,##0.00">
                  <c:v>325</c:v>
                </c:pt>
                <c:pt idx="1003" formatCode="&quot;$&quot;#,##0.00">
                  <c:v>327.5</c:v>
                </c:pt>
                <c:pt idx="1004" formatCode="&quot;$&quot;#,##0.00">
                  <c:v>327.5</c:v>
                </c:pt>
                <c:pt idx="1005" formatCode="&quot;$&quot;#,##0.00">
                  <c:v>330</c:v>
                </c:pt>
                <c:pt idx="1006" formatCode="&quot;$&quot;#,##0.00">
                  <c:v>330</c:v>
                </c:pt>
                <c:pt idx="1007" formatCode="&quot;$&quot;#,##0.00">
                  <c:v>325</c:v>
                </c:pt>
                <c:pt idx="1008" formatCode="&quot;$&quot;#,##0.00">
                  <c:v>325</c:v>
                </c:pt>
                <c:pt idx="1009" formatCode="&quot;$&quot;#,##0.00">
                  <c:v>325</c:v>
                </c:pt>
                <c:pt idx="1010" formatCode="&quot;$&quot;#,##0.00">
                  <c:v>325</c:v>
                </c:pt>
                <c:pt idx="1011" formatCode="&quot;$&quot;#,##0.00">
                  <c:v>325</c:v>
                </c:pt>
                <c:pt idx="1012" formatCode="&quot;$&quot;#,##0.00">
                  <c:v>325</c:v>
                </c:pt>
                <c:pt idx="1013" formatCode="&quot;$&quot;#,##0.00">
                  <c:v>325</c:v>
                </c:pt>
                <c:pt idx="1014" formatCode="&quot;$&quot;#,##0.00">
                  <c:v>325</c:v>
                </c:pt>
                <c:pt idx="1015" formatCode="&quot;$&quot;#,##0.00">
                  <c:v>320</c:v>
                </c:pt>
                <c:pt idx="1016" formatCode="&quot;$&quot;#,##0.00">
                  <c:v>305</c:v>
                </c:pt>
                <c:pt idx="1017" formatCode="&quot;$&quot;#,##0.00">
                  <c:v>300</c:v>
                </c:pt>
                <c:pt idx="1018" formatCode="&quot;$&quot;#,##0.00">
                  <c:v>277.5</c:v>
                </c:pt>
                <c:pt idx="1019" formatCode="&quot;$&quot;#,##0.00">
                  <c:v>270</c:v>
                </c:pt>
                <c:pt idx="1020" formatCode="&quot;$&quot;#,##0.00">
                  <c:v>270</c:v>
                </c:pt>
                <c:pt idx="1021" formatCode="&quot;$&quot;#,##0.00">
                  <c:v>252.5</c:v>
                </c:pt>
                <c:pt idx="1022" formatCode="&quot;$&quot;#,##0.00">
                  <c:v>235</c:v>
                </c:pt>
                <c:pt idx="1023" formatCode="&quot;$&quot;#,##0.00">
                  <c:v>235</c:v>
                </c:pt>
                <c:pt idx="1024" formatCode="&quot;$&quot;#,##0.00">
                  <c:v>232.5</c:v>
                </c:pt>
                <c:pt idx="1025" formatCode="&quot;$&quot;#,##0.00">
                  <c:v>232.5</c:v>
                </c:pt>
                <c:pt idx="1026" formatCode="&quot;$&quot;#,##0.00">
                  <c:v>235</c:v>
                </c:pt>
                <c:pt idx="1027" formatCode="&quot;$&quot;#,##0.00">
                  <c:v>235</c:v>
                </c:pt>
                <c:pt idx="1028" formatCode="&quot;$&quot;#,##0.00">
                  <c:v>235</c:v>
                </c:pt>
                <c:pt idx="1029" formatCode="&quot;$&quot;#,##0.00">
                  <c:v>235</c:v>
                </c:pt>
                <c:pt idx="1030" formatCode="&quot;$&quot;#,##0.00">
                  <c:v>235</c:v>
                </c:pt>
                <c:pt idx="1031" formatCode="&quot;$&quot;#,##0.00">
                  <c:v>235</c:v>
                </c:pt>
                <c:pt idx="1032" formatCode="&quot;$&quot;#,##0.00">
                  <c:v>235</c:v>
                </c:pt>
                <c:pt idx="1033" formatCode="&quot;$&quot;#,##0.00">
                  <c:v>235</c:v>
                </c:pt>
                <c:pt idx="1034" formatCode="&quot;$&quot;#,##0.00">
                  <c:v>235</c:v>
                </c:pt>
                <c:pt idx="1035" formatCode="&quot;$&quot;#,##0.00">
                  <c:v>235</c:v>
                </c:pt>
                <c:pt idx="1036" formatCode="&quot;$&quot;#,##0.00">
                  <c:v>235</c:v>
                </c:pt>
                <c:pt idx="1037" formatCode="&quot;$&quot;#,##0.00">
                  <c:v>235</c:v>
                </c:pt>
                <c:pt idx="1038" formatCode="&quot;$&quot;#,##0.00">
                  <c:v>232.5</c:v>
                </c:pt>
                <c:pt idx="1039" formatCode="&quot;$&quot;#,##0.00">
                  <c:v>232</c:v>
                </c:pt>
                <c:pt idx="1040" formatCode="&quot;$&quot;#,##0.00">
                  <c:v>225</c:v>
                </c:pt>
                <c:pt idx="1041" formatCode="&quot;$&quot;#,##0.00">
                  <c:v>225</c:v>
                </c:pt>
                <c:pt idx="1042" formatCode="&quot;$&quot;#,##0.00">
                  <c:v>225</c:v>
                </c:pt>
                <c:pt idx="1043" formatCode="&quot;$&quot;#,##0.00">
                  <c:v>227.5</c:v>
                </c:pt>
                <c:pt idx="1044" formatCode="&quot;$&quot;#,##0.00">
                  <c:v>230</c:v>
                </c:pt>
                <c:pt idx="1045" formatCode="&quot;$&quot;#,##0.00">
                  <c:v>230</c:v>
                </c:pt>
                <c:pt idx="1046" formatCode="&quot;$&quot;#,##0.00">
                  <c:v>230</c:v>
                </c:pt>
                <c:pt idx="1047" formatCode="&quot;$&quot;#,##0.00">
                  <c:v>210</c:v>
                </c:pt>
                <c:pt idx="1048" formatCode="&quot;$&quot;#,##0.00">
                  <c:v>210</c:v>
                </c:pt>
                <c:pt idx="1049" formatCode="&quot;$&quot;#,##0.00">
                  <c:v>210</c:v>
                </c:pt>
                <c:pt idx="1050" formatCode="&quot;$&quot;#,##0.00">
                  <c:v>210</c:v>
                </c:pt>
                <c:pt idx="1051" formatCode="&quot;$&quot;#,##0.00">
                  <c:v>197.5</c:v>
                </c:pt>
                <c:pt idx="1052" formatCode="&quot;$&quot;#,##0.00">
                  <c:v>190</c:v>
                </c:pt>
                <c:pt idx="1053" formatCode="&quot;$&quot;#,##0.00">
                  <c:v>190</c:v>
                </c:pt>
                <c:pt idx="1054" formatCode="&quot;$&quot;#,##0.00">
                  <c:v>190</c:v>
                </c:pt>
                <c:pt idx="1055" formatCode="&quot;$&quot;#,##0.00">
                  <c:v>190</c:v>
                </c:pt>
                <c:pt idx="1056" formatCode="&quot;$&quot;#,##0.00">
                  <c:v>185</c:v>
                </c:pt>
                <c:pt idx="1057" formatCode="&quot;$&quot;#,##0.00">
                  <c:v>180</c:v>
                </c:pt>
                <c:pt idx="1058" formatCode="&quot;$&quot;#,##0.00">
                  <c:v>180</c:v>
                </c:pt>
                <c:pt idx="1059" formatCode="&quot;$&quot;#,##0.00">
                  <c:v>170</c:v>
                </c:pt>
                <c:pt idx="1060" formatCode="&quot;$&quot;#,##0.00">
                  <c:v>160</c:v>
                </c:pt>
                <c:pt idx="1061" formatCode="&quot;$&quot;#,##0.00">
                  <c:v>165</c:v>
                </c:pt>
                <c:pt idx="1062" formatCode="&quot;$&quot;#,##0.00">
                  <c:v>165</c:v>
                </c:pt>
                <c:pt idx="1063" formatCode="&quot;$&quot;#,##0.00">
                  <c:v>155</c:v>
                </c:pt>
                <c:pt idx="1064" formatCode="&quot;$&quot;#,##0.00">
                  <c:v>157.5</c:v>
                </c:pt>
                <c:pt idx="1065" formatCode="&quot;$&quot;#,##0.00">
                  <c:v>157.5</c:v>
                </c:pt>
                <c:pt idx="1066" formatCode="&quot;$&quot;#,##0.00">
                  <c:v>157.5</c:v>
                </c:pt>
                <c:pt idx="1067" formatCode="&quot;$&quot;#,##0.00">
                  <c:v>157.5</c:v>
                </c:pt>
                <c:pt idx="1068" formatCode="&quot;$&quot;#,##0.00">
                  <c:v>157.5</c:v>
                </c:pt>
                <c:pt idx="1069" formatCode="&quot;$&quot;#,##0.00">
                  <c:v>157.5</c:v>
                </c:pt>
                <c:pt idx="1070" formatCode="&quot;$&quot;#,##0.00">
                  <c:v>157.5</c:v>
                </c:pt>
                <c:pt idx="1071" formatCode="&quot;$&quot;#,##0.00">
                  <c:v>157.5</c:v>
                </c:pt>
                <c:pt idx="1072" formatCode="&quot;$&quot;#,##0.00">
                  <c:v>157.5</c:v>
                </c:pt>
                <c:pt idx="1073" formatCode="&quot;$&quot;#,##0.00">
                  <c:v>157.5</c:v>
                </c:pt>
                <c:pt idx="1074" formatCode="&quot;$&quot;#,##0.00">
                  <c:v>160</c:v>
                </c:pt>
                <c:pt idx="1075" formatCode="&quot;$&quot;#,##0.00">
                  <c:v>160</c:v>
                </c:pt>
                <c:pt idx="1076" formatCode="&quot;$&quot;#,##0.00">
                  <c:v>160</c:v>
                </c:pt>
                <c:pt idx="1077" formatCode="&quot;$&quot;#,##0.00">
                  <c:v>160</c:v>
                </c:pt>
                <c:pt idx="1078" formatCode="&quot;$&quot;#,##0.00">
                  <c:v>160</c:v>
                </c:pt>
                <c:pt idx="1079" formatCode="&quot;$&quot;#,##0.00">
                  <c:v>162.5</c:v>
                </c:pt>
                <c:pt idx="1080" formatCode="&quot;$&quot;#,##0.00">
                  <c:v>162.5</c:v>
                </c:pt>
                <c:pt idx="1081" formatCode="&quot;$&quot;#,##0.00">
                  <c:v>162.5</c:v>
                </c:pt>
                <c:pt idx="1082" formatCode="&quot;$&quot;#,##0.00">
                  <c:v>162.5</c:v>
                </c:pt>
                <c:pt idx="1083" formatCode="&quot;$&quot;#,##0.00">
                  <c:v>165</c:v>
                </c:pt>
                <c:pt idx="1084" formatCode="&quot;$&quot;#,##0.00">
                  <c:v>165</c:v>
                </c:pt>
                <c:pt idx="1085" formatCode="&quot;$&quot;#,##0.00">
                  <c:v>170</c:v>
                </c:pt>
                <c:pt idx="1086" formatCode="&quot;$&quot;#,##0.00">
                  <c:v>182.5</c:v>
                </c:pt>
                <c:pt idx="1087" formatCode="&quot;$&quot;#,##0.00">
                  <c:v>182.5</c:v>
                </c:pt>
                <c:pt idx="1088" formatCode="&quot;$&quot;#,##0.00">
                  <c:v>200</c:v>
                </c:pt>
                <c:pt idx="1089" formatCode="&quot;$&quot;#,##0.00">
                  <c:v>240</c:v>
                </c:pt>
                <c:pt idx="1090" formatCode="&quot;$&quot;#,##0.00">
                  <c:v>240</c:v>
                </c:pt>
                <c:pt idx="1091" formatCode="&quot;$&quot;#,##0.00">
                  <c:v>210</c:v>
                </c:pt>
                <c:pt idx="1092" formatCode="&quot;$&quot;#,##0.00">
                  <c:v>200</c:v>
                </c:pt>
                <c:pt idx="1093" formatCode="&quot;$&quot;#,##0.00">
                  <c:v>195</c:v>
                </c:pt>
                <c:pt idx="1094" formatCode="&quot;$&quot;#,##0.00">
                  <c:v>195</c:v>
                </c:pt>
                <c:pt idx="1095" formatCode="&quot;$&quot;#,##0.00">
                  <c:v>195</c:v>
                </c:pt>
                <c:pt idx="1096" formatCode="&quot;$&quot;#,##0.00">
                  <c:v>192.5</c:v>
                </c:pt>
                <c:pt idx="1097" formatCode="&quot;$&quot;#,##0.00">
                  <c:v>192.5</c:v>
                </c:pt>
                <c:pt idx="1098" formatCode="&quot;$&quot;#,##0.00">
                  <c:v>190</c:v>
                </c:pt>
                <c:pt idx="1099" formatCode="&quot;$&quot;#,##0.00">
                  <c:v>190</c:v>
                </c:pt>
                <c:pt idx="1100" formatCode="&quot;$&quot;#,##0.00">
                  <c:v>190</c:v>
                </c:pt>
                <c:pt idx="1101" formatCode="&quot;$&quot;#,##0.00">
                  <c:v>185</c:v>
                </c:pt>
                <c:pt idx="1102" formatCode="&quot;$&quot;#,##0.00">
                  <c:v>177.5</c:v>
                </c:pt>
                <c:pt idx="1103" formatCode="&quot;$&quot;#,##0.00">
                  <c:v>175</c:v>
                </c:pt>
                <c:pt idx="1104" formatCode="&quot;$&quot;#,##0.00">
                  <c:v>175</c:v>
                </c:pt>
                <c:pt idx="1105" formatCode="&quot;$&quot;#,##0.00">
                  <c:v>162.5</c:v>
                </c:pt>
                <c:pt idx="1106" formatCode="&quot;$&quot;#,##0.00">
                  <c:v>147.5</c:v>
                </c:pt>
                <c:pt idx="1107" formatCode="&quot;$&quot;#,##0.00">
                  <c:v>142.5</c:v>
                </c:pt>
                <c:pt idx="1108" formatCode="&quot;$&quot;#,##0.00">
                  <c:v>142.5</c:v>
                </c:pt>
                <c:pt idx="1109" formatCode="&quot;$&quot;#,##0.00">
                  <c:v>142.5</c:v>
                </c:pt>
                <c:pt idx="1110" formatCode="&quot;$&quot;#,##0.00">
                  <c:v>150</c:v>
                </c:pt>
                <c:pt idx="1111" formatCode="&quot;$&quot;#,##0.00">
                  <c:v>150</c:v>
                </c:pt>
                <c:pt idx="1112" formatCode="&quot;$&quot;#,##0.00">
                  <c:v>132.5</c:v>
                </c:pt>
                <c:pt idx="1113" formatCode="&quot;$&quot;#,##0.00">
                  <c:v>135</c:v>
                </c:pt>
                <c:pt idx="1114" formatCode="&quot;$&quot;#,##0.00">
                  <c:v>137.5</c:v>
                </c:pt>
                <c:pt idx="1115" formatCode="&quot;$&quot;#,##0.00">
                  <c:v>140</c:v>
                </c:pt>
                <c:pt idx="1116" formatCode="&quot;$&quot;#,##0.00">
                  <c:v>140</c:v>
                </c:pt>
                <c:pt idx="1117" formatCode="&quot;$&quot;#,##0.00">
                  <c:v>140</c:v>
                </c:pt>
                <c:pt idx="1118" formatCode="&quot;$&quot;#,##0.00">
                  <c:v>140</c:v>
                </c:pt>
                <c:pt idx="1119" formatCode="&quot;$&quot;#,##0.00">
                  <c:v>140</c:v>
                </c:pt>
              </c:numCache>
            </c:numRef>
          </c:val>
        </c:ser>
        <c:marker val="1"/>
        <c:axId val="167062912"/>
        <c:axId val="167113856"/>
      </c:lineChart>
      <c:catAx>
        <c:axId val="167062912"/>
        <c:scaling>
          <c:orientation val="minMax"/>
        </c:scaling>
        <c:axPos val="b"/>
        <c:numFmt formatCode="m/d/yyyy" sourceLinked="0"/>
        <c:tickLblPos val="nextTo"/>
        <c:txPr>
          <a:bodyPr rot="-2700000"/>
          <a:lstStyle/>
          <a:p>
            <a:pPr>
              <a:defRPr/>
            </a:pPr>
            <a:endParaRPr lang="en-US"/>
          </a:p>
        </c:txPr>
        <c:crossAx val="167113856"/>
        <c:crosses val="autoZero"/>
        <c:auto val="1"/>
        <c:lblAlgn val="ctr"/>
        <c:lblOffset val="100"/>
        <c:tickLblSkip val="50"/>
        <c:tickMarkSkip val="50"/>
      </c:catAx>
      <c:valAx>
        <c:axId val="167113856"/>
        <c:scaling>
          <c:orientation val="minMax"/>
        </c:scaling>
        <c:axPos val="l"/>
        <c:majorGridlines/>
        <c:numFmt formatCode="&quot;$&quot;#,##0" sourceLinked="1"/>
        <c:tickLblPos val="nextTo"/>
        <c:crossAx val="167062912"/>
        <c:crosses val="autoZero"/>
        <c:crossBetween val="between"/>
      </c:valAx>
    </c:plotArea>
    <c:plotVisOnly val="1"/>
    <c:dispBlanksAs val="gap"/>
  </c:chart>
  <c:txPr>
    <a:bodyPr/>
    <a:lstStyle/>
    <a:p>
      <a:pPr>
        <a:defRPr>
          <a:latin typeface="Times New Roman" pitchFamily="18" charset="0"/>
          <a:cs typeface="Times New Roman" pitchFamily="18" charset="0"/>
        </a:defRPr>
      </a:pPr>
      <a:endParaRPr lang="en-US"/>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strRef>
              <c:f>Prices!$C$1</c:f>
              <c:strCache>
                <c:ptCount val="1"/>
                <c:pt idx="0">
                  <c:v>Seasonal</c:v>
                </c:pt>
              </c:strCache>
            </c:strRef>
          </c:tx>
          <c:marker>
            <c:symbol val="none"/>
          </c:marker>
          <c:cat>
            <c:strRef>
              <c:f>Prices!$A$2:$A$1121</c:f>
              <c:strCache>
                <c:ptCount val="1120"/>
                <c:pt idx="0">
                  <c:v>1/1/08</c:v>
                </c:pt>
                <c:pt idx="1">
                  <c:v>1/2/08</c:v>
                </c:pt>
                <c:pt idx="2">
                  <c:v>1/3/08</c:v>
                </c:pt>
                <c:pt idx="3">
                  <c:v>1/4/08</c:v>
                </c:pt>
                <c:pt idx="4">
                  <c:v>1/5/08</c:v>
                </c:pt>
                <c:pt idx="5">
                  <c:v>1/6/08</c:v>
                </c:pt>
                <c:pt idx="6">
                  <c:v>1/7/08</c:v>
                </c:pt>
                <c:pt idx="7">
                  <c:v>1/8/08</c:v>
                </c:pt>
                <c:pt idx="8">
                  <c:v>1/9/08</c:v>
                </c:pt>
                <c:pt idx="9">
                  <c:v>1/10/08</c:v>
                </c:pt>
                <c:pt idx="10">
                  <c:v>1/11/08</c:v>
                </c:pt>
                <c:pt idx="11">
                  <c:v>1/12/08</c:v>
                </c:pt>
                <c:pt idx="12">
                  <c:v>1/13/08</c:v>
                </c:pt>
                <c:pt idx="13">
                  <c:v>1/14/08</c:v>
                </c:pt>
                <c:pt idx="14">
                  <c:v>1/15/08</c:v>
                </c:pt>
                <c:pt idx="15">
                  <c:v>1/16/08</c:v>
                </c:pt>
                <c:pt idx="16">
                  <c:v>1/17/08</c:v>
                </c:pt>
                <c:pt idx="17">
                  <c:v>1/18/08</c:v>
                </c:pt>
                <c:pt idx="18">
                  <c:v>1/19/08</c:v>
                </c:pt>
                <c:pt idx="19">
                  <c:v>1/20/08</c:v>
                </c:pt>
                <c:pt idx="20">
                  <c:v>1/21/08</c:v>
                </c:pt>
                <c:pt idx="21">
                  <c:v>1/22/08</c:v>
                </c:pt>
                <c:pt idx="22">
                  <c:v>1/23/08</c:v>
                </c:pt>
                <c:pt idx="23">
                  <c:v>1/24/08</c:v>
                </c:pt>
                <c:pt idx="24">
                  <c:v>1/25/08</c:v>
                </c:pt>
                <c:pt idx="25">
                  <c:v>1/26/08</c:v>
                </c:pt>
                <c:pt idx="26">
                  <c:v>1/27/08</c:v>
                </c:pt>
                <c:pt idx="27">
                  <c:v>1/28/08</c:v>
                </c:pt>
                <c:pt idx="28">
                  <c:v>1/29/08</c:v>
                </c:pt>
                <c:pt idx="29">
                  <c:v>1/30/08</c:v>
                </c:pt>
                <c:pt idx="30">
                  <c:v>1/31/08</c:v>
                </c:pt>
                <c:pt idx="31">
                  <c:v>2/1/08</c:v>
                </c:pt>
                <c:pt idx="32">
                  <c:v>2/2/08</c:v>
                </c:pt>
                <c:pt idx="33">
                  <c:v>2/3/08</c:v>
                </c:pt>
                <c:pt idx="34">
                  <c:v>2/4/08</c:v>
                </c:pt>
                <c:pt idx="35">
                  <c:v>2/5/08</c:v>
                </c:pt>
                <c:pt idx="36">
                  <c:v>2/6/08</c:v>
                </c:pt>
                <c:pt idx="37">
                  <c:v>2/7/08</c:v>
                </c:pt>
                <c:pt idx="38">
                  <c:v>2/8/08</c:v>
                </c:pt>
                <c:pt idx="39">
                  <c:v>2/9/08</c:v>
                </c:pt>
                <c:pt idx="40">
                  <c:v>2/10/08</c:v>
                </c:pt>
                <c:pt idx="41">
                  <c:v>2/11/08</c:v>
                </c:pt>
                <c:pt idx="42">
                  <c:v>2/12/08</c:v>
                </c:pt>
                <c:pt idx="43">
                  <c:v>2/13/08</c:v>
                </c:pt>
                <c:pt idx="44">
                  <c:v>2/14/08</c:v>
                </c:pt>
                <c:pt idx="45">
                  <c:v>2/15/08</c:v>
                </c:pt>
                <c:pt idx="46">
                  <c:v>2/16/08</c:v>
                </c:pt>
                <c:pt idx="47">
                  <c:v>2/17/08</c:v>
                </c:pt>
                <c:pt idx="48">
                  <c:v>2/18/08</c:v>
                </c:pt>
                <c:pt idx="49">
                  <c:v>2/19/08</c:v>
                </c:pt>
                <c:pt idx="50">
                  <c:v>2/20/08</c:v>
                </c:pt>
                <c:pt idx="51">
                  <c:v>2/21/08</c:v>
                </c:pt>
                <c:pt idx="52">
                  <c:v>2/22/08</c:v>
                </c:pt>
                <c:pt idx="53">
                  <c:v>2/23/08</c:v>
                </c:pt>
                <c:pt idx="54">
                  <c:v>2/24/08</c:v>
                </c:pt>
                <c:pt idx="55">
                  <c:v>2/25/08</c:v>
                </c:pt>
                <c:pt idx="56">
                  <c:v>2/26/08</c:v>
                </c:pt>
                <c:pt idx="57">
                  <c:v>2/27/08</c:v>
                </c:pt>
                <c:pt idx="58">
                  <c:v>2/28/08</c:v>
                </c:pt>
                <c:pt idx="59">
                  <c:v>2/29/08</c:v>
                </c:pt>
                <c:pt idx="60">
                  <c:v>3/1/08</c:v>
                </c:pt>
                <c:pt idx="61">
                  <c:v>3/2/08</c:v>
                </c:pt>
                <c:pt idx="62">
                  <c:v>3/3/08</c:v>
                </c:pt>
                <c:pt idx="63">
                  <c:v>3/4/08</c:v>
                </c:pt>
                <c:pt idx="64">
                  <c:v>3/5/08</c:v>
                </c:pt>
                <c:pt idx="65">
                  <c:v>3/6/08</c:v>
                </c:pt>
                <c:pt idx="66">
                  <c:v>3/7/08</c:v>
                </c:pt>
                <c:pt idx="67">
                  <c:v>3/8/08</c:v>
                </c:pt>
                <c:pt idx="68">
                  <c:v>3/9/08</c:v>
                </c:pt>
                <c:pt idx="69">
                  <c:v>3/10/08</c:v>
                </c:pt>
                <c:pt idx="70">
                  <c:v>3/11/08</c:v>
                </c:pt>
                <c:pt idx="71">
                  <c:v>3/12/08</c:v>
                </c:pt>
                <c:pt idx="72">
                  <c:v>3/13/08</c:v>
                </c:pt>
                <c:pt idx="73">
                  <c:v>3/14/08</c:v>
                </c:pt>
                <c:pt idx="74">
                  <c:v>3/15/08</c:v>
                </c:pt>
                <c:pt idx="75">
                  <c:v>3/16/08</c:v>
                </c:pt>
                <c:pt idx="76">
                  <c:v>3/17/08</c:v>
                </c:pt>
                <c:pt idx="77">
                  <c:v>3/18/08</c:v>
                </c:pt>
                <c:pt idx="78">
                  <c:v>3/19/08</c:v>
                </c:pt>
                <c:pt idx="79">
                  <c:v>3/20/08</c:v>
                </c:pt>
                <c:pt idx="80">
                  <c:v>3/21/08</c:v>
                </c:pt>
                <c:pt idx="81">
                  <c:v>3/22/08</c:v>
                </c:pt>
                <c:pt idx="82">
                  <c:v>3/23/08</c:v>
                </c:pt>
                <c:pt idx="83">
                  <c:v>3/24/08</c:v>
                </c:pt>
                <c:pt idx="84">
                  <c:v>3/25/08</c:v>
                </c:pt>
                <c:pt idx="85">
                  <c:v>3/26/08</c:v>
                </c:pt>
                <c:pt idx="86">
                  <c:v>3/27/08</c:v>
                </c:pt>
                <c:pt idx="87">
                  <c:v>3/28/08</c:v>
                </c:pt>
                <c:pt idx="88">
                  <c:v>3/29/08</c:v>
                </c:pt>
                <c:pt idx="89">
                  <c:v>3/30/08</c:v>
                </c:pt>
                <c:pt idx="90">
                  <c:v>3/31/08</c:v>
                </c:pt>
                <c:pt idx="91">
                  <c:v>4/1/08</c:v>
                </c:pt>
                <c:pt idx="92">
                  <c:v>4/2/08</c:v>
                </c:pt>
                <c:pt idx="93">
                  <c:v>4/3/08</c:v>
                </c:pt>
                <c:pt idx="94">
                  <c:v>4/4/08</c:v>
                </c:pt>
                <c:pt idx="95">
                  <c:v>4/5/08</c:v>
                </c:pt>
                <c:pt idx="96">
                  <c:v>4/6/08</c:v>
                </c:pt>
                <c:pt idx="97">
                  <c:v>4/7/08</c:v>
                </c:pt>
                <c:pt idx="98">
                  <c:v>4/8/08</c:v>
                </c:pt>
                <c:pt idx="99">
                  <c:v>4/9/08</c:v>
                </c:pt>
                <c:pt idx="100">
                  <c:v>4/10/08</c:v>
                </c:pt>
                <c:pt idx="101">
                  <c:v>4/11/08</c:v>
                </c:pt>
                <c:pt idx="102">
                  <c:v>4/12/08</c:v>
                </c:pt>
                <c:pt idx="103">
                  <c:v>4/13/08</c:v>
                </c:pt>
                <c:pt idx="104">
                  <c:v>4/14/08</c:v>
                </c:pt>
                <c:pt idx="105">
                  <c:v>4/15/08</c:v>
                </c:pt>
                <c:pt idx="106">
                  <c:v>4/16/08</c:v>
                </c:pt>
                <c:pt idx="107">
                  <c:v>4/17/08</c:v>
                </c:pt>
                <c:pt idx="108">
                  <c:v>4/18/08</c:v>
                </c:pt>
                <c:pt idx="109">
                  <c:v>4/19/08</c:v>
                </c:pt>
                <c:pt idx="110">
                  <c:v>4/20/08</c:v>
                </c:pt>
                <c:pt idx="111">
                  <c:v>4/21/08</c:v>
                </c:pt>
                <c:pt idx="112">
                  <c:v>4/22/08</c:v>
                </c:pt>
                <c:pt idx="113">
                  <c:v>4/23/08</c:v>
                </c:pt>
                <c:pt idx="114">
                  <c:v>4/24/08</c:v>
                </c:pt>
                <c:pt idx="115">
                  <c:v>4/25/08</c:v>
                </c:pt>
                <c:pt idx="116">
                  <c:v>4/26/08</c:v>
                </c:pt>
                <c:pt idx="117">
                  <c:v>4/27/08</c:v>
                </c:pt>
                <c:pt idx="118">
                  <c:v>4/28/08</c:v>
                </c:pt>
                <c:pt idx="119">
                  <c:v>4/29/08</c:v>
                </c:pt>
                <c:pt idx="120">
                  <c:v>4/30/08</c:v>
                </c:pt>
                <c:pt idx="121">
                  <c:v>5/1/08</c:v>
                </c:pt>
                <c:pt idx="122">
                  <c:v>5/2/08</c:v>
                </c:pt>
                <c:pt idx="123">
                  <c:v>5/3/08</c:v>
                </c:pt>
                <c:pt idx="124">
                  <c:v>5/4/08</c:v>
                </c:pt>
                <c:pt idx="125">
                  <c:v>5/5/08</c:v>
                </c:pt>
                <c:pt idx="126">
                  <c:v>5/6/08</c:v>
                </c:pt>
                <c:pt idx="127">
                  <c:v>5/7/08</c:v>
                </c:pt>
                <c:pt idx="128">
                  <c:v>5/8/08</c:v>
                </c:pt>
                <c:pt idx="129">
                  <c:v>5/9/08</c:v>
                </c:pt>
                <c:pt idx="130">
                  <c:v>5/10/08</c:v>
                </c:pt>
                <c:pt idx="131">
                  <c:v>5/11/08</c:v>
                </c:pt>
                <c:pt idx="132">
                  <c:v>5/12/08</c:v>
                </c:pt>
                <c:pt idx="133">
                  <c:v>5/13/08</c:v>
                </c:pt>
                <c:pt idx="134">
                  <c:v>5/14/08</c:v>
                </c:pt>
                <c:pt idx="135">
                  <c:v>5/15/08</c:v>
                </c:pt>
                <c:pt idx="136">
                  <c:v>5/16/08</c:v>
                </c:pt>
                <c:pt idx="137">
                  <c:v>5/17/08</c:v>
                </c:pt>
                <c:pt idx="138">
                  <c:v>5/18/08</c:v>
                </c:pt>
                <c:pt idx="139">
                  <c:v>5/19/08</c:v>
                </c:pt>
                <c:pt idx="140">
                  <c:v>5/20/08</c:v>
                </c:pt>
                <c:pt idx="141">
                  <c:v>5/21/08</c:v>
                </c:pt>
                <c:pt idx="142">
                  <c:v>5/22/08</c:v>
                </c:pt>
                <c:pt idx="143">
                  <c:v>5/23/08</c:v>
                </c:pt>
                <c:pt idx="144">
                  <c:v>5/24/08</c:v>
                </c:pt>
                <c:pt idx="145">
                  <c:v>5/25/08</c:v>
                </c:pt>
                <c:pt idx="146">
                  <c:v>5/26/08</c:v>
                </c:pt>
                <c:pt idx="147">
                  <c:v>5/27/08</c:v>
                </c:pt>
                <c:pt idx="148">
                  <c:v>5/28/08</c:v>
                </c:pt>
                <c:pt idx="149">
                  <c:v>5/29/08</c:v>
                </c:pt>
                <c:pt idx="150">
                  <c:v>5/30/08</c:v>
                </c:pt>
                <c:pt idx="151">
                  <c:v>5/31/08</c:v>
                </c:pt>
                <c:pt idx="152">
                  <c:v>6/1/08</c:v>
                </c:pt>
                <c:pt idx="153">
                  <c:v>6/2/08</c:v>
                </c:pt>
                <c:pt idx="154">
                  <c:v>6/3/08</c:v>
                </c:pt>
                <c:pt idx="155">
                  <c:v>6/4/08</c:v>
                </c:pt>
                <c:pt idx="156">
                  <c:v>6/5/08</c:v>
                </c:pt>
                <c:pt idx="157">
                  <c:v>6/6/08</c:v>
                </c:pt>
                <c:pt idx="158">
                  <c:v>6/7/08</c:v>
                </c:pt>
                <c:pt idx="159">
                  <c:v>6/8/08</c:v>
                </c:pt>
                <c:pt idx="160">
                  <c:v>6/9/08</c:v>
                </c:pt>
                <c:pt idx="161">
                  <c:v>6/10/08</c:v>
                </c:pt>
                <c:pt idx="162">
                  <c:v>6/11/08</c:v>
                </c:pt>
                <c:pt idx="163">
                  <c:v>6/12/08</c:v>
                </c:pt>
                <c:pt idx="164">
                  <c:v>6/13/08</c:v>
                </c:pt>
                <c:pt idx="165">
                  <c:v>6/14/08</c:v>
                </c:pt>
                <c:pt idx="166">
                  <c:v>6/15/08</c:v>
                </c:pt>
                <c:pt idx="167">
                  <c:v>6/16/08</c:v>
                </c:pt>
                <c:pt idx="168">
                  <c:v>6/17/08</c:v>
                </c:pt>
                <c:pt idx="169">
                  <c:v>6/18/08</c:v>
                </c:pt>
                <c:pt idx="170">
                  <c:v>6/19/08</c:v>
                </c:pt>
                <c:pt idx="171">
                  <c:v>6/20/08</c:v>
                </c:pt>
                <c:pt idx="172">
                  <c:v>6/21/08</c:v>
                </c:pt>
                <c:pt idx="173">
                  <c:v>6/22/08</c:v>
                </c:pt>
                <c:pt idx="174">
                  <c:v>6/23/08</c:v>
                </c:pt>
                <c:pt idx="175">
                  <c:v>6/24/08</c:v>
                </c:pt>
                <c:pt idx="176">
                  <c:v>6/25/08</c:v>
                </c:pt>
                <c:pt idx="177">
                  <c:v>6/26/08</c:v>
                </c:pt>
                <c:pt idx="178">
                  <c:v>6/27/08</c:v>
                </c:pt>
                <c:pt idx="179">
                  <c:v>6/28/08</c:v>
                </c:pt>
                <c:pt idx="180">
                  <c:v>6/29/08</c:v>
                </c:pt>
                <c:pt idx="181">
                  <c:v>6/30/08</c:v>
                </c:pt>
                <c:pt idx="182">
                  <c:v>7/1/08</c:v>
                </c:pt>
                <c:pt idx="183">
                  <c:v>7/2/08</c:v>
                </c:pt>
                <c:pt idx="184">
                  <c:v>7/3/08</c:v>
                </c:pt>
                <c:pt idx="185">
                  <c:v>7/4/08</c:v>
                </c:pt>
                <c:pt idx="186">
                  <c:v>7/5/08</c:v>
                </c:pt>
                <c:pt idx="187">
                  <c:v>7/6/08</c:v>
                </c:pt>
                <c:pt idx="188">
                  <c:v>7/7/08</c:v>
                </c:pt>
                <c:pt idx="189">
                  <c:v>7/8/08</c:v>
                </c:pt>
                <c:pt idx="190">
                  <c:v>7/9/08</c:v>
                </c:pt>
                <c:pt idx="191">
                  <c:v>7/10/08</c:v>
                </c:pt>
                <c:pt idx="192">
                  <c:v>7/11/08</c:v>
                </c:pt>
                <c:pt idx="193">
                  <c:v>7/12/08</c:v>
                </c:pt>
                <c:pt idx="194">
                  <c:v>7/13/08</c:v>
                </c:pt>
                <c:pt idx="195">
                  <c:v>7/14/08</c:v>
                </c:pt>
                <c:pt idx="196">
                  <c:v>7/15/08</c:v>
                </c:pt>
                <c:pt idx="197">
                  <c:v>7/16/08</c:v>
                </c:pt>
                <c:pt idx="198">
                  <c:v>7/17/08</c:v>
                </c:pt>
                <c:pt idx="199">
                  <c:v>7/18/08</c:v>
                </c:pt>
                <c:pt idx="200">
                  <c:v>7/19/08</c:v>
                </c:pt>
                <c:pt idx="201">
                  <c:v>7/20/08</c:v>
                </c:pt>
                <c:pt idx="202">
                  <c:v>7/21/08</c:v>
                </c:pt>
                <c:pt idx="203">
                  <c:v>7/22/08</c:v>
                </c:pt>
                <c:pt idx="204">
                  <c:v>7/23/08</c:v>
                </c:pt>
                <c:pt idx="205">
                  <c:v>7/24/08</c:v>
                </c:pt>
                <c:pt idx="206">
                  <c:v>7/25/08</c:v>
                </c:pt>
                <c:pt idx="207">
                  <c:v>7/26/08</c:v>
                </c:pt>
                <c:pt idx="208">
                  <c:v>7/27/08</c:v>
                </c:pt>
                <c:pt idx="209">
                  <c:v>7/28/08</c:v>
                </c:pt>
                <c:pt idx="210">
                  <c:v>7/29/08</c:v>
                </c:pt>
                <c:pt idx="211">
                  <c:v>7/30/08</c:v>
                </c:pt>
                <c:pt idx="212">
                  <c:v>7/31/08</c:v>
                </c:pt>
                <c:pt idx="213">
                  <c:v>8/1/08</c:v>
                </c:pt>
                <c:pt idx="214">
                  <c:v>8/2/08</c:v>
                </c:pt>
                <c:pt idx="215">
                  <c:v>8/3/08</c:v>
                </c:pt>
                <c:pt idx="216">
                  <c:v>8/4/08</c:v>
                </c:pt>
                <c:pt idx="217">
                  <c:v>8/5/08</c:v>
                </c:pt>
                <c:pt idx="218">
                  <c:v>8/6/08</c:v>
                </c:pt>
                <c:pt idx="219">
                  <c:v>8/7/08</c:v>
                </c:pt>
                <c:pt idx="220">
                  <c:v>8/8/08</c:v>
                </c:pt>
                <c:pt idx="221">
                  <c:v>8/9/08</c:v>
                </c:pt>
                <c:pt idx="222">
                  <c:v>8/10/08</c:v>
                </c:pt>
                <c:pt idx="223">
                  <c:v>8/11/08</c:v>
                </c:pt>
                <c:pt idx="224">
                  <c:v>8/12/08</c:v>
                </c:pt>
                <c:pt idx="225">
                  <c:v>8/13/08</c:v>
                </c:pt>
                <c:pt idx="226">
                  <c:v>8/14/08</c:v>
                </c:pt>
                <c:pt idx="227">
                  <c:v>8/15/08</c:v>
                </c:pt>
                <c:pt idx="228">
                  <c:v>8/16/08</c:v>
                </c:pt>
                <c:pt idx="229">
                  <c:v>8/17/08</c:v>
                </c:pt>
                <c:pt idx="230">
                  <c:v>8/18/08</c:v>
                </c:pt>
                <c:pt idx="231">
                  <c:v>8/19/08</c:v>
                </c:pt>
                <c:pt idx="232">
                  <c:v>8/20/08</c:v>
                </c:pt>
                <c:pt idx="233">
                  <c:v>8/21/08</c:v>
                </c:pt>
                <c:pt idx="234">
                  <c:v>8/22/08</c:v>
                </c:pt>
                <c:pt idx="235">
                  <c:v>8/23/08</c:v>
                </c:pt>
                <c:pt idx="236">
                  <c:v>8/24/08</c:v>
                </c:pt>
                <c:pt idx="237">
                  <c:v>8/25/08</c:v>
                </c:pt>
                <c:pt idx="238">
                  <c:v>8/26/08</c:v>
                </c:pt>
                <c:pt idx="239">
                  <c:v>8/27/08</c:v>
                </c:pt>
                <c:pt idx="240">
                  <c:v>8/28/08</c:v>
                </c:pt>
                <c:pt idx="241">
                  <c:v>8/29/08</c:v>
                </c:pt>
                <c:pt idx="242">
                  <c:v>8/30/08</c:v>
                </c:pt>
                <c:pt idx="243">
                  <c:v>8/31/08</c:v>
                </c:pt>
                <c:pt idx="244">
                  <c:v>9/1/08</c:v>
                </c:pt>
                <c:pt idx="245">
                  <c:v>9/2/08</c:v>
                </c:pt>
                <c:pt idx="246">
                  <c:v>9/3/08</c:v>
                </c:pt>
                <c:pt idx="247">
                  <c:v>9/4/08</c:v>
                </c:pt>
                <c:pt idx="248">
                  <c:v>9/5/08</c:v>
                </c:pt>
                <c:pt idx="249">
                  <c:v>9/6/08</c:v>
                </c:pt>
                <c:pt idx="250">
                  <c:v>9/7/08</c:v>
                </c:pt>
                <c:pt idx="251">
                  <c:v>9/8/08</c:v>
                </c:pt>
                <c:pt idx="252">
                  <c:v>9/9/08</c:v>
                </c:pt>
                <c:pt idx="253">
                  <c:v>9/10/08</c:v>
                </c:pt>
                <c:pt idx="254">
                  <c:v>9/11/08</c:v>
                </c:pt>
                <c:pt idx="255">
                  <c:v>9/12/08</c:v>
                </c:pt>
                <c:pt idx="256">
                  <c:v>9/13/08</c:v>
                </c:pt>
                <c:pt idx="257">
                  <c:v>9/14/08</c:v>
                </c:pt>
                <c:pt idx="258">
                  <c:v>9/15/08</c:v>
                </c:pt>
                <c:pt idx="259">
                  <c:v>9/16/08</c:v>
                </c:pt>
                <c:pt idx="260">
                  <c:v>9/17/08</c:v>
                </c:pt>
                <c:pt idx="261">
                  <c:v>9/18/08</c:v>
                </c:pt>
                <c:pt idx="262">
                  <c:v>9/19/08</c:v>
                </c:pt>
                <c:pt idx="263">
                  <c:v>9/20/08</c:v>
                </c:pt>
                <c:pt idx="264">
                  <c:v>9/21/08</c:v>
                </c:pt>
                <c:pt idx="265">
                  <c:v>9/22/08</c:v>
                </c:pt>
                <c:pt idx="266">
                  <c:v>9/23/08</c:v>
                </c:pt>
                <c:pt idx="267">
                  <c:v>9/24/08</c:v>
                </c:pt>
                <c:pt idx="268">
                  <c:v>9/25/08</c:v>
                </c:pt>
                <c:pt idx="269">
                  <c:v>9/26/08</c:v>
                </c:pt>
                <c:pt idx="270">
                  <c:v>9/27/08</c:v>
                </c:pt>
                <c:pt idx="271">
                  <c:v>9/28/08</c:v>
                </c:pt>
                <c:pt idx="272">
                  <c:v>9/29/08</c:v>
                </c:pt>
                <c:pt idx="273">
                  <c:v>9/30/08</c:v>
                </c:pt>
                <c:pt idx="274">
                  <c:v>10/1/08</c:v>
                </c:pt>
                <c:pt idx="275">
                  <c:v>10/2/08</c:v>
                </c:pt>
                <c:pt idx="276">
                  <c:v>10/3/08</c:v>
                </c:pt>
                <c:pt idx="277">
                  <c:v>10/4/08</c:v>
                </c:pt>
                <c:pt idx="278">
                  <c:v>10/5/08</c:v>
                </c:pt>
                <c:pt idx="279">
                  <c:v>10/6/08</c:v>
                </c:pt>
                <c:pt idx="280">
                  <c:v>10/7/08</c:v>
                </c:pt>
                <c:pt idx="281">
                  <c:v>10/8/08</c:v>
                </c:pt>
                <c:pt idx="282">
                  <c:v>10/9/08</c:v>
                </c:pt>
                <c:pt idx="283">
                  <c:v>10/10/08</c:v>
                </c:pt>
                <c:pt idx="284">
                  <c:v>10/11/08</c:v>
                </c:pt>
                <c:pt idx="285">
                  <c:v>10/12/08</c:v>
                </c:pt>
                <c:pt idx="286">
                  <c:v>10/13/08</c:v>
                </c:pt>
                <c:pt idx="287">
                  <c:v>10/14/08</c:v>
                </c:pt>
                <c:pt idx="288">
                  <c:v>10/15/08</c:v>
                </c:pt>
                <c:pt idx="289">
                  <c:v>10/16/08</c:v>
                </c:pt>
                <c:pt idx="290">
                  <c:v>10/17/08</c:v>
                </c:pt>
                <c:pt idx="291">
                  <c:v>10/18/08</c:v>
                </c:pt>
                <c:pt idx="292">
                  <c:v>10/19/08</c:v>
                </c:pt>
                <c:pt idx="293">
                  <c:v>10/20/08</c:v>
                </c:pt>
                <c:pt idx="294">
                  <c:v>10/21/08</c:v>
                </c:pt>
                <c:pt idx="295">
                  <c:v>10/22/08</c:v>
                </c:pt>
                <c:pt idx="296">
                  <c:v>10/23/08</c:v>
                </c:pt>
                <c:pt idx="297">
                  <c:v>10/24/08</c:v>
                </c:pt>
                <c:pt idx="298">
                  <c:v>10/25/08</c:v>
                </c:pt>
                <c:pt idx="299">
                  <c:v>10/26/08</c:v>
                </c:pt>
                <c:pt idx="300">
                  <c:v>10/27/08</c:v>
                </c:pt>
                <c:pt idx="301">
                  <c:v>10/28/08</c:v>
                </c:pt>
                <c:pt idx="302">
                  <c:v>10/29/08</c:v>
                </c:pt>
                <c:pt idx="303">
                  <c:v>10/30/08</c:v>
                </c:pt>
                <c:pt idx="304">
                  <c:v>10/31/08</c:v>
                </c:pt>
                <c:pt idx="305">
                  <c:v>11/1/08</c:v>
                </c:pt>
                <c:pt idx="306">
                  <c:v>11/2/08</c:v>
                </c:pt>
                <c:pt idx="307">
                  <c:v>11/3/08</c:v>
                </c:pt>
                <c:pt idx="308">
                  <c:v>11/4/08</c:v>
                </c:pt>
                <c:pt idx="309">
                  <c:v>11/5/08</c:v>
                </c:pt>
                <c:pt idx="310">
                  <c:v>11/6/08</c:v>
                </c:pt>
                <c:pt idx="311">
                  <c:v>11/7/08</c:v>
                </c:pt>
                <c:pt idx="312">
                  <c:v>11/8/08</c:v>
                </c:pt>
                <c:pt idx="313">
                  <c:v>11/9/08</c:v>
                </c:pt>
                <c:pt idx="314">
                  <c:v>11/10/08</c:v>
                </c:pt>
                <c:pt idx="315">
                  <c:v>11/11/08</c:v>
                </c:pt>
                <c:pt idx="316">
                  <c:v>11/12/08</c:v>
                </c:pt>
                <c:pt idx="317">
                  <c:v>11/13/08</c:v>
                </c:pt>
                <c:pt idx="318">
                  <c:v>11/14/08</c:v>
                </c:pt>
                <c:pt idx="319">
                  <c:v>11/15/08</c:v>
                </c:pt>
                <c:pt idx="320">
                  <c:v>11/16/08</c:v>
                </c:pt>
                <c:pt idx="321">
                  <c:v>11/17/08</c:v>
                </c:pt>
                <c:pt idx="322">
                  <c:v>11/18/08</c:v>
                </c:pt>
                <c:pt idx="323">
                  <c:v>11/19/08</c:v>
                </c:pt>
                <c:pt idx="324">
                  <c:v>11/20/08</c:v>
                </c:pt>
                <c:pt idx="325">
                  <c:v>11/21/08</c:v>
                </c:pt>
                <c:pt idx="326">
                  <c:v>11/22/08</c:v>
                </c:pt>
                <c:pt idx="327">
                  <c:v>11/23/08</c:v>
                </c:pt>
                <c:pt idx="328">
                  <c:v>11/24/08</c:v>
                </c:pt>
                <c:pt idx="329">
                  <c:v>11/25/08</c:v>
                </c:pt>
                <c:pt idx="330">
                  <c:v>11/26/08</c:v>
                </c:pt>
                <c:pt idx="331">
                  <c:v>11/27/08</c:v>
                </c:pt>
                <c:pt idx="332">
                  <c:v>11/28/08</c:v>
                </c:pt>
                <c:pt idx="333">
                  <c:v>11/29/08</c:v>
                </c:pt>
                <c:pt idx="334">
                  <c:v>11/30/08</c:v>
                </c:pt>
                <c:pt idx="335">
                  <c:v>12/1/08</c:v>
                </c:pt>
                <c:pt idx="336">
                  <c:v>12/2/08</c:v>
                </c:pt>
                <c:pt idx="337">
                  <c:v>12/3/08</c:v>
                </c:pt>
                <c:pt idx="338">
                  <c:v>12/4/08</c:v>
                </c:pt>
                <c:pt idx="339">
                  <c:v>12/5/08</c:v>
                </c:pt>
                <c:pt idx="340">
                  <c:v>12/6/08</c:v>
                </c:pt>
                <c:pt idx="341">
                  <c:v>12/7/08</c:v>
                </c:pt>
                <c:pt idx="342">
                  <c:v>12/8/08</c:v>
                </c:pt>
                <c:pt idx="343">
                  <c:v>12/9/08</c:v>
                </c:pt>
                <c:pt idx="344">
                  <c:v>12/10/08</c:v>
                </c:pt>
                <c:pt idx="345">
                  <c:v>12/11/08</c:v>
                </c:pt>
                <c:pt idx="346">
                  <c:v>12/12/08</c:v>
                </c:pt>
                <c:pt idx="347">
                  <c:v>12/13/08</c:v>
                </c:pt>
                <c:pt idx="348">
                  <c:v>12/14/08</c:v>
                </c:pt>
                <c:pt idx="349">
                  <c:v>12/15/08</c:v>
                </c:pt>
                <c:pt idx="350">
                  <c:v>12/16/08</c:v>
                </c:pt>
                <c:pt idx="351">
                  <c:v>12/17/08</c:v>
                </c:pt>
                <c:pt idx="352">
                  <c:v>12/18/08</c:v>
                </c:pt>
                <c:pt idx="353">
                  <c:v>12/19/08</c:v>
                </c:pt>
                <c:pt idx="354">
                  <c:v>12/20/08</c:v>
                </c:pt>
                <c:pt idx="355">
                  <c:v>12/21/08</c:v>
                </c:pt>
                <c:pt idx="356">
                  <c:v>12/22/08</c:v>
                </c:pt>
                <c:pt idx="357">
                  <c:v>12/23/08</c:v>
                </c:pt>
                <c:pt idx="358">
                  <c:v>12/24/08</c:v>
                </c:pt>
                <c:pt idx="359">
                  <c:v>12/25/08</c:v>
                </c:pt>
                <c:pt idx="360">
                  <c:v>12/26/08</c:v>
                </c:pt>
                <c:pt idx="361">
                  <c:v>12/27/08</c:v>
                </c:pt>
                <c:pt idx="362">
                  <c:v>12/28/08</c:v>
                </c:pt>
                <c:pt idx="363">
                  <c:v>12/29/08</c:v>
                </c:pt>
                <c:pt idx="364">
                  <c:v>12/30/08</c:v>
                </c:pt>
                <c:pt idx="365">
                  <c:v>12/31/08</c:v>
                </c:pt>
                <c:pt idx="366">
                  <c:v>1/1/09</c:v>
                </c:pt>
                <c:pt idx="367">
                  <c:v>1/2/09</c:v>
                </c:pt>
                <c:pt idx="368">
                  <c:v>1/3/09</c:v>
                </c:pt>
                <c:pt idx="369">
                  <c:v>1/4/09</c:v>
                </c:pt>
                <c:pt idx="370">
                  <c:v>1/5/09</c:v>
                </c:pt>
                <c:pt idx="371">
                  <c:v>1/6/09</c:v>
                </c:pt>
                <c:pt idx="372">
                  <c:v>1/7/09</c:v>
                </c:pt>
                <c:pt idx="373">
                  <c:v>1/8/09</c:v>
                </c:pt>
                <c:pt idx="374">
                  <c:v>1/9/09</c:v>
                </c:pt>
                <c:pt idx="375">
                  <c:v>1/10/09</c:v>
                </c:pt>
                <c:pt idx="376">
                  <c:v>1/11/09</c:v>
                </c:pt>
                <c:pt idx="377">
                  <c:v>1/12/09</c:v>
                </c:pt>
                <c:pt idx="378">
                  <c:v>1/13/09</c:v>
                </c:pt>
                <c:pt idx="379">
                  <c:v>1/14/09</c:v>
                </c:pt>
                <c:pt idx="380">
                  <c:v>1/15/09</c:v>
                </c:pt>
                <c:pt idx="381">
                  <c:v>1/16/09</c:v>
                </c:pt>
                <c:pt idx="382">
                  <c:v>1/17/09</c:v>
                </c:pt>
                <c:pt idx="383">
                  <c:v>1/18/09</c:v>
                </c:pt>
                <c:pt idx="384">
                  <c:v>1/19/09</c:v>
                </c:pt>
                <c:pt idx="385">
                  <c:v>1/20/09</c:v>
                </c:pt>
                <c:pt idx="386">
                  <c:v>1/21/09</c:v>
                </c:pt>
                <c:pt idx="387">
                  <c:v>1/22/09</c:v>
                </c:pt>
                <c:pt idx="388">
                  <c:v>1/23/09</c:v>
                </c:pt>
                <c:pt idx="389">
                  <c:v>1/24/09</c:v>
                </c:pt>
                <c:pt idx="390">
                  <c:v>1/25/09</c:v>
                </c:pt>
                <c:pt idx="391">
                  <c:v>1/26/09</c:v>
                </c:pt>
                <c:pt idx="392">
                  <c:v>1/27/09</c:v>
                </c:pt>
                <c:pt idx="393">
                  <c:v>1/28/09</c:v>
                </c:pt>
                <c:pt idx="394">
                  <c:v>1/29/09</c:v>
                </c:pt>
                <c:pt idx="395">
                  <c:v>1/30/09</c:v>
                </c:pt>
                <c:pt idx="396">
                  <c:v>1/31/09</c:v>
                </c:pt>
                <c:pt idx="397">
                  <c:v>2/1/09</c:v>
                </c:pt>
                <c:pt idx="398">
                  <c:v>2/2/09</c:v>
                </c:pt>
                <c:pt idx="399">
                  <c:v>2/3/09</c:v>
                </c:pt>
                <c:pt idx="400">
                  <c:v>2/4/09</c:v>
                </c:pt>
                <c:pt idx="401">
                  <c:v>2/5/09</c:v>
                </c:pt>
                <c:pt idx="402">
                  <c:v>2/6/09</c:v>
                </c:pt>
                <c:pt idx="403">
                  <c:v>2/7/09</c:v>
                </c:pt>
                <c:pt idx="404">
                  <c:v>2/8/09</c:v>
                </c:pt>
                <c:pt idx="405">
                  <c:v>2/9/09</c:v>
                </c:pt>
                <c:pt idx="406">
                  <c:v>2/10/09</c:v>
                </c:pt>
                <c:pt idx="407">
                  <c:v>2/11/09</c:v>
                </c:pt>
                <c:pt idx="408">
                  <c:v>2/12/09</c:v>
                </c:pt>
                <c:pt idx="409">
                  <c:v>2/13/09</c:v>
                </c:pt>
                <c:pt idx="410">
                  <c:v>2/14/09</c:v>
                </c:pt>
                <c:pt idx="411">
                  <c:v>2/15/09</c:v>
                </c:pt>
                <c:pt idx="412">
                  <c:v>2/16/09</c:v>
                </c:pt>
                <c:pt idx="413">
                  <c:v>2/17/09</c:v>
                </c:pt>
                <c:pt idx="414">
                  <c:v>2/18/09</c:v>
                </c:pt>
                <c:pt idx="415">
                  <c:v>2/19/09</c:v>
                </c:pt>
                <c:pt idx="416">
                  <c:v>2/20/09</c:v>
                </c:pt>
                <c:pt idx="417">
                  <c:v>2/21/09</c:v>
                </c:pt>
                <c:pt idx="418">
                  <c:v>2/22/09</c:v>
                </c:pt>
                <c:pt idx="419">
                  <c:v>2/23/09</c:v>
                </c:pt>
                <c:pt idx="420">
                  <c:v>2/24/09</c:v>
                </c:pt>
                <c:pt idx="421">
                  <c:v>2/25/09</c:v>
                </c:pt>
                <c:pt idx="422">
                  <c:v>2/26/09</c:v>
                </c:pt>
                <c:pt idx="423">
                  <c:v>2/27/09</c:v>
                </c:pt>
                <c:pt idx="424">
                  <c:v>2/28/09</c:v>
                </c:pt>
                <c:pt idx="425">
                  <c:v>3/1/09</c:v>
                </c:pt>
                <c:pt idx="426">
                  <c:v>3/2/09</c:v>
                </c:pt>
                <c:pt idx="427">
                  <c:v>3/3/09</c:v>
                </c:pt>
                <c:pt idx="428">
                  <c:v>3/4/09</c:v>
                </c:pt>
                <c:pt idx="429">
                  <c:v>3/5/09</c:v>
                </c:pt>
                <c:pt idx="430">
                  <c:v>3/6/09</c:v>
                </c:pt>
                <c:pt idx="431">
                  <c:v>3/7/09</c:v>
                </c:pt>
                <c:pt idx="432">
                  <c:v>3/8/09</c:v>
                </c:pt>
                <c:pt idx="433">
                  <c:v>3/9/09</c:v>
                </c:pt>
                <c:pt idx="434">
                  <c:v>3/10/09</c:v>
                </c:pt>
                <c:pt idx="435">
                  <c:v>3/11/09</c:v>
                </c:pt>
                <c:pt idx="436">
                  <c:v>3/12/09</c:v>
                </c:pt>
                <c:pt idx="437">
                  <c:v>3/13/09</c:v>
                </c:pt>
                <c:pt idx="438">
                  <c:v>3/14/09</c:v>
                </c:pt>
                <c:pt idx="439">
                  <c:v>3/15/09</c:v>
                </c:pt>
                <c:pt idx="440">
                  <c:v>3/16/09</c:v>
                </c:pt>
                <c:pt idx="441">
                  <c:v>3/17/09</c:v>
                </c:pt>
                <c:pt idx="442">
                  <c:v>3/18/09</c:v>
                </c:pt>
                <c:pt idx="443">
                  <c:v>3/19/09</c:v>
                </c:pt>
                <c:pt idx="444">
                  <c:v>3/20/09</c:v>
                </c:pt>
                <c:pt idx="445">
                  <c:v>3/21/09</c:v>
                </c:pt>
                <c:pt idx="446">
                  <c:v>3/22/09</c:v>
                </c:pt>
                <c:pt idx="447">
                  <c:v>3/23/09</c:v>
                </c:pt>
                <c:pt idx="448">
                  <c:v>3/24/09</c:v>
                </c:pt>
                <c:pt idx="449">
                  <c:v>3/25/09</c:v>
                </c:pt>
                <c:pt idx="450">
                  <c:v>3/26/09</c:v>
                </c:pt>
                <c:pt idx="451">
                  <c:v>3/27/09</c:v>
                </c:pt>
                <c:pt idx="452">
                  <c:v>3/28/09</c:v>
                </c:pt>
                <c:pt idx="453">
                  <c:v>3/29/09</c:v>
                </c:pt>
                <c:pt idx="454">
                  <c:v>3/30/09</c:v>
                </c:pt>
                <c:pt idx="455">
                  <c:v>3/31/09</c:v>
                </c:pt>
                <c:pt idx="456">
                  <c:v>4/1/09</c:v>
                </c:pt>
                <c:pt idx="457">
                  <c:v>4/2/09</c:v>
                </c:pt>
                <c:pt idx="458">
                  <c:v>4/3/09</c:v>
                </c:pt>
                <c:pt idx="459">
                  <c:v>4/4/09</c:v>
                </c:pt>
                <c:pt idx="460">
                  <c:v>4/5/09</c:v>
                </c:pt>
                <c:pt idx="461">
                  <c:v>4/6/09</c:v>
                </c:pt>
                <c:pt idx="462">
                  <c:v>4/7/09</c:v>
                </c:pt>
                <c:pt idx="463">
                  <c:v>4/8/09</c:v>
                </c:pt>
                <c:pt idx="464">
                  <c:v>4/9/09</c:v>
                </c:pt>
                <c:pt idx="465">
                  <c:v>4/10/09</c:v>
                </c:pt>
                <c:pt idx="466">
                  <c:v>4/11/09</c:v>
                </c:pt>
                <c:pt idx="467">
                  <c:v>4/12/09</c:v>
                </c:pt>
                <c:pt idx="468">
                  <c:v>4/13/09</c:v>
                </c:pt>
                <c:pt idx="469">
                  <c:v>4/14/09</c:v>
                </c:pt>
                <c:pt idx="470">
                  <c:v>4/15/09</c:v>
                </c:pt>
                <c:pt idx="471">
                  <c:v>4/16/09</c:v>
                </c:pt>
                <c:pt idx="472">
                  <c:v>4/17/09</c:v>
                </c:pt>
                <c:pt idx="473">
                  <c:v>4/18/09</c:v>
                </c:pt>
                <c:pt idx="474">
                  <c:v>4/19/09</c:v>
                </c:pt>
                <c:pt idx="475">
                  <c:v>4/20/09</c:v>
                </c:pt>
                <c:pt idx="476">
                  <c:v>4/21/09</c:v>
                </c:pt>
                <c:pt idx="477">
                  <c:v>4/22/09</c:v>
                </c:pt>
                <c:pt idx="478">
                  <c:v>4/23/09</c:v>
                </c:pt>
                <c:pt idx="479">
                  <c:v>4/24/09</c:v>
                </c:pt>
                <c:pt idx="480">
                  <c:v>4/25/09</c:v>
                </c:pt>
                <c:pt idx="481">
                  <c:v>4/26/09</c:v>
                </c:pt>
                <c:pt idx="482">
                  <c:v>4/27/09</c:v>
                </c:pt>
                <c:pt idx="483">
                  <c:v>4/28/09</c:v>
                </c:pt>
                <c:pt idx="484">
                  <c:v>4/29/09</c:v>
                </c:pt>
                <c:pt idx="485">
                  <c:v>4/30/09</c:v>
                </c:pt>
                <c:pt idx="486">
                  <c:v>5/1/09</c:v>
                </c:pt>
                <c:pt idx="487">
                  <c:v>5/2/09</c:v>
                </c:pt>
                <c:pt idx="488">
                  <c:v>5/3/09</c:v>
                </c:pt>
                <c:pt idx="489">
                  <c:v>5/4/09</c:v>
                </c:pt>
                <c:pt idx="490">
                  <c:v>5/5/09</c:v>
                </c:pt>
                <c:pt idx="491">
                  <c:v>5/6/09</c:v>
                </c:pt>
                <c:pt idx="492">
                  <c:v>5/7/09</c:v>
                </c:pt>
                <c:pt idx="493">
                  <c:v>5/8/09</c:v>
                </c:pt>
                <c:pt idx="494">
                  <c:v>5/9/09</c:v>
                </c:pt>
                <c:pt idx="495">
                  <c:v>5/10/09</c:v>
                </c:pt>
                <c:pt idx="496">
                  <c:v>5/11/09</c:v>
                </c:pt>
                <c:pt idx="497">
                  <c:v>5/12/09</c:v>
                </c:pt>
                <c:pt idx="498">
                  <c:v>5/13/09</c:v>
                </c:pt>
                <c:pt idx="499">
                  <c:v>5/14/09</c:v>
                </c:pt>
                <c:pt idx="500">
                  <c:v>5/15/09</c:v>
                </c:pt>
                <c:pt idx="501">
                  <c:v>5/16/09</c:v>
                </c:pt>
                <c:pt idx="502">
                  <c:v>5/17/09</c:v>
                </c:pt>
                <c:pt idx="503">
                  <c:v>5/18/09</c:v>
                </c:pt>
                <c:pt idx="504">
                  <c:v>5/19/09</c:v>
                </c:pt>
                <c:pt idx="505">
                  <c:v>5/20/09</c:v>
                </c:pt>
                <c:pt idx="506">
                  <c:v>5/21/09</c:v>
                </c:pt>
                <c:pt idx="507">
                  <c:v>5/22/09</c:v>
                </c:pt>
                <c:pt idx="508">
                  <c:v>5/23/09</c:v>
                </c:pt>
                <c:pt idx="509">
                  <c:v>5/24/09</c:v>
                </c:pt>
                <c:pt idx="510">
                  <c:v>5/25/09</c:v>
                </c:pt>
                <c:pt idx="511">
                  <c:v>5/26/09</c:v>
                </c:pt>
                <c:pt idx="512">
                  <c:v>5/27/09</c:v>
                </c:pt>
                <c:pt idx="513">
                  <c:v>5/28/09</c:v>
                </c:pt>
                <c:pt idx="514">
                  <c:v>5/29/09</c:v>
                </c:pt>
                <c:pt idx="515">
                  <c:v>5/30/09</c:v>
                </c:pt>
                <c:pt idx="516">
                  <c:v>5/31/09</c:v>
                </c:pt>
                <c:pt idx="517">
                  <c:v>6/1/09</c:v>
                </c:pt>
                <c:pt idx="518">
                  <c:v>6/2/09</c:v>
                </c:pt>
                <c:pt idx="519">
                  <c:v>6/3/09</c:v>
                </c:pt>
                <c:pt idx="520">
                  <c:v>6/4/09</c:v>
                </c:pt>
                <c:pt idx="521">
                  <c:v>6/5/09</c:v>
                </c:pt>
                <c:pt idx="522">
                  <c:v>6/6/09</c:v>
                </c:pt>
                <c:pt idx="523">
                  <c:v>6/7/09</c:v>
                </c:pt>
                <c:pt idx="524">
                  <c:v>6/8/09</c:v>
                </c:pt>
                <c:pt idx="525">
                  <c:v>6/9/09</c:v>
                </c:pt>
                <c:pt idx="526">
                  <c:v>6/10/09</c:v>
                </c:pt>
                <c:pt idx="527">
                  <c:v>6/11/09</c:v>
                </c:pt>
                <c:pt idx="528">
                  <c:v>6/12/09</c:v>
                </c:pt>
                <c:pt idx="529">
                  <c:v>6/13/09</c:v>
                </c:pt>
                <c:pt idx="530">
                  <c:v>6/14/09</c:v>
                </c:pt>
                <c:pt idx="531">
                  <c:v>6/15/09</c:v>
                </c:pt>
                <c:pt idx="532">
                  <c:v>6/16/09</c:v>
                </c:pt>
                <c:pt idx="533">
                  <c:v>6/17/09</c:v>
                </c:pt>
                <c:pt idx="534">
                  <c:v>6/18/09</c:v>
                </c:pt>
                <c:pt idx="535">
                  <c:v>6/19/09</c:v>
                </c:pt>
                <c:pt idx="536">
                  <c:v>6/20/09</c:v>
                </c:pt>
                <c:pt idx="537">
                  <c:v>6/21/09</c:v>
                </c:pt>
                <c:pt idx="538">
                  <c:v>6/22/09</c:v>
                </c:pt>
                <c:pt idx="539">
                  <c:v>6/23/09</c:v>
                </c:pt>
                <c:pt idx="540">
                  <c:v>6/24/09</c:v>
                </c:pt>
                <c:pt idx="541">
                  <c:v>6/25/09</c:v>
                </c:pt>
                <c:pt idx="542">
                  <c:v>6/26/09</c:v>
                </c:pt>
                <c:pt idx="543">
                  <c:v>6/27/09</c:v>
                </c:pt>
                <c:pt idx="544">
                  <c:v>6/28/09</c:v>
                </c:pt>
                <c:pt idx="545">
                  <c:v>6/29/09</c:v>
                </c:pt>
                <c:pt idx="546">
                  <c:v>6/30/09</c:v>
                </c:pt>
                <c:pt idx="547">
                  <c:v>7/1/09</c:v>
                </c:pt>
                <c:pt idx="548">
                  <c:v>7/2/09</c:v>
                </c:pt>
                <c:pt idx="549">
                  <c:v>7/3/09</c:v>
                </c:pt>
                <c:pt idx="550">
                  <c:v>7/4/09</c:v>
                </c:pt>
                <c:pt idx="551">
                  <c:v>7/5/09</c:v>
                </c:pt>
                <c:pt idx="552">
                  <c:v>7/6/09</c:v>
                </c:pt>
                <c:pt idx="553">
                  <c:v>7/7/09</c:v>
                </c:pt>
                <c:pt idx="554">
                  <c:v>7/8/09</c:v>
                </c:pt>
                <c:pt idx="555">
                  <c:v>7/9/09</c:v>
                </c:pt>
                <c:pt idx="556">
                  <c:v>7/10/09</c:v>
                </c:pt>
                <c:pt idx="557">
                  <c:v>7/11/09</c:v>
                </c:pt>
                <c:pt idx="558">
                  <c:v>7/12/09</c:v>
                </c:pt>
                <c:pt idx="559">
                  <c:v>7/13/09</c:v>
                </c:pt>
                <c:pt idx="560">
                  <c:v>7/14/09</c:v>
                </c:pt>
                <c:pt idx="561">
                  <c:v>7/15/09</c:v>
                </c:pt>
                <c:pt idx="562">
                  <c:v>7/16/09</c:v>
                </c:pt>
                <c:pt idx="563">
                  <c:v>7/17/09</c:v>
                </c:pt>
                <c:pt idx="564">
                  <c:v>7/18/09</c:v>
                </c:pt>
                <c:pt idx="565">
                  <c:v>7/19/09</c:v>
                </c:pt>
                <c:pt idx="566">
                  <c:v>7/20/09</c:v>
                </c:pt>
                <c:pt idx="567">
                  <c:v>7/21/09</c:v>
                </c:pt>
                <c:pt idx="568">
                  <c:v>7/22/09</c:v>
                </c:pt>
                <c:pt idx="569">
                  <c:v>7/23/09</c:v>
                </c:pt>
                <c:pt idx="570">
                  <c:v>7/24/09</c:v>
                </c:pt>
                <c:pt idx="571">
                  <c:v>7/25/09</c:v>
                </c:pt>
                <c:pt idx="572">
                  <c:v>7/26/09</c:v>
                </c:pt>
                <c:pt idx="573">
                  <c:v>7/27/09</c:v>
                </c:pt>
                <c:pt idx="574">
                  <c:v>7/28/09</c:v>
                </c:pt>
                <c:pt idx="575">
                  <c:v>7/29/09</c:v>
                </c:pt>
                <c:pt idx="576">
                  <c:v>7/30/09</c:v>
                </c:pt>
                <c:pt idx="577">
                  <c:v>7/31/09</c:v>
                </c:pt>
                <c:pt idx="578">
                  <c:v>8/1/09</c:v>
                </c:pt>
                <c:pt idx="579">
                  <c:v>8/2/09</c:v>
                </c:pt>
                <c:pt idx="580">
                  <c:v>8/3/09</c:v>
                </c:pt>
                <c:pt idx="581">
                  <c:v>8/4/09</c:v>
                </c:pt>
                <c:pt idx="582">
                  <c:v>8/5/09</c:v>
                </c:pt>
                <c:pt idx="583">
                  <c:v>8/6/09</c:v>
                </c:pt>
                <c:pt idx="584">
                  <c:v>8/7/09</c:v>
                </c:pt>
                <c:pt idx="585">
                  <c:v>8/8/09</c:v>
                </c:pt>
                <c:pt idx="586">
                  <c:v>8/9/09</c:v>
                </c:pt>
                <c:pt idx="587">
                  <c:v>8/10/09</c:v>
                </c:pt>
                <c:pt idx="588">
                  <c:v>8/11/09</c:v>
                </c:pt>
                <c:pt idx="589">
                  <c:v>8/12/09</c:v>
                </c:pt>
                <c:pt idx="590">
                  <c:v>8/13/09</c:v>
                </c:pt>
                <c:pt idx="591">
                  <c:v>8/14/09</c:v>
                </c:pt>
                <c:pt idx="592">
                  <c:v>8/15/09</c:v>
                </c:pt>
                <c:pt idx="593">
                  <c:v>8/16/09</c:v>
                </c:pt>
                <c:pt idx="594">
                  <c:v>8/17/09</c:v>
                </c:pt>
                <c:pt idx="595">
                  <c:v>8/18/09</c:v>
                </c:pt>
                <c:pt idx="596">
                  <c:v>8/19/09</c:v>
                </c:pt>
                <c:pt idx="597">
                  <c:v>8/20/09</c:v>
                </c:pt>
                <c:pt idx="598">
                  <c:v>8/21/09</c:v>
                </c:pt>
                <c:pt idx="599">
                  <c:v>8/22/09</c:v>
                </c:pt>
                <c:pt idx="600">
                  <c:v>8/23/09</c:v>
                </c:pt>
                <c:pt idx="601">
                  <c:v>8/24/09</c:v>
                </c:pt>
                <c:pt idx="602">
                  <c:v>8/25/09</c:v>
                </c:pt>
                <c:pt idx="603">
                  <c:v>8/26/09</c:v>
                </c:pt>
                <c:pt idx="604">
                  <c:v>8/27/09</c:v>
                </c:pt>
                <c:pt idx="605">
                  <c:v>8/28/09</c:v>
                </c:pt>
                <c:pt idx="606">
                  <c:v>8/29/09</c:v>
                </c:pt>
                <c:pt idx="607">
                  <c:v>8/30/09</c:v>
                </c:pt>
                <c:pt idx="608">
                  <c:v>8/31/09</c:v>
                </c:pt>
                <c:pt idx="609">
                  <c:v>9/1/09</c:v>
                </c:pt>
                <c:pt idx="610">
                  <c:v>9/2/09</c:v>
                </c:pt>
                <c:pt idx="611">
                  <c:v>9/3/09</c:v>
                </c:pt>
                <c:pt idx="612">
                  <c:v>9/4/09</c:v>
                </c:pt>
                <c:pt idx="613">
                  <c:v>9/5/09</c:v>
                </c:pt>
                <c:pt idx="614">
                  <c:v>9/6/09</c:v>
                </c:pt>
                <c:pt idx="615">
                  <c:v>9/7/09</c:v>
                </c:pt>
                <c:pt idx="616">
                  <c:v>9/8/09</c:v>
                </c:pt>
                <c:pt idx="617">
                  <c:v>9/9/09</c:v>
                </c:pt>
                <c:pt idx="618">
                  <c:v>9/10/09</c:v>
                </c:pt>
                <c:pt idx="619">
                  <c:v>9/11/09</c:v>
                </c:pt>
                <c:pt idx="620">
                  <c:v>9/12/09</c:v>
                </c:pt>
                <c:pt idx="621">
                  <c:v>9/13/09</c:v>
                </c:pt>
                <c:pt idx="622">
                  <c:v>9/14/09</c:v>
                </c:pt>
                <c:pt idx="623">
                  <c:v>9/15/09</c:v>
                </c:pt>
                <c:pt idx="624">
                  <c:v>9/16/09</c:v>
                </c:pt>
                <c:pt idx="625">
                  <c:v>9/17/09</c:v>
                </c:pt>
                <c:pt idx="626">
                  <c:v>9/18/09</c:v>
                </c:pt>
                <c:pt idx="627">
                  <c:v>9/19/09</c:v>
                </c:pt>
                <c:pt idx="628">
                  <c:v>9/20/09</c:v>
                </c:pt>
                <c:pt idx="629">
                  <c:v>9/21/09</c:v>
                </c:pt>
                <c:pt idx="630">
                  <c:v>9/22/09</c:v>
                </c:pt>
                <c:pt idx="631">
                  <c:v>9/23/09</c:v>
                </c:pt>
                <c:pt idx="632">
                  <c:v>9/24/09</c:v>
                </c:pt>
                <c:pt idx="633">
                  <c:v>9/25/09</c:v>
                </c:pt>
                <c:pt idx="634">
                  <c:v>9/26/09</c:v>
                </c:pt>
                <c:pt idx="635">
                  <c:v>9/27/09</c:v>
                </c:pt>
                <c:pt idx="636">
                  <c:v>9/28/09</c:v>
                </c:pt>
                <c:pt idx="637">
                  <c:v>9/29/09</c:v>
                </c:pt>
                <c:pt idx="638">
                  <c:v>9/30/09</c:v>
                </c:pt>
                <c:pt idx="639">
                  <c:v>10/1/09</c:v>
                </c:pt>
                <c:pt idx="640">
                  <c:v>10/2/09</c:v>
                </c:pt>
                <c:pt idx="641">
                  <c:v>10/3/09</c:v>
                </c:pt>
                <c:pt idx="642">
                  <c:v>10/4/09</c:v>
                </c:pt>
                <c:pt idx="643">
                  <c:v>10/5/09</c:v>
                </c:pt>
                <c:pt idx="644">
                  <c:v>10/6/09</c:v>
                </c:pt>
                <c:pt idx="645">
                  <c:v>10/7/09</c:v>
                </c:pt>
                <c:pt idx="646">
                  <c:v>10/8/09</c:v>
                </c:pt>
                <c:pt idx="647">
                  <c:v>10/9/09</c:v>
                </c:pt>
                <c:pt idx="648">
                  <c:v>10/10/09</c:v>
                </c:pt>
                <c:pt idx="649">
                  <c:v>10/11/09</c:v>
                </c:pt>
                <c:pt idx="650">
                  <c:v>10/12/09</c:v>
                </c:pt>
                <c:pt idx="651">
                  <c:v>10/13/09</c:v>
                </c:pt>
                <c:pt idx="652">
                  <c:v>10/14/09</c:v>
                </c:pt>
                <c:pt idx="653">
                  <c:v>10/15/09</c:v>
                </c:pt>
                <c:pt idx="654">
                  <c:v>10/16/09</c:v>
                </c:pt>
                <c:pt idx="655">
                  <c:v>10/17/09</c:v>
                </c:pt>
                <c:pt idx="656">
                  <c:v>10/18/09</c:v>
                </c:pt>
                <c:pt idx="657">
                  <c:v>10/19/09</c:v>
                </c:pt>
                <c:pt idx="658">
                  <c:v>10/20/09</c:v>
                </c:pt>
                <c:pt idx="659">
                  <c:v>10/21/09</c:v>
                </c:pt>
                <c:pt idx="660">
                  <c:v>10/22/09</c:v>
                </c:pt>
                <c:pt idx="661">
                  <c:v>10/23/09</c:v>
                </c:pt>
                <c:pt idx="662">
                  <c:v>10/24/09</c:v>
                </c:pt>
                <c:pt idx="663">
                  <c:v>10/25/09</c:v>
                </c:pt>
                <c:pt idx="664">
                  <c:v>10/26/09</c:v>
                </c:pt>
                <c:pt idx="665">
                  <c:v>10/27/09</c:v>
                </c:pt>
                <c:pt idx="666">
                  <c:v>10/28/09</c:v>
                </c:pt>
                <c:pt idx="667">
                  <c:v>10/29/09</c:v>
                </c:pt>
                <c:pt idx="668">
                  <c:v>10/30/09</c:v>
                </c:pt>
                <c:pt idx="669">
                  <c:v>10/31/09</c:v>
                </c:pt>
                <c:pt idx="670">
                  <c:v>11/1/09</c:v>
                </c:pt>
                <c:pt idx="671">
                  <c:v>11/2/09</c:v>
                </c:pt>
                <c:pt idx="672">
                  <c:v>11/3/09</c:v>
                </c:pt>
                <c:pt idx="673">
                  <c:v>11/4/09</c:v>
                </c:pt>
                <c:pt idx="674">
                  <c:v>11/5/09</c:v>
                </c:pt>
                <c:pt idx="675">
                  <c:v>11/6/09</c:v>
                </c:pt>
                <c:pt idx="676">
                  <c:v>11/7/09</c:v>
                </c:pt>
                <c:pt idx="677">
                  <c:v>11/8/09</c:v>
                </c:pt>
                <c:pt idx="678">
                  <c:v>11/9/09</c:v>
                </c:pt>
                <c:pt idx="679">
                  <c:v>11/10/09</c:v>
                </c:pt>
                <c:pt idx="680">
                  <c:v>11/11/09</c:v>
                </c:pt>
                <c:pt idx="681">
                  <c:v>11/12/09</c:v>
                </c:pt>
                <c:pt idx="682">
                  <c:v>11/13/09</c:v>
                </c:pt>
                <c:pt idx="683">
                  <c:v>11/14/09</c:v>
                </c:pt>
                <c:pt idx="684">
                  <c:v>11/15/09</c:v>
                </c:pt>
                <c:pt idx="685">
                  <c:v>11/16/09</c:v>
                </c:pt>
                <c:pt idx="686">
                  <c:v>11/17/09</c:v>
                </c:pt>
                <c:pt idx="687">
                  <c:v>11/18/09</c:v>
                </c:pt>
                <c:pt idx="688">
                  <c:v>11/19/09</c:v>
                </c:pt>
                <c:pt idx="689">
                  <c:v>11/20/09</c:v>
                </c:pt>
                <c:pt idx="690">
                  <c:v>11/21/09</c:v>
                </c:pt>
                <c:pt idx="691">
                  <c:v>11/22/09</c:v>
                </c:pt>
                <c:pt idx="692">
                  <c:v>11/23/09</c:v>
                </c:pt>
                <c:pt idx="693">
                  <c:v>11/24/09</c:v>
                </c:pt>
                <c:pt idx="694">
                  <c:v>11/25/09</c:v>
                </c:pt>
                <c:pt idx="695">
                  <c:v>11/26/09</c:v>
                </c:pt>
                <c:pt idx="696">
                  <c:v>11/27/09</c:v>
                </c:pt>
                <c:pt idx="697">
                  <c:v>11/28/09</c:v>
                </c:pt>
                <c:pt idx="698">
                  <c:v>11/29/09</c:v>
                </c:pt>
                <c:pt idx="699">
                  <c:v>11/30/09</c:v>
                </c:pt>
                <c:pt idx="700">
                  <c:v>12/1/09</c:v>
                </c:pt>
                <c:pt idx="701">
                  <c:v>12/2/09</c:v>
                </c:pt>
                <c:pt idx="702">
                  <c:v>12/3/09</c:v>
                </c:pt>
                <c:pt idx="703">
                  <c:v>12/4/09</c:v>
                </c:pt>
                <c:pt idx="704">
                  <c:v>12/5/09</c:v>
                </c:pt>
                <c:pt idx="705">
                  <c:v>12/6/09</c:v>
                </c:pt>
                <c:pt idx="706">
                  <c:v>12/7/09</c:v>
                </c:pt>
                <c:pt idx="707">
                  <c:v>12/8/09</c:v>
                </c:pt>
                <c:pt idx="708">
                  <c:v>12/9/09</c:v>
                </c:pt>
                <c:pt idx="709">
                  <c:v>12/10/09</c:v>
                </c:pt>
                <c:pt idx="710">
                  <c:v>12/11/09</c:v>
                </c:pt>
                <c:pt idx="711">
                  <c:v>12/12/09</c:v>
                </c:pt>
                <c:pt idx="712">
                  <c:v>12/13/09</c:v>
                </c:pt>
                <c:pt idx="713">
                  <c:v>12/14/09</c:v>
                </c:pt>
                <c:pt idx="714">
                  <c:v>12/15/09</c:v>
                </c:pt>
                <c:pt idx="715">
                  <c:v>12/16/09</c:v>
                </c:pt>
                <c:pt idx="716">
                  <c:v>12/17/09</c:v>
                </c:pt>
                <c:pt idx="717">
                  <c:v>12/18/09</c:v>
                </c:pt>
                <c:pt idx="718">
                  <c:v>12/19/09</c:v>
                </c:pt>
                <c:pt idx="719">
                  <c:v>12/20/09</c:v>
                </c:pt>
                <c:pt idx="720">
                  <c:v>12/21/09</c:v>
                </c:pt>
                <c:pt idx="721">
                  <c:v>12/22/09</c:v>
                </c:pt>
                <c:pt idx="722">
                  <c:v>12/23/09</c:v>
                </c:pt>
                <c:pt idx="723">
                  <c:v>12/24/09</c:v>
                </c:pt>
                <c:pt idx="724">
                  <c:v>12/25/09</c:v>
                </c:pt>
                <c:pt idx="725">
                  <c:v>12/26/09</c:v>
                </c:pt>
                <c:pt idx="726">
                  <c:v>12/27/09</c:v>
                </c:pt>
                <c:pt idx="727">
                  <c:v>12/28/09</c:v>
                </c:pt>
                <c:pt idx="728">
                  <c:v>12/29/09</c:v>
                </c:pt>
                <c:pt idx="729">
                  <c:v>12/30/09</c:v>
                </c:pt>
                <c:pt idx="730">
                  <c:v>12/31/09</c:v>
                </c:pt>
                <c:pt idx="731">
                  <c:v>1/4/10</c:v>
                </c:pt>
                <c:pt idx="732">
                  <c:v>1/5/10</c:v>
                </c:pt>
                <c:pt idx="733">
                  <c:v>1/6/10</c:v>
                </c:pt>
                <c:pt idx="734">
                  <c:v>1/7/10</c:v>
                </c:pt>
                <c:pt idx="735">
                  <c:v>1/8/10</c:v>
                </c:pt>
                <c:pt idx="736">
                  <c:v>1/11/10</c:v>
                </c:pt>
                <c:pt idx="737">
                  <c:v>1/12/10</c:v>
                </c:pt>
                <c:pt idx="738">
                  <c:v>1/13/10</c:v>
                </c:pt>
                <c:pt idx="739">
                  <c:v>1/14/10</c:v>
                </c:pt>
                <c:pt idx="740">
                  <c:v>1/15/10</c:v>
                </c:pt>
                <c:pt idx="741">
                  <c:v>1/19/10</c:v>
                </c:pt>
                <c:pt idx="742">
                  <c:v>1/20/10</c:v>
                </c:pt>
                <c:pt idx="743">
                  <c:v>1/21/10</c:v>
                </c:pt>
                <c:pt idx="744">
                  <c:v>1/22/10</c:v>
                </c:pt>
                <c:pt idx="745">
                  <c:v>1/25/10</c:v>
                </c:pt>
                <c:pt idx="746">
                  <c:v>1/26/10</c:v>
                </c:pt>
                <c:pt idx="747">
                  <c:v>1/27/10</c:v>
                </c:pt>
                <c:pt idx="748">
                  <c:v>1/28/10</c:v>
                </c:pt>
                <c:pt idx="749">
                  <c:v>1/29/10</c:v>
                </c:pt>
                <c:pt idx="750">
                  <c:v>2/1/10</c:v>
                </c:pt>
                <c:pt idx="751">
                  <c:v>2/2/10</c:v>
                </c:pt>
                <c:pt idx="752">
                  <c:v>2/3/10</c:v>
                </c:pt>
                <c:pt idx="753">
                  <c:v>2/4/10</c:v>
                </c:pt>
                <c:pt idx="754">
                  <c:v>2/5/10</c:v>
                </c:pt>
                <c:pt idx="755">
                  <c:v>2/8/10</c:v>
                </c:pt>
                <c:pt idx="756">
                  <c:v>2/9/10</c:v>
                </c:pt>
                <c:pt idx="757">
                  <c:v>2/10/10</c:v>
                </c:pt>
                <c:pt idx="758">
                  <c:v>2/11/10</c:v>
                </c:pt>
                <c:pt idx="759">
                  <c:v>2/12/10</c:v>
                </c:pt>
                <c:pt idx="760">
                  <c:v>2/15/10</c:v>
                </c:pt>
                <c:pt idx="761">
                  <c:v>2/16/10</c:v>
                </c:pt>
                <c:pt idx="762">
                  <c:v>2/17/10</c:v>
                </c:pt>
                <c:pt idx="763">
                  <c:v>18-Feb-10</c:v>
                </c:pt>
                <c:pt idx="764">
                  <c:v>2/19/10</c:v>
                </c:pt>
                <c:pt idx="765">
                  <c:v>2/22/10</c:v>
                </c:pt>
                <c:pt idx="766">
                  <c:v>2/23/10</c:v>
                </c:pt>
                <c:pt idx="767">
                  <c:v>2/24/10</c:v>
                </c:pt>
                <c:pt idx="768">
                  <c:v>2/25/10</c:v>
                </c:pt>
                <c:pt idx="769">
                  <c:v>26-Feb-10</c:v>
                </c:pt>
                <c:pt idx="770">
                  <c:v>3/1/10</c:v>
                </c:pt>
                <c:pt idx="771">
                  <c:v>3/2/10</c:v>
                </c:pt>
                <c:pt idx="772">
                  <c:v>3/3/10</c:v>
                </c:pt>
                <c:pt idx="773">
                  <c:v>3/4/10</c:v>
                </c:pt>
                <c:pt idx="774">
                  <c:v>3/5/10</c:v>
                </c:pt>
                <c:pt idx="775">
                  <c:v>3/8/10</c:v>
                </c:pt>
                <c:pt idx="776">
                  <c:v>3/9/10</c:v>
                </c:pt>
                <c:pt idx="777">
                  <c:v>3/10/10</c:v>
                </c:pt>
                <c:pt idx="778">
                  <c:v>3/11/10</c:v>
                </c:pt>
                <c:pt idx="779">
                  <c:v>3/12/10</c:v>
                </c:pt>
                <c:pt idx="780">
                  <c:v>3/15/10</c:v>
                </c:pt>
                <c:pt idx="781">
                  <c:v>3/16/10</c:v>
                </c:pt>
                <c:pt idx="782">
                  <c:v>3/17/10</c:v>
                </c:pt>
                <c:pt idx="783">
                  <c:v>18-Mar-10</c:v>
                </c:pt>
                <c:pt idx="784">
                  <c:v>3/19/10</c:v>
                </c:pt>
                <c:pt idx="785">
                  <c:v>3/22/10</c:v>
                </c:pt>
                <c:pt idx="786">
                  <c:v>3/23/10</c:v>
                </c:pt>
                <c:pt idx="787">
                  <c:v>3/24/10</c:v>
                </c:pt>
                <c:pt idx="788">
                  <c:v>3/25/10</c:v>
                </c:pt>
                <c:pt idx="789">
                  <c:v>3/26/10</c:v>
                </c:pt>
                <c:pt idx="790">
                  <c:v>3/29/10</c:v>
                </c:pt>
                <c:pt idx="791">
                  <c:v>3/30/10</c:v>
                </c:pt>
                <c:pt idx="792">
                  <c:v>3/31/10</c:v>
                </c:pt>
                <c:pt idx="793">
                  <c:v>4/1/10</c:v>
                </c:pt>
                <c:pt idx="794">
                  <c:v>4/5/10</c:v>
                </c:pt>
                <c:pt idx="795">
                  <c:v>4/6/10</c:v>
                </c:pt>
                <c:pt idx="796">
                  <c:v>4/7/10</c:v>
                </c:pt>
                <c:pt idx="797">
                  <c:v>4/8/10</c:v>
                </c:pt>
                <c:pt idx="798">
                  <c:v>4/9/10</c:v>
                </c:pt>
                <c:pt idx="799">
                  <c:v>4/12/10</c:v>
                </c:pt>
                <c:pt idx="800">
                  <c:v>4/13/10</c:v>
                </c:pt>
                <c:pt idx="801">
                  <c:v>4/14/10</c:v>
                </c:pt>
                <c:pt idx="802">
                  <c:v>4/15/10</c:v>
                </c:pt>
                <c:pt idx="803">
                  <c:v>4/16/10</c:v>
                </c:pt>
                <c:pt idx="804">
                  <c:v>4/19/10</c:v>
                </c:pt>
                <c:pt idx="805">
                  <c:v>4/20/10</c:v>
                </c:pt>
                <c:pt idx="806">
                  <c:v>4/21/10</c:v>
                </c:pt>
                <c:pt idx="807">
                  <c:v>4/22/10</c:v>
                </c:pt>
                <c:pt idx="808">
                  <c:v>4/23/10</c:v>
                </c:pt>
                <c:pt idx="809">
                  <c:v>4/26/10</c:v>
                </c:pt>
                <c:pt idx="810">
                  <c:v>4/27/10</c:v>
                </c:pt>
                <c:pt idx="811">
                  <c:v>4/28/10</c:v>
                </c:pt>
                <c:pt idx="812">
                  <c:v>4/29/10</c:v>
                </c:pt>
                <c:pt idx="813">
                  <c:v>4/30/10</c:v>
                </c:pt>
                <c:pt idx="814">
                  <c:v>5/3/10</c:v>
                </c:pt>
                <c:pt idx="815">
                  <c:v>5/4/10</c:v>
                </c:pt>
                <c:pt idx="816">
                  <c:v>5/5/10</c:v>
                </c:pt>
                <c:pt idx="817">
                  <c:v>5/6/10</c:v>
                </c:pt>
                <c:pt idx="818">
                  <c:v>5/7/10</c:v>
                </c:pt>
                <c:pt idx="819">
                  <c:v>5/10/10</c:v>
                </c:pt>
                <c:pt idx="820">
                  <c:v>5/11/10</c:v>
                </c:pt>
                <c:pt idx="821">
                  <c:v>5/12/10</c:v>
                </c:pt>
                <c:pt idx="822">
                  <c:v>5/13/10</c:v>
                </c:pt>
                <c:pt idx="823">
                  <c:v>5/14/10</c:v>
                </c:pt>
                <c:pt idx="824">
                  <c:v>5/17/10</c:v>
                </c:pt>
                <c:pt idx="825">
                  <c:v>5/18/10</c:v>
                </c:pt>
                <c:pt idx="826">
                  <c:v>5/19/10</c:v>
                </c:pt>
                <c:pt idx="827">
                  <c:v>5/20/10</c:v>
                </c:pt>
                <c:pt idx="828">
                  <c:v>5/21/10</c:v>
                </c:pt>
                <c:pt idx="829">
                  <c:v>5/24/10</c:v>
                </c:pt>
                <c:pt idx="830">
                  <c:v>5/25/10</c:v>
                </c:pt>
                <c:pt idx="831">
                  <c:v>5/26/10</c:v>
                </c:pt>
                <c:pt idx="832">
                  <c:v>5/27/10</c:v>
                </c:pt>
                <c:pt idx="833">
                  <c:v>5/28/10</c:v>
                </c:pt>
                <c:pt idx="834">
                  <c:v>6/1/10</c:v>
                </c:pt>
                <c:pt idx="835">
                  <c:v>6/2/10</c:v>
                </c:pt>
                <c:pt idx="836">
                  <c:v>6/3/10</c:v>
                </c:pt>
                <c:pt idx="837">
                  <c:v>6/4/10</c:v>
                </c:pt>
                <c:pt idx="838">
                  <c:v>6/7/10</c:v>
                </c:pt>
                <c:pt idx="839">
                  <c:v>6/8/10</c:v>
                </c:pt>
                <c:pt idx="840">
                  <c:v>6/9/10</c:v>
                </c:pt>
                <c:pt idx="841">
                  <c:v>10/6/10</c:v>
                </c:pt>
                <c:pt idx="842">
                  <c:v>6/11/10</c:v>
                </c:pt>
                <c:pt idx="843">
                  <c:v>6/14/10</c:v>
                </c:pt>
                <c:pt idx="844">
                  <c:v>6/15/10</c:v>
                </c:pt>
                <c:pt idx="845">
                  <c:v>6/16/10</c:v>
                </c:pt>
                <c:pt idx="846">
                  <c:v>6/17/10</c:v>
                </c:pt>
                <c:pt idx="847">
                  <c:v>6/18/10</c:v>
                </c:pt>
                <c:pt idx="848">
                  <c:v>6/21/10</c:v>
                </c:pt>
                <c:pt idx="849">
                  <c:v>6/22/10</c:v>
                </c:pt>
                <c:pt idx="850">
                  <c:v>6/23/10</c:v>
                </c:pt>
                <c:pt idx="851">
                  <c:v>6/24/10</c:v>
                </c:pt>
                <c:pt idx="852">
                  <c:v>6/25/10</c:v>
                </c:pt>
                <c:pt idx="853">
                  <c:v>6/28/10</c:v>
                </c:pt>
                <c:pt idx="854">
                  <c:v>6/29/10</c:v>
                </c:pt>
                <c:pt idx="855">
                  <c:v>6/30/10</c:v>
                </c:pt>
                <c:pt idx="856">
                  <c:v>7/1/10</c:v>
                </c:pt>
                <c:pt idx="857">
                  <c:v>7/2/10</c:v>
                </c:pt>
                <c:pt idx="858">
                  <c:v>7/6/10</c:v>
                </c:pt>
                <c:pt idx="859">
                  <c:v>7/7/10</c:v>
                </c:pt>
                <c:pt idx="860">
                  <c:v>7/8/10</c:v>
                </c:pt>
                <c:pt idx="861">
                  <c:v>7/9/10</c:v>
                </c:pt>
                <c:pt idx="862">
                  <c:v>7/12/10</c:v>
                </c:pt>
                <c:pt idx="863">
                  <c:v>7/13/10</c:v>
                </c:pt>
                <c:pt idx="864">
                  <c:v>7/14/10</c:v>
                </c:pt>
                <c:pt idx="865">
                  <c:v>7/15/10</c:v>
                </c:pt>
                <c:pt idx="866">
                  <c:v>7/19/10</c:v>
                </c:pt>
                <c:pt idx="867">
                  <c:v>7/20/10</c:v>
                </c:pt>
                <c:pt idx="868">
                  <c:v>7/21/10</c:v>
                </c:pt>
                <c:pt idx="869">
                  <c:v>7/22/10</c:v>
                </c:pt>
                <c:pt idx="870">
                  <c:v>7/23/10</c:v>
                </c:pt>
                <c:pt idx="871">
                  <c:v>7/26/10</c:v>
                </c:pt>
                <c:pt idx="872">
                  <c:v>7/27/10</c:v>
                </c:pt>
                <c:pt idx="873">
                  <c:v>7/28/10</c:v>
                </c:pt>
                <c:pt idx="874">
                  <c:v>7/29/10</c:v>
                </c:pt>
                <c:pt idx="875">
                  <c:v>7/30/10</c:v>
                </c:pt>
                <c:pt idx="876">
                  <c:v>7/31/10</c:v>
                </c:pt>
                <c:pt idx="877">
                  <c:v>8/2/10</c:v>
                </c:pt>
                <c:pt idx="878">
                  <c:v>8/3/10</c:v>
                </c:pt>
                <c:pt idx="879">
                  <c:v>8/4/10</c:v>
                </c:pt>
                <c:pt idx="880">
                  <c:v>8/5/10</c:v>
                </c:pt>
                <c:pt idx="881">
                  <c:v>8/6/10</c:v>
                </c:pt>
                <c:pt idx="882">
                  <c:v>8/9/10</c:v>
                </c:pt>
                <c:pt idx="883">
                  <c:v>8/10/10</c:v>
                </c:pt>
                <c:pt idx="884">
                  <c:v>8/11/10</c:v>
                </c:pt>
                <c:pt idx="885">
                  <c:v>8/12/10</c:v>
                </c:pt>
                <c:pt idx="886">
                  <c:v>8/13/10</c:v>
                </c:pt>
                <c:pt idx="887">
                  <c:v>8/16/10</c:v>
                </c:pt>
                <c:pt idx="888">
                  <c:v>8/17/10</c:v>
                </c:pt>
                <c:pt idx="889">
                  <c:v>8/18/10</c:v>
                </c:pt>
                <c:pt idx="890">
                  <c:v>8/19/10</c:v>
                </c:pt>
                <c:pt idx="891">
                  <c:v>8/20/10</c:v>
                </c:pt>
                <c:pt idx="892">
                  <c:v>8/23/10</c:v>
                </c:pt>
                <c:pt idx="893">
                  <c:v>8/24/10</c:v>
                </c:pt>
                <c:pt idx="894">
                  <c:v>8/25/10</c:v>
                </c:pt>
                <c:pt idx="895">
                  <c:v>8/26/10</c:v>
                </c:pt>
                <c:pt idx="896">
                  <c:v>8/27/10</c:v>
                </c:pt>
                <c:pt idx="897">
                  <c:v>8/30/10</c:v>
                </c:pt>
                <c:pt idx="898">
                  <c:v>8/31/10</c:v>
                </c:pt>
                <c:pt idx="899">
                  <c:v>9/1/10</c:v>
                </c:pt>
                <c:pt idx="900">
                  <c:v>9/2/10</c:v>
                </c:pt>
                <c:pt idx="901">
                  <c:v>9/3/10</c:v>
                </c:pt>
                <c:pt idx="902">
                  <c:v>9/7/10</c:v>
                </c:pt>
                <c:pt idx="903">
                  <c:v>9/8/10</c:v>
                </c:pt>
                <c:pt idx="904">
                  <c:v>9/9/10</c:v>
                </c:pt>
                <c:pt idx="905">
                  <c:v>9/10/10</c:v>
                </c:pt>
                <c:pt idx="906">
                  <c:v>9/13/10</c:v>
                </c:pt>
                <c:pt idx="907">
                  <c:v>9/14/10</c:v>
                </c:pt>
                <c:pt idx="908">
                  <c:v>9/15/10</c:v>
                </c:pt>
                <c:pt idx="909">
                  <c:v>9/16/10</c:v>
                </c:pt>
                <c:pt idx="910">
                  <c:v>9/17/10</c:v>
                </c:pt>
                <c:pt idx="911">
                  <c:v>9/20/10</c:v>
                </c:pt>
                <c:pt idx="912">
                  <c:v>9/21/10</c:v>
                </c:pt>
                <c:pt idx="913">
                  <c:v>9/22/10</c:v>
                </c:pt>
                <c:pt idx="914">
                  <c:v>9/23/10</c:v>
                </c:pt>
                <c:pt idx="915">
                  <c:v>9/24/10</c:v>
                </c:pt>
                <c:pt idx="916">
                  <c:v>9/27/10</c:v>
                </c:pt>
                <c:pt idx="917">
                  <c:v>9/28/10</c:v>
                </c:pt>
                <c:pt idx="918">
                  <c:v>9/29/10</c:v>
                </c:pt>
                <c:pt idx="919">
                  <c:v>9/30/10</c:v>
                </c:pt>
                <c:pt idx="920">
                  <c:v>10/1/10</c:v>
                </c:pt>
                <c:pt idx="921">
                  <c:v>10/4/10</c:v>
                </c:pt>
                <c:pt idx="922">
                  <c:v>10/5/10</c:v>
                </c:pt>
                <c:pt idx="923">
                  <c:v>10/6/10</c:v>
                </c:pt>
                <c:pt idx="924">
                  <c:v>10/7/10</c:v>
                </c:pt>
                <c:pt idx="925">
                  <c:v>10/8/10</c:v>
                </c:pt>
                <c:pt idx="926">
                  <c:v>10/11/10</c:v>
                </c:pt>
                <c:pt idx="927">
                  <c:v>10/12/10</c:v>
                </c:pt>
                <c:pt idx="928">
                  <c:v>10/13/10</c:v>
                </c:pt>
                <c:pt idx="929">
                  <c:v>10/14/10</c:v>
                </c:pt>
                <c:pt idx="930">
                  <c:v>10/15/10</c:v>
                </c:pt>
                <c:pt idx="931">
                  <c:v>10/18/10</c:v>
                </c:pt>
                <c:pt idx="932">
                  <c:v>10/19/10</c:v>
                </c:pt>
                <c:pt idx="933">
                  <c:v>10/20/10</c:v>
                </c:pt>
                <c:pt idx="934">
                  <c:v>10/21/10</c:v>
                </c:pt>
                <c:pt idx="935">
                  <c:v>10/22/10</c:v>
                </c:pt>
                <c:pt idx="936">
                  <c:v>10/25/10</c:v>
                </c:pt>
                <c:pt idx="937">
                  <c:v>10/26/10</c:v>
                </c:pt>
                <c:pt idx="938">
                  <c:v>10/27/10</c:v>
                </c:pt>
                <c:pt idx="939">
                  <c:v>10/28/10</c:v>
                </c:pt>
                <c:pt idx="940">
                  <c:v>10/29/10</c:v>
                </c:pt>
                <c:pt idx="941">
                  <c:v>11/1/10</c:v>
                </c:pt>
                <c:pt idx="942">
                  <c:v>11/2/10</c:v>
                </c:pt>
                <c:pt idx="943">
                  <c:v>11/3/10</c:v>
                </c:pt>
                <c:pt idx="944">
                  <c:v>11/4/10</c:v>
                </c:pt>
                <c:pt idx="945">
                  <c:v>11/5/10</c:v>
                </c:pt>
                <c:pt idx="946">
                  <c:v>11/8/10</c:v>
                </c:pt>
                <c:pt idx="947">
                  <c:v>11/9/10</c:v>
                </c:pt>
                <c:pt idx="948">
                  <c:v>11/10/10</c:v>
                </c:pt>
                <c:pt idx="949">
                  <c:v>11/11/10</c:v>
                </c:pt>
                <c:pt idx="950">
                  <c:v>11/12/10</c:v>
                </c:pt>
                <c:pt idx="951">
                  <c:v>11/15/10</c:v>
                </c:pt>
                <c:pt idx="952">
                  <c:v>11/16/10</c:v>
                </c:pt>
                <c:pt idx="953">
                  <c:v>11/17/10</c:v>
                </c:pt>
                <c:pt idx="954">
                  <c:v>11/18/10</c:v>
                </c:pt>
                <c:pt idx="955">
                  <c:v>11/19/10</c:v>
                </c:pt>
                <c:pt idx="956">
                  <c:v>11/22/10</c:v>
                </c:pt>
                <c:pt idx="957">
                  <c:v>11/23/10</c:v>
                </c:pt>
                <c:pt idx="958">
                  <c:v>11/24/10</c:v>
                </c:pt>
                <c:pt idx="959">
                  <c:v>11/28/10</c:v>
                </c:pt>
                <c:pt idx="960">
                  <c:v>11/29/10</c:v>
                </c:pt>
                <c:pt idx="961">
                  <c:v>12/1/10</c:v>
                </c:pt>
                <c:pt idx="962">
                  <c:v>12/2/10</c:v>
                </c:pt>
                <c:pt idx="963">
                  <c:v>12/3/10</c:v>
                </c:pt>
                <c:pt idx="964">
                  <c:v>12/6/10</c:v>
                </c:pt>
                <c:pt idx="965">
                  <c:v>12/7/10</c:v>
                </c:pt>
                <c:pt idx="966">
                  <c:v>12/8/10</c:v>
                </c:pt>
                <c:pt idx="967">
                  <c:v>12/9/10</c:v>
                </c:pt>
                <c:pt idx="968">
                  <c:v>12/10/10</c:v>
                </c:pt>
                <c:pt idx="969">
                  <c:v>12/13/10</c:v>
                </c:pt>
                <c:pt idx="970">
                  <c:v>12/14/10</c:v>
                </c:pt>
                <c:pt idx="971">
                  <c:v>12/15/10</c:v>
                </c:pt>
                <c:pt idx="972">
                  <c:v>12/16/10</c:v>
                </c:pt>
                <c:pt idx="973">
                  <c:v>12/17/10</c:v>
                </c:pt>
                <c:pt idx="974">
                  <c:v>12/20/10</c:v>
                </c:pt>
                <c:pt idx="975">
                  <c:v>12/21/10</c:v>
                </c:pt>
                <c:pt idx="976">
                  <c:v>12/22/10</c:v>
                </c:pt>
                <c:pt idx="977">
                  <c:v>12/23/10</c:v>
                </c:pt>
                <c:pt idx="978">
                  <c:v>12/27/10</c:v>
                </c:pt>
                <c:pt idx="979">
                  <c:v>12/28/10</c:v>
                </c:pt>
                <c:pt idx="980">
                  <c:v>12/29/10</c:v>
                </c:pt>
                <c:pt idx="981">
                  <c:v>12/30/10</c:v>
                </c:pt>
                <c:pt idx="982">
                  <c:v>12/31/10</c:v>
                </c:pt>
                <c:pt idx="983">
                  <c:v>1/3/11</c:v>
                </c:pt>
                <c:pt idx="984">
                  <c:v>1/4/11</c:v>
                </c:pt>
                <c:pt idx="985">
                  <c:v>1/5/11</c:v>
                </c:pt>
                <c:pt idx="986">
                  <c:v>1/6/11</c:v>
                </c:pt>
                <c:pt idx="987">
                  <c:v>1/7/11</c:v>
                </c:pt>
                <c:pt idx="988">
                  <c:v>1/10/11</c:v>
                </c:pt>
                <c:pt idx="989">
                  <c:v>1/11/11</c:v>
                </c:pt>
                <c:pt idx="990">
                  <c:v>1/12/11</c:v>
                </c:pt>
                <c:pt idx="991">
                  <c:v>1/13/11</c:v>
                </c:pt>
                <c:pt idx="992">
                  <c:v>1/14/11</c:v>
                </c:pt>
                <c:pt idx="993">
                  <c:v>1/18/11</c:v>
                </c:pt>
                <c:pt idx="994">
                  <c:v>1/19/11</c:v>
                </c:pt>
                <c:pt idx="995">
                  <c:v>1/20/11</c:v>
                </c:pt>
                <c:pt idx="996">
                  <c:v>1/21/11</c:v>
                </c:pt>
                <c:pt idx="997">
                  <c:v>1/24/11</c:v>
                </c:pt>
                <c:pt idx="998">
                  <c:v>1/25/11</c:v>
                </c:pt>
                <c:pt idx="999">
                  <c:v>1/26/11</c:v>
                </c:pt>
                <c:pt idx="1000">
                  <c:v>1/27/11</c:v>
                </c:pt>
                <c:pt idx="1001">
                  <c:v>1/28/11</c:v>
                </c:pt>
                <c:pt idx="1002">
                  <c:v>1/31/11</c:v>
                </c:pt>
                <c:pt idx="1003">
                  <c:v>2/1/11</c:v>
                </c:pt>
                <c:pt idx="1004">
                  <c:v>2/2/11</c:v>
                </c:pt>
                <c:pt idx="1005">
                  <c:v>2/3/11</c:v>
                </c:pt>
                <c:pt idx="1006">
                  <c:v>2/4/11</c:v>
                </c:pt>
                <c:pt idx="1007">
                  <c:v>2/7/11</c:v>
                </c:pt>
                <c:pt idx="1008">
                  <c:v>2/8/11</c:v>
                </c:pt>
                <c:pt idx="1009">
                  <c:v>2/9/11</c:v>
                </c:pt>
                <c:pt idx="1010">
                  <c:v>2/10/11</c:v>
                </c:pt>
                <c:pt idx="1011">
                  <c:v>2/11/11</c:v>
                </c:pt>
                <c:pt idx="1012">
                  <c:v>2/14/11</c:v>
                </c:pt>
                <c:pt idx="1013">
                  <c:v>2/15/11</c:v>
                </c:pt>
                <c:pt idx="1014">
                  <c:v>2/16/11</c:v>
                </c:pt>
                <c:pt idx="1015">
                  <c:v>2/17/11</c:v>
                </c:pt>
                <c:pt idx="1016">
                  <c:v>2/18/11</c:v>
                </c:pt>
                <c:pt idx="1017">
                  <c:v>2/22/11</c:v>
                </c:pt>
                <c:pt idx="1018">
                  <c:v>2/23/11</c:v>
                </c:pt>
                <c:pt idx="1019">
                  <c:v>2/24/11</c:v>
                </c:pt>
                <c:pt idx="1020">
                  <c:v>2/25/11</c:v>
                </c:pt>
                <c:pt idx="1021">
                  <c:v>3/1/11</c:v>
                </c:pt>
                <c:pt idx="1022">
                  <c:v>3/2/11</c:v>
                </c:pt>
                <c:pt idx="1023">
                  <c:v>3/3/11</c:v>
                </c:pt>
                <c:pt idx="1024">
                  <c:v>3/4/11</c:v>
                </c:pt>
                <c:pt idx="1025">
                  <c:v>3/7/11</c:v>
                </c:pt>
                <c:pt idx="1026">
                  <c:v>3/8/11</c:v>
                </c:pt>
                <c:pt idx="1027">
                  <c:v>3/9/11</c:v>
                </c:pt>
                <c:pt idx="1028">
                  <c:v>3/10/11</c:v>
                </c:pt>
                <c:pt idx="1029">
                  <c:v>3/11/11</c:v>
                </c:pt>
                <c:pt idx="1030">
                  <c:v>3/14/11</c:v>
                </c:pt>
                <c:pt idx="1031">
                  <c:v>3/15/11</c:v>
                </c:pt>
                <c:pt idx="1032">
                  <c:v>3/16/11</c:v>
                </c:pt>
                <c:pt idx="1033">
                  <c:v>3/17/11</c:v>
                </c:pt>
                <c:pt idx="1034">
                  <c:v>3/18/11</c:v>
                </c:pt>
                <c:pt idx="1035">
                  <c:v>3/21/11</c:v>
                </c:pt>
                <c:pt idx="1036">
                  <c:v>3/22/11</c:v>
                </c:pt>
                <c:pt idx="1037">
                  <c:v>3/23/11</c:v>
                </c:pt>
                <c:pt idx="1038">
                  <c:v>3/24/11</c:v>
                </c:pt>
                <c:pt idx="1039">
                  <c:v>3/25/11</c:v>
                </c:pt>
                <c:pt idx="1040">
                  <c:v>3/28/11</c:v>
                </c:pt>
                <c:pt idx="1041">
                  <c:v>3/29/11</c:v>
                </c:pt>
                <c:pt idx="1042">
                  <c:v>3/30/11</c:v>
                </c:pt>
                <c:pt idx="1043">
                  <c:v>3/31/11</c:v>
                </c:pt>
                <c:pt idx="1044">
                  <c:v>4/1/11</c:v>
                </c:pt>
                <c:pt idx="1045">
                  <c:v>4/4/11</c:v>
                </c:pt>
                <c:pt idx="1046">
                  <c:v>4/5/11</c:v>
                </c:pt>
                <c:pt idx="1047">
                  <c:v>4/6/11</c:v>
                </c:pt>
                <c:pt idx="1048">
                  <c:v>4/7/11</c:v>
                </c:pt>
                <c:pt idx="1049">
                  <c:v>4/8/11</c:v>
                </c:pt>
                <c:pt idx="1050">
                  <c:v>4/11/11</c:v>
                </c:pt>
                <c:pt idx="1051">
                  <c:v>4/12/11</c:v>
                </c:pt>
                <c:pt idx="1052">
                  <c:v>4/13/11</c:v>
                </c:pt>
                <c:pt idx="1053">
                  <c:v>4/14/11</c:v>
                </c:pt>
                <c:pt idx="1054">
                  <c:v>4/15/11</c:v>
                </c:pt>
                <c:pt idx="1055">
                  <c:v>4/18/11</c:v>
                </c:pt>
                <c:pt idx="1056">
                  <c:v>4/19/11</c:v>
                </c:pt>
                <c:pt idx="1057">
                  <c:v>4/20/11</c:v>
                </c:pt>
                <c:pt idx="1058">
                  <c:v>4/21/11</c:v>
                </c:pt>
                <c:pt idx="1059">
                  <c:v>4/22/11</c:v>
                </c:pt>
                <c:pt idx="1060">
                  <c:v>4/25/11</c:v>
                </c:pt>
                <c:pt idx="1061">
                  <c:v>4/26/11</c:v>
                </c:pt>
                <c:pt idx="1062">
                  <c:v>4/27/11</c:v>
                </c:pt>
                <c:pt idx="1063">
                  <c:v>4/28/11</c:v>
                </c:pt>
                <c:pt idx="1064">
                  <c:v>5/2/11</c:v>
                </c:pt>
                <c:pt idx="1065">
                  <c:v>5/3/11</c:v>
                </c:pt>
                <c:pt idx="1066">
                  <c:v>5/4/11</c:v>
                </c:pt>
                <c:pt idx="1067">
                  <c:v>5/5/11</c:v>
                </c:pt>
                <c:pt idx="1068">
                  <c:v>5/6/11</c:v>
                </c:pt>
                <c:pt idx="1069">
                  <c:v>5/9/11</c:v>
                </c:pt>
                <c:pt idx="1070">
                  <c:v>5/10/11</c:v>
                </c:pt>
                <c:pt idx="1071">
                  <c:v>5/11/11</c:v>
                </c:pt>
                <c:pt idx="1072">
                  <c:v>5/12/11</c:v>
                </c:pt>
                <c:pt idx="1073">
                  <c:v>5/13/11</c:v>
                </c:pt>
                <c:pt idx="1074">
                  <c:v>5/16/11</c:v>
                </c:pt>
                <c:pt idx="1075">
                  <c:v>5/17/11</c:v>
                </c:pt>
                <c:pt idx="1076">
                  <c:v>5/18/11</c:v>
                </c:pt>
                <c:pt idx="1077">
                  <c:v>5/19/11</c:v>
                </c:pt>
                <c:pt idx="1078">
                  <c:v>5/20/11</c:v>
                </c:pt>
                <c:pt idx="1079">
                  <c:v>5/23/11</c:v>
                </c:pt>
                <c:pt idx="1080">
                  <c:v>5/24/11</c:v>
                </c:pt>
                <c:pt idx="1081">
                  <c:v>5/25/11</c:v>
                </c:pt>
                <c:pt idx="1082">
                  <c:v>5/26/11</c:v>
                </c:pt>
                <c:pt idx="1083">
                  <c:v>5/27/11</c:v>
                </c:pt>
                <c:pt idx="1084">
                  <c:v>5/31/11</c:v>
                </c:pt>
                <c:pt idx="1085">
                  <c:v>6/1/11</c:v>
                </c:pt>
                <c:pt idx="1086">
                  <c:v>6/2/11</c:v>
                </c:pt>
                <c:pt idx="1087">
                  <c:v>6/3/11</c:v>
                </c:pt>
                <c:pt idx="1088">
                  <c:v>6/6/11</c:v>
                </c:pt>
                <c:pt idx="1089">
                  <c:v>6/7/11</c:v>
                </c:pt>
                <c:pt idx="1090">
                  <c:v>6/8/11</c:v>
                </c:pt>
                <c:pt idx="1091">
                  <c:v>6/9/11</c:v>
                </c:pt>
                <c:pt idx="1092">
                  <c:v>6/10/11</c:v>
                </c:pt>
                <c:pt idx="1093">
                  <c:v>6/13/11</c:v>
                </c:pt>
                <c:pt idx="1094">
                  <c:v>6/14/11</c:v>
                </c:pt>
                <c:pt idx="1095">
                  <c:v>6/15/11</c:v>
                </c:pt>
                <c:pt idx="1096">
                  <c:v>6/16/11</c:v>
                </c:pt>
                <c:pt idx="1097">
                  <c:v>6/17/11</c:v>
                </c:pt>
                <c:pt idx="1098">
                  <c:v>6/20/11</c:v>
                </c:pt>
                <c:pt idx="1099">
                  <c:v>6/21/11</c:v>
                </c:pt>
                <c:pt idx="1100">
                  <c:v>6/22/11</c:v>
                </c:pt>
                <c:pt idx="1101">
                  <c:v>6/23/11</c:v>
                </c:pt>
                <c:pt idx="1102">
                  <c:v>6/24/11</c:v>
                </c:pt>
                <c:pt idx="1103">
                  <c:v>6/27/11</c:v>
                </c:pt>
                <c:pt idx="1104">
                  <c:v>6/28/11</c:v>
                </c:pt>
                <c:pt idx="1105">
                  <c:v>6/29/11</c:v>
                </c:pt>
                <c:pt idx="1106">
                  <c:v>6/30/11</c:v>
                </c:pt>
                <c:pt idx="1107">
                  <c:v>7/1/11</c:v>
                </c:pt>
                <c:pt idx="1108">
                  <c:v>7/5/11</c:v>
                </c:pt>
                <c:pt idx="1109">
                  <c:v>7/6/11</c:v>
                </c:pt>
                <c:pt idx="1110">
                  <c:v>7/7/11</c:v>
                </c:pt>
                <c:pt idx="1111">
                  <c:v>7/8/11</c:v>
                </c:pt>
                <c:pt idx="1112">
                  <c:v>7/11/11</c:v>
                </c:pt>
                <c:pt idx="1113">
                  <c:v>7/12/11</c:v>
                </c:pt>
                <c:pt idx="1114">
                  <c:v>7/13/11</c:v>
                </c:pt>
                <c:pt idx="1115">
                  <c:v>7/14/11</c:v>
                </c:pt>
                <c:pt idx="1116">
                  <c:v>7/15/11</c:v>
                </c:pt>
                <c:pt idx="1117">
                  <c:v>7/18/11</c:v>
                </c:pt>
                <c:pt idx="1118">
                  <c:v>7/19/11</c:v>
                </c:pt>
                <c:pt idx="1119">
                  <c:v>7/20/11</c:v>
                </c:pt>
              </c:strCache>
            </c:strRef>
          </c:cat>
          <c:val>
            <c:numRef>
              <c:f>Prices!$C$2:$C$1121</c:f>
              <c:numCache>
                <c:formatCode>"$"#,##0</c:formatCode>
                <c:ptCount val="1120"/>
                <c:pt idx="0">
                  <c:v>775</c:v>
                </c:pt>
                <c:pt idx="1">
                  <c:v>750</c:v>
                </c:pt>
                <c:pt idx="2">
                  <c:v>750</c:v>
                </c:pt>
                <c:pt idx="3">
                  <c:v>750</c:v>
                </c:pt>
                <c:pt idx="4">
                  <c:v>750</c:v>
                </c:pt>
                <c:pt idx="5">
                  <c:v>750</c:v>
                </c:pt>
                <c:pt idx="6">
                  <c:v>750</c:v>
                </c:pt>
                <c:pt idx="7">
                  <c:v>750</c:v>
                </c:pt>
                <c:pt idx="8">
                  <c:v>750</c:v>
                </c:pt>
                <c:pt idx="9">
                  <c:v>750</c:v>
                </c:pt>
                <c:pt idx="10">
                  <c:v>750</c:v>
                </c:pt>
                <c:pt idx="11">
                  <c:v>750</c:v>
                </c:pt>
                <c:pt idx="12">
                  <c:v>750</c:v>
                </c:pt>
                <c:pt idx="13">
                  <c:v>775</c:v>
                </c:pt>
                <c:pt idx="14">
                  <c:v>775</c:v>
                </c:pt>
                <c:pt idx="15">
                  <c:v>775</c:v>
                </c:pt>
                <c:pt idx="16">
                  <c:v>775</c:v>
                </c:pt>
                <c:pt idx="17">
                  <c:v>775</c:v>
                </c:pt>
                <c:pt idx="18">
                  <c:v>775</c:v>
                </c:pt>
                <c:pt idx="19">
                  <c:v>775</c:v>
                </c:pt>
                <c:pt idx="20">
                  <c:v>775</c:v>
                </c:pt>
                <c:pt idx="21">
                  <c:v>775</c:v>
                </c:pt>
                <c:pt idx="22">
                  <c:v>775</c:v>
                </c:pt>
                <c:pt idx="23">
                  <c:v>787.5</c:v>
                </c:pt>
                <c:pt idx="24">
                  <c:v>787.5</c:v>
                </c:pt>
                <c:pt idx="25">
                  <c:v>787.5</c:v>
                </c:pt>
                <c:pt idx="26">
                  <c:v>787.5</c:v>
                </c:pt>
                <c:pt idx="27">
                  <c:v>787.5</c:v>
                </c:pt>
                <c:pt idx="28">
                  <c:v>787.5</c:v>
                </c:pt>
                <c:pt idx="29">
                  <c:v>787.5</c:v>
                </c:pt>
                <c:pt idx="30">
                  <c:v>787.5</c:v>
                </c:pt>
                <c:pt idx="31">
                  <c:v>787.5</c:v>
                </c:pt>
                <c:pt idx="32">
                  <c:v>787.5</c:v>
                </c:pt>
                <c:pt idx="33">
                  <c:v>787.5</c:v>
                </c:pt>
                <c:pt idx="34">
                  <c:v>787.5</c:v>
                </c:pt>
                <c:pt idx="35">
                  <c:v>787.5</c:v>
                </c:pt>
                <c:pt idx="36">
                  <c:v>787.5</c:v>
                </c:pt>
                <c:pt idx="37">
                  <c:v>787.5</c:v>
                </c:pt>
                <c:pt idx="38">
                  <c:v>787.5</c:v>
                </c:pt>
                <c:pt idx="39">
                  <c:v>787.5</c:v>
                </c:pt>
                <c:pt idx="40">
                  <c:v>787.5</c:v>
                </c:pt>
                <c:pt idx="41">
                  <c:v>787.5</c:v>
                </c:pt>
                <c:pt idx="42">
                  <c:v>800</c:v>
                </c:pt>
                <c:pt idx="43">
                  <c:v>800</c:v>
                </c:pt>
                <c:pt idx="44">
                  <c:v>800</c:v>
                </c:pt>
                <c:pt idx="45">
                  <c:v>800</c:v>
                </c:pt>
                <c:pt idx="46">
                  <c:v>800</c:v>
                </c:pt>
                <c:pt idx="47">
                  <c:v>800</c:v>
                </c:pt>
                <c:pt idx="48">
                  <c:v>800</c:v>
                </c:pt>
                <c:pt idx="49">
                  <c:v>770</c:v>
                </c:pt>
                <c:pt idx="50">
                  <c:v>770</c:v>
                </c:pt>
                <c:pt idx="51">
                  <c:v>770</c:v>
                </c:pt>
                <c:pt idx="52">
                  <c:v>770</c:v>
                </c:pt>
                <c:pt idx="53">
                  <c:v>770</c:v>
                </c:pt>
                <c:pt idx="54">
                  <c:v>770</c:v>
                </c:pt>
                <c:pt idx="55">
                  <c:v>770</c:v>
                </c:pt>
                <c:pt idx="56">
                  <c:v>770</c:v>
                </c:pt>
                <c:pt idx="57">
                  <c:v>770</c:v>
                </c:pt>
                <c:pt idx="58">
                  <c:v>800</c:v>
                </c:pt>
                <c:pt idx="59">
                  <c:v>825</c:v>
                </c:pt>
                <c:pt idx="60">
                  <c:v>825</c:v>
                </c:pt>
                <c:pt idx="61">
                  <c:v>825</c:v>
                </c:pt>
                <c:pt idx="62">
                  <c:v>830</c:v>
                </c:pt>
                <c:pt idx="63">
                  <c:v>830</c:v>
                </c:pt>
                <c:pt idx="64">
                  <c:v>825</c:v>
                </c:pt>
                <c:pt idx="65">
                  <c:v>825</c:v>
                </c:pt>
                <c:pt idx="66">
                  <c:v>825</c:v>
                </c:pt>
                <c:pt idx="67">
                  <c:v>825</c:v>
                </c:pt>
                <c:pt idx="68">
                  <c:v>825</c:v>
                </c:pt>
                <c:pt idx="69">
                  <c:v>800</c:v>
                </c:pt>
                <c:pt idx="70">
                  <c:v>800</c:v>
                </c:pt>
                <c:pt idx="71">
                  <c:v>825</c:v>
                </c:pt>
                <c:pt idx="72">
                  <c:v>825</c:v>
                </c:pt>
                <c:pt idx="73">
                  <c:v>800</c:v>
                </c:pt>
                <c:pt idx="74">
                  <c:v>800</c:v>
                </c:pt>
                <c:pt idx="75">
                  <c:v>800</c:v>
                </c:pt>
                <c:pt idx="76">
                  <c:v>800</c:v>
                </c:pt>
                <c:pt idx="77">
                  <c:v>800</c:v>
                </c:pt>
                <c:pt idx="78">
                  <c:v>787.5</c:v>
                </c:pt>
                <c:pt idx="79">
                  <c:v>770</c:v>
                </c:pt>
                <c:pt idx="80">
                  <c:v>770</c:v>
                </c:pt>
                <c:pt idx="81">
                  <c:v>770</c:v>
                </c:pt>
                <c:pt idx="82">
                  <c:v>770</c:v>
                </c:pt>
                <c:pt idx="83">
                  <c:v>770</c:v>
                </c:pt>
                <c:pt idx="84">
                  <c:v>775</c:v>
                </c:pt>
                <c:pt idx="85">
                  <c:v>775</c:v>
                </c:pt>
                <c:pt idx="86">
                  <c:v>775</c:v>
                </c:pt>
                <c:pt idx="87">
                  <c:v>775</c:v>
                </c:pt>
                <c:pt idx="88">
                  <c:v>775</c:v>
                </c:pt>
                <c:pt idx="89">
                  <c:v>775</c:v>
                </c:pt>
                <c:pt idx="90">
                  <c:v>775</c:v>
                </c:pt>
                <c:pt idx="91">
                  <c:v>775</c:v>
                </c:pt>
                <c:pt idx="92">
                  <c:v>775</c:v>
                </c:pt>
                <c:pt idx="93">
                  <c:v>765</c:v>
                </c:pt>
                <c:pt idx="94">
                  <c:v>765</c:v>
                </c:pt>
                <c:pt idx="95">
                  <c:v>765</c:v>
                </c:pt>
                <c:pt idx="96">
                  <c:v>765</c:v>
                </c:pt>
                <c:pt idx="97">
                  <c:v>765</c:v>
                </c:pt>
                <c:pt idx="98">
                  <c:v>750</c:v>
                </c:pt>
                <c:pt idx="99">
                  <c:v>750</c:v>
                </c:pt>
                <c:pt idx="100">
                  <c:v>750</c:v>
                </c:pt>
                <c:pt idx="101">
                  <c:v>750</c:v>
                </c:pt>
                <c:pt idx="102">
                  <c:v>750</c:v>
                </c:pt>
                <c:pt idx="103">
                  <c:v>750</c:v>
                </c:pt>
                <c:pt idx="104">
                  <c:v>750</c:v>
                </c:pt>
                <c:pt idx="105">
                  <c:v>750</c:v>
                </c:pt>
                <c:pt idx="106">
                  <c:v>750</c:v>
                </c:pt>
                <c:pt idx="107">
                  <c:v>750</c:v>
                </c:pt>
                <c:pt idx="108">
                  <c:v>750</c:v>
                </c:pt>
                <c:pt idx="109">
                  <c:v>750</c:v>
                </c:pt>
                <c:pt idx="110">
                  <c:v>750</c:v>
                </c:pt>
                <c:pt idx="111">
                  <c:v>750</c:v>
                </c:pt>
                <c:pt idx="112">
                  <c:v>750</c:v>
                </c:pt>
                <c:pt idx="113">
                  <c:v>750</c:v>
                </c:pt>
                <c:pt idx="114">
                  <c:v>750</c:v>
                </c:pt>
                <c:pt idx="115">
                  <c:v>750</c:v>
                </c:pt>
                <c:pt idx="116">
                  <c:v>750</c:v>
                </c:pt>
                <c:pt idx="117">
                  <c:v>750</c:v>
                </c:pt>
                <c:pt idx="118">
                  <c:v>750</c:v>
                </c:pt>
                <c:pt idx="119">
                  <c:v>750</c:v>
                </c:pt>
                <c:pt idx="120">
                  <c:v>750</c:v>
                </c:pt>
                <c:pt idx="121">
                  <c:v>750</c:v>
                </c:pt>
                <c:pt idx="122">
                  <c:v>750</c:v>
                </c:pt>
                <c:pt idx="123">
                  <c:v>750</c:v>
                </c:pt>
                <c:pt idx="124">
                  <c:v>750</c:v>
                </c:pt>
                <c:pt idx="125">
                  <c:v>787.5</c:v>
                </c:pt>
                <c:pt idx="126">
                  <c:v>787.5</c:v>
                </c:pt>
                <c:pt idx="127">
                  <c:v>787.5</c:v>
                </c:pt>
                <c:pt idx="128">
                  <c:v>787.5</c:v>
                </c:pt>
                <c:pt idx="129">
                  <c:v>787.5</c:v>
                </c:pt>
                <c:pt idx="130">
                  <c:v>787.5</c:v>
                </c:pt>
                <c:pt idx="131">
                  <c:v>787.5</c:v>
                </c:pt>
                <c:pt idx="132">
                  <c:v>787.5</c:v>
                </c:pt>
                <c:pt idx="133">
                  <c:v>787.5</c:v>
                </c:pt>
                <c:pt idx="134">
                  <c:v>787.5</c:v>
                </c:pt>
                <c:pt idx="135">
                  <c:v>787.5</c:v>
                </c:pt>
                <c:pt idx="136">
                  <c:v>787.5</c:v>
                </c:pt>
                <c:pt idx="137">
                  <c:v>787.5</c:v>
                </c:pt>
                <c:pt idx="138">
                  <c:v>787.5</c:v>
                </c:pt>
                <c:pt idx="139">
                  <c:v>787.5</c:v>
                </c:pt>
                <c:pt idx="140">
                  <c:v>787.5</c:v>
                </c:pt>
                <c:pt idx="141">
                  <c:v>775</c:v>
                </c:pt>
                <c:pt idx="142">
                  <c:v>750</c:v>
                </c:pt>
                <c:pt idx="143">
                  <c:v>750</c:v>
                </c:pt>
                <c:pt idx="144">
                  <c:v>750</c:v>
                </c:pt>
                <c:pt idx="145">
                  <c:v>750</c:v>
                </c:pt>
                <c:pt idx="146">
                  <c:v>750</c:v>
                </c:pt>
                <c:pt idx="147">
                  <c:v>750</c:v>
                </c:pt>
                <c:pt idx="148">
                  <c:v>750</c:v>
                </c:pt>
                <c:pt idx="149">
                  <c:v>750</c:v>
                </c:pt>
                <c:pt idx="150">
                  <c:v>750</c:v>
                </c:pt>
                <c:pt idx="151">
                  <c:v>750</c:v>
                </c:pt>
                <c:pt idx="152">
                  <c:v>750</c:v>
                </c:pt>
                <c:pt idx="153">
                  <c:v>750</c:v>
                </c:pt>
                <c:pt idx="154">
                  <c:v>750</c:v>
                </c:pt>
                <c:pt idx="155">
                  <c:v>758</c:v>
                </c:pt>
                <c:pt idx="156">
                  <c:v>758</c:v>
                </c:pt>
                <c:pt idx="157">
                  <c:v>758</c:v>
                </c:pt>
                <c:pt idx="158">
                  <c:v>758</c:v>
                </c:pt>
                <c:pt idx="159">
                  <c:v>758</c:v>
                </c:pt>
                <c:pt idx="160">
                  <c:v>760</c:v>
                </c:pt>
                <c:pt idx="161">
                  <c:v>760</c:v>
                </c:pt>
                <c:pt idx="162">
                  <c:v>760</c:v>
                </c:pt>
                <c:pt idx="163">
                  <c:v>787.5</c:v>
                </c:pt>
                <c:pt idx="164">
                  <c:v>795</c:v>
                </c:pt>
                <c:pt idx="165">
                  <c:v>795</c:v>
                </c:pt>
                <c:pt idx="166">
                  <c:v>795</c:v>
                </c:pt>
                <c:pt idx="167">
                  <c:v>795</c:v>
                </c:pt>
                <c:pt idx="168">
                  <c:v>787.5</c:v>
                </c:pt>
                <c:pt idx="169">
                  <c:v>787.5</c:v>
                </c:pt>
                <c:pt idx="170">
                  <c:v>787.5</c:v>
                </c:pt>
                <c:pt idx="171">
                  <c:v>795</c:v>
                </c:pt>
                <c:pt idx="172">
                  <c:v>795</c:v>
                </c:pt>
                <c:pt idx="173">
                  <c:v>795</c:v>
                </c:pt>
                <c:pt idx="174">
                  <c:v>800</c:v>
                </c:pt>
                <c:pt idx="175">
                  <c:v>825</c:v>
                </c:pt>
                <c:pt idx="176">
                  <c:v>835</c:v>
                </c:pt>
                <c:pt idx="177">
                  <c:v>835</c:v>
                </c:pt>
                <c:pt idx="178">
                  <c:v>835</c:v>
                </c:pt>
                <c:pt idx="179">
                  <c:v>835</c:v>
                </c:pt>
                <c:pt idx="180">
                  <c:v>835</c:v>
                </c:pt>
                <c:pt idx="181">
                  <c:v>860</c:v>
                </c:pt>
                <c:pt idx="182">
                  <c:v>860</c:v>
                </c:pt>
                <c:pt idx="183">
                  <c:v>860</c:v>
                </c:pt>
                <c:pt idx="184">
                  <c:v>860</c:v>
                </c:pt>
                <c:pt idx="185">
                  <c:v>860</c:v>
                </c:pt>
                <c:pt idx="186">
                  <c:v>860</c:v>
                </c:pt>
                <c:pt idx="187">
                  <c:v>860</c:v>
                </c:pt>
                <c:pt idx="188">
                  <c:v>860</c:v>
                </c:pt>
                <c:pt idx="189">
                  <c:v>860</c:v>
                </c:pt>
                <c:pt idx="190">
                  <c:v>887.5</c:v>
                </c:pt>
                <c:pt idx="191">
                  <c:v>875</c:v>
                </c:pt>
                <c:pt idx="192">
                  <c:v>875</c:v>
                </c:pt>
                <c:pt idx="193">
                  <c:v>875</c:v>
                </c:pt>
                <c:pt idx="194">
                  <c:v>875</c:v>
                </c:pt>
                <c:pt idx="195">
                  <c:v>875</c:v>
                </c:pt>
                <c:pt idx="196">
                  <c:v>900</c:v>
                </c:pt>
                <c:pt idx="197">
                  <c:v>925</c:v>
                </c:pt>
                <c:pt idx="198">
                  <c:v>950</c:v>
                </c:pt>
                <c:pt idx="199">
                  <c:v>950</c:v>
                </c:pt>
                <c:pt idx="200">
                  <c:v>950</c:v>
                </c:pt>
                <c:pt idx="201">
                  <c:v>950</c:v>
                </c:pt>
                <c:pt idx="202">
                  <c:v>975</c:v>
                </c:pt>
                <c:pt idx="203">
                  <c:v>975</c:v>
                </c:pt>
                <c:pt idx="204">
                  <c:v>1000</c:v>
                </c:pt>
                <c:pt idx="205">
                  <c:v>1000</c:v>
                </c:pt>
                <c:pt idx="206">
                  <c:v>1025</c:v>
                </c:pt>
                <c:pt idx="207">
                  <c:v>1025</c:v>
                </c:pt>
                <c:pt idx="208">
                  <c:v>1025</c:v>
                </c:pt>
                <c:pt idx="209">
                  <c:v>1025</c:v>
                </c:pt>
                <c:pt idx="210">
                  <c:v>1000</c:v>
                </c:pt>
                <c:pt idx="211">
                  <c:v>1000</c:v>
                </c:pt>
                <c:pt idx="212">
                  <c:v>1150</c:v>
                </c:pt>
                <c:pt idx="213">
                  <c:v>1250</c:v>
                </c:pt>
                <c:pt idx="214">
                  <c:v>1250</c:v>
                </c:pt>
                <c:pt idx="215">
                  <c:v>1250</c:v>
                </c:pt>
                <c:pt idx="216">
                  <c:v>1250</c:v>
                </c:pt>
                <c:pt idx="217">
                  <c:v>1250</c:v>
                </c:pt>
                <c:pt idx="218">
                  <c:v>1400</c:v>
                </c:pt>
                <c:pt idx="219">
                  <c:v>1400</c:v>
                </c:pt>
                <c:pt idx="220">
                  <c:v>1275</c:v>
                </c:pt>
                <c:pt idx="221">
                  <c:v>1275</c:v>
                </c:pt>
                <c:pt idx="222">
                  <c:v>1275</c:v>
                </c:pt>
                <c:pt idx="223">
                  <c:v>1275</c:v>
                </c:pt>
                <c:pt idx="224">
                  <c:v>1275</c:v>
                </c:pt>
                <c:pt idx="225">
                  <c:v>1275</c:v>
                </c:pt>
                <c:pt idx="226">
                  <c:v>962.5</c:v>
                </c:pt>
                <c:pt idx="227">
                  <c:v>1005</c:v>
                </c:pt>
                <c:pt idx="228">
                  <c:v>1005</c:v>
                </c:pt>
                <c:pt idx="229">
                  <c:v>1005</c:v>
                </c:pt>
                <c:pt idx="230">
                  <c:v>1005</c:v>
                </c:pt>
                <c:pt idx="231">
                  <c:v>1005</c:v>
                </c:pt>
                <c:pt idx="232">
                  <c:v>1005</c:v>
                </c:pt>
                <c:pt idx="233">
                  <c:v>1005</c:v>
                </c:pt>
                <c:pt idx="234">
                  <c:v>1100</c:v>
                </c:pt>
                <c:pt idx="235">
                  <c:v>1100</c:v>
                </c:pt>
                <c:pt idx="236">
                  <c:v>1100</c:v>
                </c:pt>
                <c:pt idx="237">
                  <c:v>1150</c:v>
                </c:pt>
                <c:pt idx="238">
                  <c:v>1150</c:v>
                </c:pt>
                <c:pt idx="239">
                  <c:v>1037.5</c:v>
                </c:pt>
                <c:pt idx="240">
                  <c:v>1000</c:v>
                </c:pt>
                <c:pt idx="241">
                  <c:v>1000</c:v>
                </c:pt>
                <c:pt idx="242">
                  <c:v>1000</c:v>
                </c:pt>
                <c:pt idx="243">
                  <c:v>1000</c:v>
                </c:pt>
                <c:pt idx="244">
                  <c:v>1000</c:v>
                </c:pt>
                <c:pt idx="245">
                  <c:v>987.5</c:v>
                </c:pt>
                <c:pt idx="246">
                  <c:v>962.5</c:v>
                </c:pt>
                <c:pt idx="247">
                  <c:v>925</c:v>
                </c:pt>
                <c:pt idx="248">
                  <c:v>925</c:v>
                </c:pt>
                <c:pt idx="249">
                  <c:v>925</c:v>
                </c:pt>
                <c:pt idx="250">
                  <c:v>925</c:v>
                </c:pt>
                <c:pt idx="251">
                  <c:v>875</c:v>
                </c:pt>
                <c:pt idx="252">
                  <c:v>850</c:v>
                </c:pt>
                <c:pt idx="253">
                  <c:v>850</c:v>
                </c:pt>
                <c:pt idx="254">
                  <c:v>850</c:v>
                </c:pt>
                <c:pt idx="255">
                  <c:v>825</c:v>
                </c:pt>
                <c:pt idx="256">
                  <c:v>825</c:v>
                </c:pt>
                <c:pt idx="257">
                  <c:v>825</c:v>
                </c:pt>
                <c:pt idx="258">
                  <c:v>825</c:v>
                </c:pt>
                <c:pt idx="259">
                  <c:v>825</c:v>
                </c:pt>
                <c:pt idx="260">
                  <c:v>825</c:v>
                </c:pt>
                <c:pt idx="261">
                  <c:v>825</c:v>
                </c:pt>
                <c:pt idx="262">
                  <c:v>787.5</c:v>
                </c:pt>
                <c:pt idx="263">
                  <c:v>787.5</c:v>
                </c:pt>
                <c:pt idx="264">
                  <c:v>787.5</c:v>
                </c:pt>
                <c:pt idx="265">
                  <c:v>775</c:v>
                </c:pt>
                <c:pt idx="266">
                  <c:v>790</c:v>
                </c:pt>
                <c:pt idx="267">
                  <c:v>787.5</c:v>
                </c:pt>
                <c:pt idx="268">
                  <c:v>787.5</c:v>
                </c:pt>
                <c:pt idx="269">
                  <c:v>775</c:v>
                </c:pt>
                <c:pt idx="270">
                  <c:v>775</c:v>
                </c:pt>
                <c:pt idx="271">
                  <c:v>775</c:v>
                </c:pt>
                <c:pt idx="272">
                  <c:v>775</c:v>
                </c:pt>
                <c:pt idx="273">
                  <c:v>775</c:v>
                </c:pt>
                <c:pt idx="274">
                  <c:v>775</c:v>
                </c:pt>
                <c:pt idx="275">
                  <c:v>800</c:v>
                </c:pt>
                <c:pt idx="276">
                  <c:v>800</c:v>
                </c:pt>
                <c:pt idx="277">
                  <c:v>800</c:v>
                </c:pt>
                <c:pt idx="278">
                  <c:v>800</c:v>
                </c:pt>
                <c:pt idx="279">
                  <c:v>787.5</c:v>
                </c:pt>
                <c:pt idx="280">
                  <c:v>775</c:v>
                </c:pt>
                <c:pt idx="281">
                  <c:v>775</c:v>
                </c:pt>
                <c:pt idx="282">
                  <c:v>775</c:v>
                </c:pt>
                <c:pt idx="283">
                  <c:v>775</c:v>
                </c:pt>
                <c:pt idx="284">
                  <c:v>775</c:v>
                </c:pt>
                <c:pt idx="285">
                  <c:v>775</c:v>
                </c:pt>
                <c:pt idx="286">
                  <c:v>750</c:v>
                </c:pt>
                <c:pt idx="287">
                  <c:v>750</c:v>
                </c:pt>
                <c:pt idx="288">
                  <c:v>725</c:v>
                </c:pt>
                <c:pt idx="289">
                  <c:v>725</c:v>
                </c:pt>
                <c:pt idx="290">
                  <c:v>762.5</c:v>
                </c:pt>
                <c:pt idx="291">
                  <c:v>762.5</c:v>
                </c:pt>
                <c:pt idx="292">
                  <c:v>762.5</c:v>
                </c:pt>
                <c:pt idx="293">
                  <c:v>750</c:v>
                </c:pt>
                <c:pt idx="294">
                  <c:v>762.5</c:v>
                </c:pt>
                <c:pt idx="295">
                  <c:v>765</c:v>
                </c:pt>
                <c:pt idx="296">
                  <c:v>765</c:v>
                </c:pt>
                <c:pt idx="297">
                  <c:v>787.5</c:v>
                </c:pt>
                <c:pt idx="298">
                  <c:v>787.5</c:v>
                </c:pt>
                <c:pt idx="299">
                  <c:v>787.5</c:v>
                </c:pt>
                <c:pt idx="300">
                  <c:v>800</c:v>
                </c:pt>
                <c:pt idx="301">
                  <c:v>850</c:v>
                </c:pt>
                <c:pt idx="302">
                  <c:v>850</c:v>
                </c:pt>
                <c:pt idx="303">
                  <c:v>837.5</c:v>
                </c:pt>
                <c:pt idx="304">
                  <c:v>812.5</c:v>
                </c:pt>
                <c:pt idx="305">
                  <c:v>812.5</c:v>
                </c:pt>
                <c:pt idx="306">
                  <c:v>812.5</c:v>
                </c:pt>
                <c:pt idx="307">
                  <c:v>812.5</c:v>
                </c:pt>
                <c:pt idx="308">
                  <c:v>800</c:v>
                </c:pt>
                <c:pt idx="309">
                  <c:v>775</c:v>
                </c:pt>
                <c:pt idx="310">
                  <c:v>687.5</c:v>
                </c:pt>
                <c:pt idx="311">
                  <c:v>650</c:v>
                </c:pt>
                <c:pt idx="312">
                  <c:v>650</c:v>
                </c:pt>
                <c:pt idx="313">
                  <c:v>650</c:v>
                </c:pt>
                <c:pt idx="314">
                  <c:v>650</c:v>
                </c:pt>
                <c:pt idx="315">
                  <c:v>612.5</c:v>
                </c:pt>
                <c:pt idx="316">
                  <c:v>612.5</c:v>
                </c:pt>
                <c:pt idx="317">
                  <c:v>612.5</c:v>
                </c:pt>
                <c:pt idx="318">
                  <c:v>612.5</c:v>
                </c:pt>
                <c:pt idx="319">
                  <c:v>612.5</c:v>
                </c:pt>
                <c:pt idx="320">
                  <c:v>612.5</c:v>
                </c:pt>
                <c:pt idx="321">
                  <c:v>575</c:v>
                </c:pt>
                <c:pt idx="322">
                  <c:v>575</c:v>
                </c:pt>
                <c:pt idx="323">
                  <c:v>575</c:v>
                </c:pt>
                <c:pt idx="324">
                  <c:v>550</c:v>
                </c:pt>
                <c:pt idx="325">
                  <c:v>575</c:v>
                </c:pt>
                <c:pt idx="326">
                  <c:v>575</c:v>
                </c:pt>
                <c:pt idx="327">
                  <c:v>575</c:v>
                </c:pt>
                <c:pt idx="328">
                  <c:v>550</c:v>
                </c:pt>
                <c:pt idx="329">
                  <c:v>550</c:v>
                </c:pt>
                <c:pt idx="330">
                  <c:v>575</c:v>
                </c:pt>
                <c:pt idx="331">
                  <c:v>575</c:v>
                </c:pt>
                <c:pt idx="332">
                  <c:v>575</c:v>
                </c:pt>
                <c:pt idx="333">
                  <c:v>575</c:v>
                </c:pt>
                <c:pt idx="334">
                  <c:v>575</c:v>
                </c:pt>
                <c:pt idx="335">
                  <c:v>575</c:v>
                </c:pt>
                <c:pt idx="336">
                  <c:v>575</c:v>
                </c:pt>
                <c:pt idx="337">
                  <c:v>575</c:v>
                </c:pt>
                <c:pt idx="338">
                  <c:v>562.5</c:v>
                </c:pt>
                <c:pt idx="339">
                  <c:v>562.5</c:v>
                </c:pt>
                <c:pt idx="340">
                  <c:v>562.5</c:v>
                </c:pt>
                <c:pt idx="341">
                  <c:v>562.5</c:v>
                </c:pt>
                <c:pt idx="342">
                  <c:v>562.5</c:v>
                </c:pt>
                <c:pt idx="343">
                  <c:v>562.5</c:v>
                </c:pt>
                <c:pt idx="344">
                  <c:v>562.5</c:v>
                </c:pt>
                <c:pt idx="345">
                  <c:v>562.5</c:v>
                </c:pt>
                <c:pt idx="346">
                  <c:v>562.5</c:v>
                </c:pt>
                <c:pt idx="347">
                  <c:v>562.5</c:v>
                </c:pt>
                <c:pt idx="348">
                  <c:v>562.5</c:v>
                </c:pt>
                <c:pt idx="349">
                  <c:v>562.5</c:v>
                </c:pt>
                <c:pt idx="350">
                  <c:v>562.5</c:v>
                </c:pt>
                <c:pt idx="351">
                  <c:v>562.5</c:v>
                </c:pt>
                <c:pt idx="352">
                  <c:v>562.5</c:v>
                </c:pt>
                <c:pt idx="353">
                  <c:v>562.5</c:v>
                </c:pt>
                <c:pt idx="354">
                  <c:v>562.5</c:v>
                </c:pt>
                <c:pt idx="355">
                  <c:v>562.5</c:v>
                </c:pt>
                <c:pt idx="356">
                  <c:v>562.5</c:v>
                </c:pt>
                <c:pt idx="357">
                  <c:v>650</c:v>
                </c:pt>
                <c:pt idx="358">
                  <c:v>650</c:v>
                </c:pt>
                <c:pt idx="359">
                  <c:v>650</c:v>
                </c:pt>
                <c:pt idx="360">
                  <c:v>650</c:v>
                </c:pt>
                <c:pt idx="361">
                  <c:v>650</c:v>
                </c:pt>
                <c:pt idx="362">
                  <c:v>650</c:v>
                </c:pt>
                <c:pt idx="363">
                  <c:v>675</c:v>
                </c:pt>
                <c:pt idx="364">
                  <c:v>675</c:v>
                </c:pt>
                <c:pt idx="365">
                  <c:v>675</c:v>
                </c:pt>
                <c:pt idx="366">
                  <c:v>675</c:v>
                </c:pt>
                <c:pt idx="367">
                  <c:v>675</c:v>
                </c:pt>
                <c:pt idx="368">
                  <c:v>675</c:v>
                </c:pt>
                <c:pt idx="369">
                  <c:v>675</c:v>
                </c:pt>
                <c:pt idx="370">
                  <c:v>675</c:v>
                </c:pt>
                <c:pt idx="371">
                  <c:v>675</c:v>
                </c:pt>
                <c:pt idx="372">
                  <c:v>675</c:v>
                </c:pt>
                <c:pt idx="373">
                  <c:v>675</c:v>
                </c:pt>
                <c:pt idx="374">
                  <c:v>675</c:v>
                </c:pt>
                <c:pt idx="375">
                  <c:v>675</c:v>
                </c:pt>
                <c:pt idx="376">
                  <c:v>675</c:v>
                </c:pt>
                <c:pt idx="377">
                  <c:v>675</c:v>
                </c:pt>
                <c:pt idx="378">
                  <c:v>675</c:v>
                </c:pt>
                <c:pt idx="379">
                  <c:v>675</c:v>
                </c:pt>
                <c:pt idx="380">
                  <c:v>675</c:v>
                </c:pt>
                <c:pt idx="381">
                  <c:v>650</c:v>
                </c:pt>
                <c:pt idx="382">
                  <c:v>650</c:v>
                </c:pt>
                <c:pt idx="383">
                  <c:v>650</c:v>
                </c:pt>
                <c:pt idx="384">
                  <c:v>650</c:v>
                </c:pt>
                <c:pt idx="385">
                  <c:v>650</c:v>
                </c:pt>
                <c:pt idx="386">
                  <c:v>650</c:v>
                </c:pt>
                <c:pt idx="387">
                  <c:v>650</c:v>
                </c:pt>
                <c:pt idx="388">
                  <c:v>650</c:v>
                </c:pt>
                <c:pt idx="389">
                  <c:v>650</c:v>
                </c:pt>
                <c:pt idx="390">
                  <c:v>650</c:v>
                </c:pt>
                <c:pt idx="391">
                  <c:v>650</c:v>
                </c:pt>
                <c:pt idx="392">
                  <c:v>650</c:v>
                </c:pt>
                <c:pt idx="393">
                  <c:v>650</c:v>
                </c:pt>
                <c:pt idx="394">
                  <c:v>650</c:v>
                </c:pt>
                <c:pt idx="395">
                  <c:v>650</c:v>
                </c:pt>
                <c:pt idx="396">
                  <c:v>650</c:v>
                </c:pt>
                <c:pt idx="397">
                  <c:v>650</c:v>
                </c:pt>
                <c:pt idx="398">
                  <c:v>650</c:v>
                </c:pt>
                <c:pt idx="399">
                  <c:v>650</c:v>
                </c:pt>
                <c:pt idx="400">
                  <c:v>650</c:v>
                </c:pt>
                <c:pt idx="401">
                  <c:v>625</c:v>
                </c:pt>
                <c:pt idx="402">
                  <c:v>625</c:v>
                </c:pt>
                <c:pt idx="403">
                  <c:v>625</c:v>
                </c:pt>
                <c:pt idx="404">
                  <c:v>625</c:v>
                </c:pt>
                <c:pt idx="405">
                  <c:v>625</c:v>
                </c:pt>
                <c:pt idx="406">
                  <c:v>625</c:v>
                </c:pt>
                <c:pt idx="407">
                  <c:v>625</c:v>
                </c:pt>
                <c:pt idx="408">
                  <c:v>612.5</c:v>
                </c:pt>
                <c:pt idx="409">
                  <c:v>612.5</c:v>
                </c:pt>
                <c:pt idx="410">
                  <c:v>612.5</c:v>
                </c:pt>
                <c:pt idx="411">
                  <c:v>612.5</c:v>
                </c:pt>
                <c:pt idx="412">
                  <c:v>612.5</c:v>
                </c:pt>
                <c:pt idx="413">
                  <c:v>612.5</c:v>
                </c:pt>
                <c:pt idx="414">
                  <c:v>625</c:v>
                </c:pt>
                <c:pt idx="415">
                  <c:v>625</c:v>
                </c:pt>
                <c:pt idx="416">
                  <c:v>625</c:v>
                </c:pt>
                <c:pt idx="417">
                  <c:v>625</c:v>
                </c:pt>
                <c:pt idx="418">
                  <c:v>625</c:v>
                </c:pt>
                <c:pt idx="419">
                  <c:v>625</c:v>
                </c:pt>
                <c:pt idx="420">
                  <c:v>625</c:v>
                </c:pt>
                <c:pt idx="421">
                  <c:v>625</c:v>
                </c:pt>
                <c:pt idx="422">
                  <c:v>625</c:v>
                </c:pt>
                <c:pt idx="423">
                  <c:v>587.5</c:v>
                </c:pt>
                <c:pt idx="424">
                  <c:v>587.5</c:v>
                </c:pt>
                <c:pt idx="425">
                  <c:v>587.5</c:v>
                </c:pt>
                <c:pt idx="426">
                  <c:v>575</c:v>
                </c:pt>
                <c:pt idx="427">
                  <c:v>575</c:v>
                </c:pt>
                <c:pt idx="428">
                  <c:v>575</c:v>
                </c:pt>
                <c:pt idx="429">
                  <c:v>575</c:v>
                </c:pt>
                <c:pt idx="430">
                  <c:v>575</c:v>
                </c:pt>
                <c:pt idx="431">
                  <c:v>575</c:v>
                </c:pt>
                <c:pt idx="432">
                  <c:v>575</c:v>
                </c:pt>
                <c:pt idx="433">
                  <c:v>575</c:v>
                </c:pt>
                <c:pt idx="434">
                  <c:v>575</c:v>
                </c:pt>
                <c:pt idx="435">
                  <c:v>575</c:v>
                </c:pt>
                <c:pt idx="436">
                  <c:v>575</c:v>
                </c:pt>
                <c:pt idx="437">
                  <c:v>575</c:v>
                </c:pt>
                <c:pt idx="438">
                  <c:v>575</c:v>
                </c:pt>
                <c:pt idx="439">
                  <c:v>575</c:v>
                </c:pt>
                <c:pt idx="440">
                  <c:v>575</c:v>
                </c:pt>
                <c:pt idx="441">
                  <c:v>562.5</c:v>
                </c:pt>
                <c:pt idx="442">
                  <c:v>575</c:v>
                </c:pt>
                <c:pt idx="443">
                  <c:v>575</c:v>
                </c:pt>
                <c:pt idx="444">
                  <c:v>525</c:v>
                </c:pt>
                <c:pt idx="445">
                  <c:v>525</c:v>
                </c:pt>
                <c:pt idx="446">
                  <c:v>525</c:v>
                </c:pt>
                <c:pt idx="447">
                  <c:v>525</c:v>
                </c:pt>
                <c:pt idx="448">
                  <c:v>525</c:v>
                </c:pt>
                <c:pt idx="449">
                  <c:v>525</c:v>
                </c:pt>
                <c:pt idx="450">
                  <c:v>525</c:v>
                </c:pt>
                <c:pt idx="451">
                  <c:v>525</c:v>
                </c:pt>
                <c:pt idx="452">
                  <c:v>525</c:v>
                </c:pt>
                <c:pt idx="453">
                  <c:v>525</c:v>
                </c:pt>
                <c:pt idx="454">
                  <c:v>525</c:v>
                </c:pt>
                <c:pt idx="455">
                  <c:v>525</c:v>
                </c:pt>
                <c:pt idx="456">
                  <c:v>525</c:v>
                </c:pt>
                <c:pt idx="457">
                  <c:v>525</c:v>
                </c:pt>
                <c:pt idx="458">
                  <c:v>525</c:v>
                </c:pt>
                <c:pt idx="459">
                  <c:v>525</c:v>
                </c:pt>
                <c:pt idx="460">
                  <c:v>525</c:v>
                </c:pt>
                <c:pt idx="461">
                  <c:v>500</c:v>
                </c:pt>
                <c:pt idx="462">
                  <c:v>500</c:v>
                </c:pt>
                <c:pt idx="463">
                  <c:v>500</c:v>
                </c:pt>
                <c:pt idx="464">
                  <c:v>475</c:v>
                </c:pt>
                <c:pt idx="465">
                  <c:v>475</c:v>
                </c:pt>
                <c:pt idx="466">
                  <c:v>475</c:v>
                </c:pt>
                <c:pt idx="467">
                  <c:v>475</c:v>
                </c:pt>
                <c:pt idx="468">
                  <c:v>500</c:v>
                </c:pt>
                <c:pt idx="469">
                  <c:v>475</c:v>
                </c:pt>
                <c:pt idx="470">
                  <c:v>475</c:v>
                </c:pt>
                <c:pt idx="471">
                  <c:v>500</c:v>
                </c:pt>
                <c:pt idx="472">
                  <c:v>500</c:v>
                </c:pt>
                <c:pt idx="473">
                  <c:v>500</c:v>
                </c:pt>
                <c:pt idx="474">
                  <c:v>500</c:v>
                </c:pt>
                <c:pt idx="475">
                  <c:v>500</c:v>
                </c:pt>
                <c:pt idx="476">
                  <c:v>500</c:v>
                </c:pt>
                <c:pt idx="477">
                  <c:v>500</c:v>
                </c:pt>
                <c:pt idx="478">
                  <c:v>500</c:v>
                </c:pt>
                <c:pt idx="479">
                  <c:v>500</c:v>
                </c:pt>
                <c:pt idx="480">
                  <c:v>500</c:v>
                </c:pt>
                <c:pt idx="481">
                  <c:v>500</c:v>
                </c:pt>
                <c:pt idx="482">
                  <c:v>375</c:v>
                </c:pt>
                <c:pt idx="483">
                  <c:v>375</c:v>
                </c:pt>
                <c:pt idx="484">
                  <c:v>375</c:v>
                </c:pt>
                <c:pt idx="485">
                  <c:v>375</c:v>
                </c:pt>
                <c:pt idx="486">
                  <c:v>375</c:v>
                </c:pt>
                <c:pt idx="487">
                  <c:v>375</c:v>
                </c:pt>
                <c:pt idx="488">
                  <c:v>375</c:v>
                </c:pt>
                <c:pt idx="489">
                  <c:v>375</c:v>
                </c:pt>
                <c:pt idx="490">
                  <c:v>375</c:v>
                </c:pt>
                <c:pt idx="491">
                  <c:v>375</c:v>
                </c:pt>
                <c:pt idx="492">
                  <c:v>375</c:v>
                </c:pt>
                <c:pt idx="493">
                  <c:v>375</c:v>
                </c:pt>
                <c:pt idx="494">
                  <c:v>375</c:v>
                </c:pt>
                <c:pt idx="495">
                  <c:v>375</c:v>
                </c:pt>
                <c:pt idx="496">
                  <c:v>375</c:v>
                </c:pt>
                <c:pt idx="497">
                  <c:v>350</c:v>
                </c:pt>
                <c:pt idx="498">
                  <c:v>350</c:v>
                </c:pt>
                <c:pt idx="499">
                  <c:v>325</c:v>
                </c:pt>
                <c:pt idx="500">
                  <c:v>325</c:v>
                </c:pt>
                <c:pt idx="501">
                  <c:v>325</c:v>
                </c:pt>
                <c:pt idx="502">
                  <c:v>325</c:v>
                </c:pt>
                <c:pt idx="503">
                  <c:v>325</c:v>
                </c:pt>
                <c:pt idx="504">
                  <c:v>325</c:v>
                </c:pt>
                <c:pt idx="505">
                  <c:v>275</c:v>
                </c:pt>
                <c:pt idx="506">
                  <c:v>275</c:v>
                </c:pt>
                <c:pt idx="507">
                  <c:v>275</c:v>
                </c:pt>
                <c:pt idx="508">
                  <c:v>275</c:v>
                </c:pt>
                <c:pt idx="509">
                  <c:v>275</c:v>
                </c:pt>
                <c:pt idx="510">
                  <c:v>275</c:v>
                </c:pt>
                <c:pt idx="511">
                  <c:v>275</c:v>
                </c:pt>
                <c:pt idx="512">
                  <c:v>250</c:v>
                </c:pt>
                <c:pt idx="513">
                  <c:v>250</c:v>
                </c:pt>
                <c:pt idx="514">
                  <c:v>250</c:v>
                </c:pt>
                <c:pt idx="515">
                  <c:v>250</c:v>
                </c:pt>
                <c:pt idx="516">
                  <c:v>250</c:v>
                </c:pt>
                <c:pt idx="517">
                  <c:v>250</c:v>
                </c:pt>
                <c:pt idx="518">
                  <c:v>250</c:v>
                </c:pt>
                <c:pt idx="519">
                  <c:v>250</c:v>
                </c:pt>
                <c:pt idx="520">
                  <c:v>250</c:v>
                </c:pt>
                <c:pt idx="521">
                  <c:v>262.5</c:v>
                </c:pt>
                <c:pt idx="522">
                  <c:v>262.5</c:v>
                </c:pt>
                <c:pt idx="523">
                  <c:v>262.5</c:v>
                </c:pt>
                <c:pt idx="524">
                  <c:v>262.5</c:v>
                </c:pt>
                <c:pt idx="525">
                  <c:v>262.5</c:v>
                </c:pt>
                <c:pt idx="526">
                  <c:v>262.5</c:v>
                </c:pt>
                <c:pt idx="527">
                  <c:v>262.5</c:v>
                </c:pt>
                <c:pt idx="528">
                  <c:v>262.5</c:v>
                </c:pt>
                <c:pt idx="529">
                  <c:v>262.5</c:v>
                </c:pt>
                <c:pt idx="530">
                  <c:v>262.5</c:v>
                </c:pt>
                <c:pt idx="531">
                  <c:v>262.5</c:v>
                </c:pt>
                <c:pt idx="532">
                  <c:v>250</c:v>
                </c:pt>
                <c:pt idx="533">
                  <c:v>250</c:v>
                </c:pt>
                <c:pt idx="534">
                  <c:v>250</c:v>
                </c:pt>
                <c:pt idx="535">
                  <c:v>250</c:v>
                </c:pt>
                <c:pt idx="536">
                  <c:v>250</c:v>
                </c:pt>
                <c:pt idx="537">
                  <c:v>250</c:v>
                </c:pt>
                <c:pt idx="538">
                  <c:v>250</c:v>
                </c:pt>
                <c:pt idx="539">
                  <c:v>237.5</c:v>
                </c:pt>
                <c:pt idx="540">
                  <c:v>237.5</c:v>
                </c:pt>
                <c:pt idx="541">
                  <c:v>237.5</c:v>
                </c:pt>
                <c:pt idx="542">
                  <c:v>237.5</c:v>
                </c:pt>
                <c:pt idx="543">
                  <c:v>237.5</c:v>
                </c:pt>
                <c:pt idx="544">
                  <c:v>237.5</c:v>
                </c:pt>
                <c:pt idx="545">
                  <c:v>237.5</c:v>
                </c:pt>
                <c:pt idx="546">
                  <c:v>237.5</c:v>
                </c:pt>
                <c:pt idx="547">
                  <c:v>237.5</c:v>
                </c:pt>
                <c:pt idx="548">
                  <c:v>237.5</c:v>
                </c:pt>
                <c:pt idx="549">
                  <c:v>237.5</c:v>
                </c:pt>
                <c:pt idx="550">
                  <c:v>237.5</c:v>
                </c:pt>
                <c:pt idx="551">
                  <c:v>237.5</c:v>
                </c:pt>
                <c:pt idx="552">
                  <c:v>237.5</c:v>
                </c:pt>
                <c:pt idx="553">
                  <c:v>225</c:v>
                </c:pt>
                <c:pt idx="554">
                  <c:v>212.5</c:v>
                </c:pt>
                <c:pt idx="555">
                  <c:v>212.5</c:v>
                </c:pt>
                <c:pt idx="556">
                  <c:v>212.5</c:v>
                </c:pt>
                <c:pt idx="557">
                  <c:v>212.5</c:v>
                </c:pt>
                <c:pt idx="558">
                  <c:v>212.5</c:v>
                </c:pt>
                <c:pt idx="559">
                  <c:v>212.5</c:v>
                </c:pt>
                <c:pt idx="560">
                  <c:v>212.5</c:v>
                </c:pt>
                <c:pt idx="561">
                  <c:v>212.5</c:v>
                </c:pt>
                <c:pt idx="562">
                  <c:v>187.5</c:v>
                </c:pt>
                <c:pt idx="563">
                  <c:v>187.5</c:v>
                </c:pt>
                <c:pt idx="564">
                  <c:v>187.5</c:v>
                </c:pt>
                <c:pt idx="565">
                  <c:v>187.5</c:v>
                </c:pt>
                <c:pt idx="566">
                  <c:v>187.5</c:v>
                </c:pt>
                <c:pt idx="567">
                  <c:v>187.5</c:v>
                </c:pt>
                <c:pt idx="568">
                  <c:v>160</c:v>
                </c:pt>
                <c:pt idx="569">
                  <c:v>142.5</c:v>
                </c:pt>
                <c:pt idx="570">
                  <c:v>142.5</c:v>
                </c:pt>
                <c:pt idx="571">
                  <c:v>142.5</c:v>
                </c:pt>
                <c:pt idx="572">
                  <c:v>142.5</c:v>
                </c:pt>
                <c:pt idx="573">
                  <c:v>142.5</c:v>
                </c:pt>
                <c:pt idx="574">
                  <c:v>142.5</c:v>
                </c:pt>
                <c:pt idx="575">
                  <c:v>145</c:v>
                </c:pt>
                <c:pt idx="576">
                  <c:v>145</c:v>
                </c:pt>
                <c:pt idx="577">
                  <c:v>145</c:v>
                </c:pt>
                <c:pt idx="578">
                  <c:v>145</c:v>
                </c:pt>
                <c:pt idx="579">
                  <c:v>145</c:v>
                </c:pt>
                <c:pt idx="580">
                  <c:v>145</c:v>
                </c:pt>
                <c:pt idx="581">
                  <c:v>145</c:v>
                </c:pt>
                <c:pt idx="582">
                  <c:v>145</c:v>
                </c:pt>
                <c:pt idx="583">
                  <c:v>145</c:v>
                </c:pt>
                <c:pt idx="584">
                  <c:v>150</c:v>
                </c:pt>
                <c:pt idx="585">
                  <c:v>150</c:v>
                </c:pt>
                <c:pt idx="586">
                  <c:v>150</c:v>
                </c:pt>
                <c:pt idx="587">
                  <c:v>150</c:v>
                </c:pt>
                <c:pt idx="588">
                  <c:v>150</c:v>
                </c:pt>
                <c:pt idx="589">
                  <c:v>150</c:v>
                </c:pt>
                <c:pt idx="590">
                  <c:v>150</c:v>
                </c:pt>
                <c:pt idx="591">
                  <c:v>150</c:v>
                </c:pt>
                <c:pt idx="592">
                  <c:v>150</c:v>
                </c:pt>
                <c:pt idx="593">
                  <c:v>150</c:v>
                </c:pt>
                <c:pt idx="594">
                  <c:v>150</c:v>
                </c:pt>
                <c:pt idx="595">
                  <c:v>150</c:v>
                </c:pt>
                <c:pt idx="596">
                  <c:v>150</c:v>
                </c:pt>
                <c:pt idx="597">
                  <c:v>150</c:v>
                </c:pt>
                <c:pt idx="598">
                  <c:v>150</c:v>
                </c:pt>
                <c:pt idx="599">
                  <c:v>150</c:v>
                </c:pt>
                <c:pt idx="600">
                  <c:v>150</c:v>
                </c:pt>
                <c:pt idx="601">
                  <c:v>150</c:v>
                </c:pt>
                <c:pt idx="602">
                  <c:v>150</c:v>
                </c:pt>
                <c:pt idx="603">
                  <c:v>150</c:v>
                </c:pt>
                <c:pt idx="604">
                  <c:v>150</c:v>
                </c:pt>
                <c:pt idx="605">
                  <c:v>150</c:v>
                </c:pt>
                <c:pt idx="606">
                  <c:v>150</c:v>
                </c:pt>
                <c:pt idx="607">
                  <c:v>150</c:v>
                </c:pt>
                <c:pt idx="608">
                  <c:v>150</c:v>
                </c:pt>
                <c:pt idx="609">
                  <c:v>150</c:v>
                </c:pt>
                <c:pt idx="610">
                  <c:v>155</c:v>
                </c:pt>
                <c:pt idx="611">
                  <c:v>155</c:v>
                </c:pt>
                <c:pt idx="612">
                  <c:v>155</c:v>
                </c:pt>
                <c:pt idx="613">
                  <c:v>155</c:v>
                </c:pt>
                <c:pt idx="614">
                  <c:v>155</c:v>
                </c:pt>
                <c:pt idx="615">
                  <c:v>155</c:v>
                </c:pt>
                <c:pt idx="616">
                  <c:v>155</c:v>
                </c:pt>
                <c:pt idx="617">
                  <c:v>155</c:v>
                </c:pt>
                <c:pt idx="618">
                  <c:v>145</c:v>
                </c:pt>
                <c:pt idx="619">
                  <c:v>145</c:v>
                </c:pt>
                <c:pt idx="620">
                  <c:v>145</c:v>
                </c:pt>
                <c:pt idx="621">
                  <c:v>145</c:v>
                </c:pt>
                <c:pt idx="622">
                  <c:v>145</c:v>
                </c:pt>
                <c:pt idx="623">
                  <c:v>145</c:v>
                </c:pt>
                <c:pt idx="624">
                  <c:v>143</c:v>
                </c:pt>
                <c:pt idx="625">
                  <c:v>140</c:v>
                </c:pt>
                <c:pt idx="626">
                  <c:v>140</c:v>
                </c:pt>
                <c:pt idx="627">
                  <c:v>140</c:v>
                </c:pt>
                <c:pt idx="628">
                  <c:v>140</c:v>
                </c:pt>
                <c:pt idx="629">
                  <c:v>140</c:v>
                </c:pt>
                <c:pt idx="630">
                  <c:v>140</c:v>
                </c:pt>
                <c:pt idx="631">
                  <c:v>140</c:v>
                </c:pt>
                <c:pt idx="632">
                  <c:v>140</c:v>
                </c:pt>
                <c:pt idx="633">
                  <c:v>130</c:v>
                </c:pt>
                <c:pt idx="634">
                  <c:v>130</c:v>
                </c:pt>
                <c:pt idx="635">
                  <c:v>130</c:v>
                </c:pt>
                <c:pt idx="636">
                  <c:v>130</c:v>
                </c:pt>
                <c:pt idx="637">
                  <c:v>130</c:v>
                </c:pt>
                <c:pt idx="638">
                  <c:v>130</c:v>
                </c:pt>
                <c:pt idx="639">
                  <c:v>130</c:v>
                </c:pt>
                <c:pt idx="640">
                  <c:v>130</c:v>
                </c:pt>
                <c:pt idx="641">
                  <c:v>130</c:v>
                </c:pt>
                <c:pt idx="642">
                  <c:v>130</c:v>
                </c:pt>
                <c:pt idx="643">
                  <c:v>130</c:v>
                </c:pt>
                <c:pt idx="644">
                  <c:v>130</c:v>
                </c:pt>
                <c:pt idx="645">
                  <c:v>130</c:v>
                </c:pt>
                <c:pt idx="646">
                  <c:v>130</c:v>
                </c:pt>
                <c:pt idx="647">
                  <c:v>130</c:v>
                </c:pt>
                <c:pt idx="648">
                  <c:v>130</c:v>
                </c:pt>
                <c:pt idx="649">
                  <c:v>130</c:v>
                </c:pt>
                <c:pt idx="650">
                  <c:v>130</c:v>
                </c:pt>
                <c:pt idx="651">
                  <c:v>130</c:v>
                </c:pt>
                <c:pt idx="652">
                  <c:v>130</c:v>
                </c:pt>
                <c:pt idx="653">
                  <c:v>130</c:v>
                </c:pt>
                <c:pt idx="654">
                  <c:v>128</c:v>
                </c:pt>
                <c:pt idx="655">
                  <c:v>128</c:v>
                </c:pt>
                <c:pt idx="656">
                  <c:v>128</c:v>
                </c:pt>
                <c:pt idx="657">
                  <c:v>128</c:v>
                </c:pt>
                <c:pt idx="658">
                  <c:v>128</c:v>
                </c:pt>
                <c:pt idx="659">
                  <c:v>128</c:v>
                </c:pt>
                <c:pt idx="660">
                  <c:v>128</c:v>
                </c:pt>
                <c:pt idx="661">
                  <c:v>128</c:v>
                </c:pt>
                <c:pt idx="662">
                  <c:v>128</c:v>
                </c:pt>
                <c:pt idx="663">
                  <c:v>128</c:v>
                </c:pt>
                <c:pt idx="664">
                  <c:v>128</c:v>
                </c:pt>
                <c:pt idx="665">
                  <c:v>128</c:v>
                </c:pt>
                <c:pt idx="666">
                  <c:v>128</c:v>
                </c:pt>
                <c:pt idx="667">
                  <c:v>128</c:v>
                </c:pt>
                <c:pt idx="668">
                  <c:v>128</c:v>
                </c:pt>
                <c:pt idx="669">
                  <c:v>128</c:v>
                </c:pt>
                <c:pt idx="670">
                  <c:v>128</c:v>
                </c:pt>
                <c:pt idx="671">
                  <c:v>128</c:v>
                </c:pt>
                <c:pt idx="672">
                  <c:v>125</c:v>
                </c:pt>
                <c:pt idx="673">
                  <c:v>125</c:v>
                </c:pt>
                <c:pt idx="674">
                  <c:v>125</c:v>
                </c:pt>
                <c:pt idx="675">
                  <c:v>120</c:v>
                </c:pt>
                <c:pt idx="676">
                  <c:v>120</c:v>
                </c:pt>
                <c:pt idx="677">
                  <c:v>120</c:v>
                </c:pt>
                <c:pt idx="678">
                  <c:v>120</c:v>
                </c:pt>
                <c:pt idx="679">
                  <c:v>120</c:v>
                </c:pt>
                <c:pt idx="680">
                  <c:v>115</c:v>
                </c:pt>
                <c:pt idx="681">
                  <c:v>115</c:v>
                </c:pt>
                <c:pt idx="682">
                  <c:v>115</c:v>
                </c:pt>
                <c:pt idx="683">
                  <c:v>115</c:v>
                </c:pt>
                <c:pt idx="684">
                  <c:v>115</c:v>
                </c:pt>
                <c:pt idx="685">
                  <c:v>113</c:v>
                </c:pt>
                <c:pt idx="686">
                  <c:v>113</c:v>
                </c:pt>
                <c:pt idx="687">
                  <c:v>113</c:v>
                </c:pt>
                <c:pt idx="688">
                  <c:v>113</c:v>
                </c:pt>
                <c:pt idx="689">
                  <c:v>100</c:v>
                </c:pt>
                <c:pt idx="690">
                  <c:v>100</c:v>
                </c:pt>
                <c:pt idx="691">
                  <c:v>100</c:v>
                </c:pt>
                <c:pt idx="692">
                  <c:v>100</c:v>
                </c:pt>
                <c:pt idx="693">
                  <c:v>100</c:v>
                </c:pt>
                <c:pt idx="694">
                  <c:v>100</c:v>
                </c:pt>
                <c:pt idx="695">
                  <c:v>100</c:v>
                </c:pt>
                <c:pt idx="696">
                  <c:v>100</c:v>
                </c:pt>
                <c:pt idx="697">
                  <c:v>100</c:v>
                </c:pt>
                <c:pt idx="698">
                  <c:v>100</c:v>
                </c:pt>
                <c:pt idx="699">
                  <c:v>100</c:v>
                </c:pt>
                <c:pt idx="700">
                  <c:v>100</c:v>
                </c:pt>
                <c:pt idx="701">
                  <c:v>75</c:v>
                </c:pt>
                <c:pt idx="702">
                  <c:v>75</c:v>
                </c:pt>
                <c:pt idx="703">
                  <c:v>75</c:v>
                </c:pt>
                <c:pt idx="704">
                  <c:v>75</c:v>
                </c:pt>
                <c:pt idx="705">
                  <c:v>75</c:v>
                </c:pt>
                <c:pt idx="706">
                  <c:v>75</c:v>
                </c:pt>
                <c:pt idx="707">
                  <c:v>75</c:v>
                </c:pt>
                <c:pt idx="708">
                  <c:v>75</c:v>
                </c:pt>
                <c:pt idx="709">
                  <c:v>75</c:v>
                </c:pt>
                <c:pt idx="710">
                  <c:v>75</c:v>
                </c:pt>
                <c:pt idx="711">
                  <c:v>75</c:v>
                </c:pt>
                <c:pt idx="712">
                  <c:v>75</c:v>
                </c:pt>
                <c:pt idx="713">
                  <c:v>75</c:v>
                </c:pt>
                <c:pt idx="714">
                  <c:v>75</c:v>
                </c:pt>
                <c:pt idx="715">
                  <c:v>75</c:v>
                </c:pt>
                <c:pt idx="716">
                  <c:v>75</c:v>
                </c:pt>
                <c:pt idx="717">
                  <c:v>75</c:v>
                </c:pt>
                <c:pt idx="718">
                  <c:v>75</c:v>
                </c:pt>
                <c:pt idx="719">
                  <c:v>75</c:v>
                </c:pt>
                <c:pt idx="720">
                  <c:v>75</c:v>
                </c:pt>
                <c:pt idx="721">
                  <c:v>75</c:v>
                </c:pt>
                <c:pt idx="722">
                  <c:v>75</c:v>
                </c:pt>
                <c:pt idx="723">
                  <c:v>75</c:v>
                </c:pt>
                <c:pt idx="724">
                  <c:v>75</c:v>
                </c:pt>
                <c:pt idx="725">
                  <c:v>75</c:v>
                </c:pt>
                <c:pt idx="726">
                  <c:v>75</c:v>
                </c:pt>
                <c:pt idx="727">
                  <c:v>75</c:v>
                </c:pt>
                <c:pt idx="728">
                  <c:v>75</c:v>
                </c:pt>
                <c:pt idx="729">
                  <c:v>75</c:v>
                </c:pt>
                <c:pt idx="730">
                  <c:v>70</c:v>
                </c:pt>
                <c:pt idx="731" formatCode="&quot;$&quot;#,##0.00_);\(&quot;$&quot;#,##0.00\)">
                  <c:v>67.5</c:v>
                </c:pt>
                <c:pt idx="732" formatCode="&quot;$&quot;#,##0.00_);\(&quot;$&quot;#,##0.00\)">
                  <c:v>67.5</c:v>
                </c:pt>
                <c:pt idx="733" formatCode="&quot;$&quot;#,##0.00_);\(&quot;$&quot;#,##0.00\)">
                  <c:v>67.5</c:v>
                </c:pt>
                <c:pt idx="734" formatCode="&quot;$&quot;#,##0.00_);\(&quot;$&quot;#,##0.00\)">
                  <c:v>60</c:v>
                </c:pt>
                <c:pt idx="735" formatCode="&quot;$&quot;#,##0.00_);\(&quot;$&quot;#,##0.00\)">
                  <c:v>60</c:v>
                </c:pt>
                <c:pt idx="736" formatCode="&quot;$&quot;#,##0.00_);\(&quot;$&quot;#,##0.00\)">
                  <c:v>60</c:v>
                </c:pt>
                <c:pt idx="737" formatCode="&quot;$&quot;#,##0.00_);\(&quot;$&quot;#,##0.00\)">
                  <c:v>60</c:v>
                </c:pt>
                <c:pt idx="738" formatCode="&quot;$&quot;#,##0.00_);\(&quot;$&quot;#,##0.00\)">
                  <c:v>60</c:v>
                </c:pt>
                <c:pt idx="739" formatCode="&quot;$&quot;#,##0.00_);\(&quot;$&quot;#,##0.00\)">
                  <c:v>60</c:v>
                </c:pt>
                <c:pt idx="740" formatCode="&quot;$&quot;#,##0.00_);\(&quot;$&quot;#,##0.00\)">
                  <c:v>45</c:v>
                </c:pt>
                <c:pt idx="741" formatCode="&quot;$&quot;#,##0.00_);\(&quot;$&quot;#,##0.00\)">
                  <c:v>50</c:v>
                </c:pt>
                <c:pt idx="742" formatCode="&quot;$&quot;#,##0.00_);\(&quot;$&quot;#,##0.00\)">
                  <c:v>50</c:v>
                </c:pt>
                <c:pt idx="743" formatCode="&quot;$&quot;#,##0.00_);\(&quot;$&quot;#,##0.00\)">
                  <c:v>50</c:v>
                </c:pt>
                <c:pt idx="744" formatCode="&quot;$&quot;#,##0.00_);\(&quot;$&quot;#,##0.00\)">
                  <c:v>50</c:v>
                </c:pt>
                <c:pt idx="745" formatCode="&quot;$&quot;#,##0.00_);\(&quot;$&quot;#,##0.00\)">
                  <c:v>50</c:v>
                </c:pt>
                <c:pt idx="746" formatCode="&quot;$&quot;#,##0.00_);\(&quot;$&quot;#,##0.00\)">
                  <c:v>50</c:v>
                </c:pt>
                <c:pt idx="747" formatCode="&quot;$&quot;#,##0.00_);\(&quot;$&quot;#,##0.00\)">
                  <c:v>50</c:v>
                </c:pt>
                <c:pt idx="748" formatCode="&quot;$&quot;#,##0.00_);\(&quot;$&quot;#,##0.00\)">
                  <c:v>50</c:v>
                </c:pt>
                <c:pt idx="749" formatCode="&quot;$&quot;#,##0.00_);\(&quot;$&quot;#,##0.00\)">
                  <c:v>50</c:v>
                </c:pt>
                <c:pt idx="750" formatCode="&quot;$&quot;#,##0.00_);\(&quot;$&quot;#,##0.00\)">
                  <c:v>50</c:v>
                </c:pt>
                <c:pt idx="751" formatCode="&quot;$&quot;#,##0.00_);\(&quot;$&quot;#,##0.00\)">
                  <c:v>50</c:v>
                </c:pt>
                <c:pt idx="752" formatCode="&quot;$&quot;#,##0.00_);\(&quot;$&quot;#,##0.00\)">
                  <c:v>50</c:v>
                </c:pt>
                <c:pt idx="753" formatCode="&quot;$&quot;#,##0.00_);\(&quot;$&quot;#,##0.00\)">
                  <c:v>50</c:v>
                </c:pt>
                <c:pt idx="754" formatCode="&quot;$&quot;#,##0.00_);\(&quot;$&quot;#,##0.00\)">
                  <c:v>50</c:v>
                </c:pt>
                <c:pt idx="755" formatCode="&quot;$&quot;#,##0.00_);\(&quot;$&quot;#,##0.00\)">
                  <c:v>50</c:v>
                </c:pt>
                <c:pt idx="756" formatCode="&quot;$&quot;#,##0.00_);\(&quot;$&quot;#,##0.00\)">
                  <c:v>52.5</c:v>
                </c:pt>
                <c:pt idx="757" formatCode="&quot;$&quot;#,##0.00_);\(&quot;$&quot;#,##0.00\)">
                  <c:v>52.5</c:v>
                </c:pt>
                <c:pt idx="758" formatCode="&quot;$&quot;#,##0.00_);\(&quot;$&quot;#,##0.00\)">
                  <c:v>52.5</c:v>
                </c:pt>
                <c:pt idx="759" formatCode="&quot;$&quot;#,##0.00_);\(&quot;$&quot;#,##0.00\)">
                  <c:v>52.5</c:v>
                </c:pt>
                <c:pt idx="760" formatCode="&quot;$&quot;#,##0.00_);\(&quot;$&quot;#,##0.00\)">
                  <c:v>52.5</c:v>
                </c:pt>
                <c:pt idx="761" formatCode="&quot;$&quot;#,##0.00_);\(&quot;$&quot;#,##0.00\)">
                  <c:v>52.5</c:v>
                </c:pt>
                <c:pt idx="762" formatCode="&quot;$&quot;#,##0.00_);\(&quot;$&quot;#,##0.00\)">
                  <c:v>52.5</c:v>
                </c:pt>
                <c:pt idx="763" formatCode="&quot;$&quot;#,##0.00_);\(&quot;$&quot;#,##0.00\)">
                  <c:v>52.5</c:v>
                </c:pt>
                <c:pt idx="764" formatCode="&quot;$&quot;#,##0.00_);\(&quot;$&quot;#,##0.00\)">
                  <c:v>52.5</c:v>
                </c:pt>
                <c:pt idx="765" formatCode="&quot;$&quot;#,##0.00_);\(&quot;$&quot;#,##0.00\)">
                  <c:v>52.5</c:v>
                </c:pt>
                <c:pt idx="766" formatCode="&quot;$&quot;#,##0.00_);\(&quot;$&quot;#,##0.00\)">
                  <c:v>52.5</c:v>
                </c:pt>
                <c:pt idx="767" formatCode="&quot;$&quot;#,##0.00_);\(&quot;$&quot;#,##0.00\)">
                  <c:v>52.5</c:v>
                </c:pt>
                <c:pt idx="768" formatCode="&quot;$&quot;#,##0.00_);\(&quot;$&quot;#,##0.00\)">
                  <c:v>52.5</c:v>
                </c:pt>
                <c:pt idx="769" formatCode="&quot;$&quot;#,##0.00_);\(&quot;$&quot;#,##0.00\)">
                  <c:v>52.5</c:v>
                </c:pt>
                <c:pt idx="770" formatCode="&quot;$&quot;#,##0.00_);\(&quot;$&quot;#,##0.00\)">
                  <c:v>52.5</c:v>
                </c:pt>
                <c:pt idx="771" formatCode="&quot;$&quot;#,##0.00_);\(&quot;$&quot;#,##0.00\)">
                  <c:v>52.5</c:v>
                </c:pt>
                <c:pt idx="772" formatCode="&quot;$&quot;#,##0.00_);\(&quot;$&quot;#,##0.00\)">
                  <c:v>52.5</c:v>
                </c:pt>
                <c:pt idx="773" formatCode="&quot;$&quot;#,##0.00_);\(&quot;$&quot;#,##0.00\)">
                  <c:v>52.5</c:v>
                </c:pt>
                <c:pt idx="774" formatCode="&quot;$&quot;#,##0.00_);\(&quot;$&quot;#,##0.00\)">
                  <c:v>52.5</c:v>
                </c:pt>
                <c:pt idx="775" formatCode="&quot;$&quot;#,##0.00_);\(&quot;$&quot;#,##0.00\)">
                  <c:v>52.5</c:v>
                </c:pt>
                <c:pt idx="776" formatCode="&quot;$&quot;#,##0.00_);\(&quot;$&quot;#,##0.00\)">
                  <c:v>52.5</c:v>
                </c:pt>
                <c:pt idx="777" formatCode="&quot;$&quot;#,##0.00_);\(&quot;$&quot;#,##0.00\)">
                  <c:v>52.5</c:v>
                </c:pt>
                <c:pt idx="778" formatCode="&quot;$&quot;#,##0.00_);\(&quot;$&quot;#,##0.00\)">
                  <c:v>52.5</c:v>
                </c:pt>
                <c:pt idx="779" formatCode="&quot;$&quot;#,##0.00_);\(&quot;$&quot;#,##0.00\)">
                  <c:v>52.5</c:v>
                </c:pt>
                <c:pt idx="780" formatCode="&quot;$&quot;#,##0.00_);\(&quot;$&quot;#,##0.00\)">
                  <c:v>52.5</c:v>
                </c:pt>
                <c:pt idx="781" formatCode="&quot;$&quot;#,##0.00_);\(&quot;$&quot;#,##0.00\)">
                  <c:v>52.5</c:v>
                </c:pt>
                <c:pt idx="782" formatCode="&quot;$&quot;#,##0.00_);\(&quot;$&quot;#,##0.00\)">
                  <c:v>52.5</c:v>
                </c:pt>
                <c:pt idx="783" formatCode="&quot;$&quot;#,##0.00_);\(&quot;$&quot;#,##0.00\)">
                  <c:v>52.5</c:v>
                </c:pt>
                <c:pt idx="784" formatCode="&quot;$&quot;#,##0.00_);\(&quot;$&quot;#,##0.00\)">
                  <c:v>52.5</c:v>
                </c:pt>
                <c:pt idx="785" formatCode="&quot;$&quot;#,##0.00_);\(&quot;$&quot;#,##0.00\)">
                  <c:v>52.5</c:v>
                </c:pt>
                <c:pt idx="786" formatCode="&quot;$&quot;#,##0.00_);\(&quot;$&quot;#,##0.00\)">
                  <c:v>52.5</c:v>
                </c:pt>
                <c:pt idx="787" formatCode="&quot;$&quot;#,##0.00_);\(&quot;$&quot;#,##0.00\)">
                  <c:v>45</c:v>
                </c:pt>
                <c:pt idx="788" formatCode="&quot;$&quot;#,##0.00_);\(&quot;$&quot;#,##0.00\)">
                  <c:v>45</c:v>
                </c:pt>
                <c:pt idx="789" formatCode="&quot;$&quot;#,##0.00_);\(&quot;$&quot;#,##0.00\)">
                  <c:v>45</c:v>
                </c:pt>
                <c:pt idx="790" formatCode="&quot;$&quot;#,##0.00_);\(&quot;$&quot;#,##0.00\)">
                  <c:v>45</c:v>
                </c:pt>
                <c:pt idx="791" formatCode="&quot;$&quot;#,##0.00_);\(&quot;$&quot;#,##0.00\)">
                  <c:v>45</c:v>
                </c:pt>
                <c:pt idx="792" formatCode="&quot;$&quot;#,##0.00_);\(&quot;$&quot;#,##0.00\)">
                  <c:v>45</c:v>
                </c:pt>
                <c:pt idx="793" formatCode="&quot;$&quot;#,##0.00_);\(&quot;$&quot;#,##0.00\)">
                  <c:v>45</c:v>
                </c:pt>
                <c:pt idx="794" formatCode="&quot;$&quot;#,##0.00_);\(&quot;$&quot;#,##0.00\)">
                  <c:v>45</c:v>
                </c:pt>
                <c:pt idx="795" formatCode="&quot;$&quot;#,##0.00_);\(&quot;$&quot;#,##0.00\)">
                  <c:v>45</c:v>
                </c:pt>
                <c:pt idx="796" formatCode="&quot;$&quot;#,##0.00_);\(&quot;$&quot;#,##0.00\)">
                  <c:v>45</c:v>
                </c:pt>
                <c:pt idx="797" formatCode="&quot;$&quot;#,##0.00_);\(&quot;$&quot;#,##0.00\)">
                  <c:v>45</c:v>
                </c:pt>
                <c:pt idx="798" formatCode="&quot;$&quot;#,##0.00_);\(&quot;$&quot;#,##0.00\)">
                  <c:v>45</c:v>
                </c:pt>
                <c:pt idx="799" formatCode="&quot;$&quot;#,##0.00_);\(&quot;$&quot;#,##0.00\)">
                  <c:v>45</c:v>
                </c:pt>
                <c:pt idx="800" formatCode="&quot;$&quot;#,##0.00_);\(&quot;$&quot;#,##0.00\)">
                  <c:v>45</c:v>
                </c:pt>
                <c:pt idx="801" formatCode="&quot;$&quot;#,##0.00_);\(&quot;$&quot;#,##0.00\)">
                  <c:v>45</c:v>
                </c:pt>
                <c:pt idx="802" formatCode="&quot;$&quot;#,##0.00_);\(&quot;$&quot;#,##0.00\)">
                  <c:v>42.5</c:v>
                </c:pt>
                <c:pt idx="803" formatCode="&quot;$&quot;#,##0.00_);\(&quot;$&quot;#,##0.00\)">
                  <c:v>42.5</c:v>
                </c:pt>
                <c:pt idx="804" formatCode="&quot;$&quot;#,##0.00_);\(&quot;$&quot;#,##0.00\)">
                  <c:v>42.5</c:v>
                </c:pt>
                <c:pt idx="805" formatCode="&quot;$&quot;#,##0.00_);\(&quot;$&quot;#,##0.00\)">
                  <c:v>42.5</c:v>
                </c:pt>
                <c:pt idx="806" formatCode="&quot;$&quot;#,##0.00_);\(&quot;$&quot;#,##0.00\)">
                  <c:v>42.5</c:v>
                </c:pt>
                <c:pt idx="807" formatCode="&quot;$&quot;#,##0.00_);\(&quot;$&quot;#,##0.00\)">
                  <c:v>42.5</c:v>
                </c:pt>
                <c:pt idx="808" formatCode="&quot;$&quot;#,##0.00_);\(&quot;$&quot;#,##0.00\)">
                  <c:v>42.5</c:v>
                </c:pt>
                <c:pt idx="809" formatCode="&quot;$&quot;#,##0.00_);\(&quot;$&quot;#,##0.00\)">
                  <c:v>42.5</c:v>
                </c:pt>
                <c:pt idx="810" formatCode="&quot;$&quot;#,##0.00_);\(&quot;$&quot;#,##0.00\)">
                  <c:v>42.5</c:v>
                </c:pt>
                <c:pt idx="811" formatCode="&quot;$&quot;#,##0.00_);\(&quot;$&quot;#,##0.00\)">
                  <c:v>42.5</c:v>
                </c:pt>
                <c:pt idx="812" formatCode="&quot;$&quot;#,##0.00_);\(&quot;$&quot;#,##0.00\)">
                  <c:v>42.5</c:v>
                </c:pt>
                <c:pt idx="813" formatCode="&quot;$&quot;#,##0.00_);\(&quot;$&quot;#,##0.00\)">
                  <c:v>42.5</c:v>
                </c:pt>
                <c:pt idx="814" formatCode="&quot;$&quot;#,##0.00_);\(&quot;$&quot;#,##0.00\)">
                  <c:v>42.5</c:v>
                </c:pt>
                <c:pt idx="815" formatCode="&quot;$&quot;#,##0.00_);\(&quot;$&quot;#,##0.00\)">
                  <c:v>42.5</c:v>
                </c:pt>
                <c:pt idx="816" formatCode="&quot;$&quot;#,##0.00_);\(&quot;$&quot;#,##0.00\)">
                  <c:v>37.5</c:v>
                </c:pt>
                <c:pt idx="817" formatCode="&quot;$&quot;#,##0.00_);\(&quot;$&quot;#,##0.00\)">
                  <c:v>37.5</c:v>
                </c:pt>
                <c:pt idx="818" formatCode="&quot;$&quot;#,##0.00_);\(&quot;$&quot;#,##0.00\)">
                  <c:v>37.5</c:v>
                </c:pt>
                <c:pt idx="819" formatCode="&quot;$&quot;#,##0.00_);\(&quot;$&quot;#,##0.00\)">
                  <c:v>37.5</c:v>
                </c:pt>
                <c:pt idx="820" formatCode="&quot;$&quot;#,##0.00_);\(&quot;$&quot;#,##0.00\)">
                  <c:v>37.5</c:v>
                </c:pt>
                <c:pt idx="821" formatCode="&quot;$&quot;#,##0.00_);\(&quot;$&quot;#,##0.00\)">
                  <c:v>37.5</c:v>
                </c:pt>
                <c:pt idx="822" formatCode="&quot;$&quot;#,##0.00_);\(&quot;$&quot;#,##0.00\)">
                  <c:v>37.5</c:v>
                </c:pt>
                <c:pt idx="823" formatCode="&quot;$&quot;#,##0.00_);\(&quot;$&quot;#,##0.00\)">
                  <c:v>37.5</c:v>
                </c:pt>
                <c:pt idx="824" formatCode="&quot;$&quot;#,##0.00_);\(&quot;$&quot;#,##0.00\)">
                  <c:v>37.5</c:v>
                </c:pt>
                <c:pt idx="825" formatCode="&quot;$&quot;#,##0.00_);\(&quot;$&quot;#,##0.00\)">
                  <c:v>37.5</c:v>
                </c:pt>
                <c:pt idx="826" formatCode="&quot;$&quot;#,##0.00_);\(&quot;$&quot;#,##0.00\)">
                  <c:v>37.5</c:v>
                </c:pt>
                <c:pt idx="827" formatCode="&quot;$&quot;#,##0.00_);\(&quot;$&quot;#,##0.00\)">
                  <c:v>37.5</c:v>
                </c:pt>
                <c:pt idx="828" formatCode="&quot;$&quot;#,##0.00_);\(&quot;$&quot;#,##0.00\)">
                  <c:v>37.5</c:v>
                </c:pt>
                <c:pt idx="829" formatCode="&quot;$&quot;#,##0.00_);\(&quot;$&quot;#,##0.00\)">
                  <c:v>32.5</c:v>
                </c:pt>
                <c:pt idx="830" formatCode="&quot;$&quot;#,##0.00_);\(&quot;$&quot;#,##0.00\)">
                  <c:v>32.5</c:v>
                </c:pt>
                <c:pt idx="831" formatCode="&quot;$&quot;#,##0.00_);\(&quot;$&quot;#,##0.00\)">
                  <c:v>32.5</c:v>
                </c:pt>
                <c:pt idx="832" formatCode="&quot;$&quot;#,##0.00_);\(&quot;$&quot;#,##0.00\)">
                  <c:v>32.5</c:v>
                </c:pt>
                <c:pt idx="833" formatCode="&quot;$&quot;#,##0.00_);\(&quot;$&quot;#,##0.00\)">
                  <c:v>32.5</c:v>
                </c:pt>
                <c:pt idx="834" formatCode="&quot;$&quot;#,##0.00_);\(&quot;$&quot;#,##0.00\)">
                  <c:v>32.5</c:v>
                </c:pt>
                <c:pt idx="835" formatCode="&quot;$&quot;#,##0.00_);\(&quot;$&quot;#,##0.00\)">
                  <c:v>32.5</c:v>
                </c:pt>
                <c:pt idx="836" formatCode="&quot;$&quot;#,##0.00_);\(&quot;$&quot;#,##0.00\)">
                  <c:v>32.5</c:v>
                </c:pt>
                <c:pt idx="837" formatCode="&quot;$&quot;#,##0.00_);\(&quot;$&quot;#,##0.00\)">
                  <c:v>32.5</c:v>
                </c:pt>
                <c:pt idx="838" formatCode="&quot;$&quot;#,##0.00_);\(&quot;$&quot;#,##0.00\)">
                  <c:v>32.5</c:v>
                </c:pt>
                <c:pt idx="839" formatCode="&quot;$&quot;#,##0.00_);\(&quot;$&quot;#,##0.00\)">
                  <c:v>32.5</c:v>
                </c:pt>
                <c:pt idx="840" formatCode="&quot;$&quot;#,##0.00_);\(&quot;$&quot;#,##0.00\)">
                  <c:v>32.5</c:v>
                </c:pt>
                <c:pt idx="841" formatCode="&quot;$&quot;#,##0.00_);\(&quot;$&quot;#,##0.00\)">
                  <c:v>32.5</c:v>
                </c:pt>
                <c:pt idx="842" formatCode="&quot;$&quot;#,##0.00_);\(&quot;$&quot;#,##0.00\)">
                  <c:v>32.5</c:v>
                </c:pt>
                <c:pt idx="843" formatCode="&quot;$&quot;#,##0.00_);\(&quot;$&quot;#,##0.00\)">
                  <c:v>32.5</c:v>
                </c:pt>
                <c:pt idx="844" formatCode="&quot;$&quot;#,##0.00_);\(&quot;$&quot;#,##0.00\)">
                  <c:v>32.5</c:v>
                </c:pt>
                <c:pt idx="845" formatCode="&quot;$&quot;#,##0.00_);\(&quot;$&quot;#,##0.00\)">
                  <c:v>32.5</c:v>
                </c:pt>
                <c:pt idx="846" formatCode="&quot;$&quot;#,##0.00_);\(&quot;$&quot;#,##0.00\)">
                  <c:v>32.5</c:v>
                </c:pt>
                <c:pt idx="847" formatCode="&quot;$&quot;#,##0.00_);\(&quot;$&quot;#,##0.00\)">
                  <c:v>32.5</c:v>
                </c:pt>
                <c:pt idx="848" formatCode="&quot;$&quot;#,##0.00_);\(&quot;$&quot;#,##0.00\)">
                  <c:v>40</c:v>
                </c:pt>
                <c:pt idx="849" formatCode="&quot;$&quot;#,##0.00_);\(&quot;$&quot;#,##0.00\)">
                  <c:v>40</c:v>
                </c:pt>
                <c:pt idx="850" formatCode="&quot;$&quot;#,##0.00_);\(&quot;$&quot;#,##0.00\)">
                  <c:v>40</c:v>
                </c:pt>
                <c:pt idx="851" formatCode="&quot;$&quot;#,##0.00_);\(&quot;$&quot;#,##0.00\)">
                  <c:v>40</c:v>
                </c:pt>
                <c:pt idx="852" formatCode="&quot;$&quot;#,##0.00_);\(&quot;$&quot;#,##0.00\)">
                  <c:v>40</c:v>
                </c:pt>
                <c:pt idx="853" formatCode="&quot;$&quot;#,##0.00_);\(&quot;$&quot;#,##0.00\)">
                  <c:v>42.5</c:v>
                </c:pt>
                <c:pt idx="854" formatCode="&quot;$&quot;#,##0.00_);\(&quot;$&quot;#,##0.00\)">
                  <c:v>42.5</c:v>
                </c:pt>
                <c:pt idx="855" formatCode="&quot;$&quot;#,##0.00_);\(&quot;$&quot;#,##0.00\)">
                  <c:v>47.5</c:v>
                </c:pt>
                <c:pt idx="856" formatCode="&quot;$&quot;#,##0.00_);\(&quot;$&quot;#,##0.00\)">
                  <c:v>47.5</c:v>
                </c:pt>
                <c:pt idx="857" formatCode="&quot;$&quot;#,##0.00_);\(&quot;$&quot;#,##0.00\)">
                  <c:v>50</c:v>
                </c:pt>
                <c:pt idx="858" formatCode="&quot;$&quot;#,##0.00_);\(&quot;$&quot;#,##0.00\)">
                  <c:v>40</c:v>
                </c:pt>
                <c:pt idx="859" formatCode="&quot;$&quot;#,##0.00_);\(&quot;$&quot;#,##0.00\)">
                  <c:v>40</c:v>
                </c:pt>
                <c:pt idx="860" formatCode="&quot;$&quot;#,##0.00_);\(&quot;$&quot;#,##0.00\)">
                  <c:v>40</c:v>
                </c:pt>
                <c:pt idx="861" formatCode="&quot;$&quot;#,##0.00_);\(&quot;$&quot;#,##0.00\)">
                  <c:v>40</c:v>
                </c:pt>
                <c:pt idx="862" formatCode="&quot;$&quot;#,##0.00_);\(&quot;$&quot;#,##0.00\)">
                  <c:v>40</c:v>
                </c:pt>
                <c:pt idx="863" formatCode="&quot;$&quot;#,##0.00_);\(&quot;$&quot;#,##0.00\)">
                  <c:v>40</c:v>
                </c:pt>
                <c:pt idx="864" formatCode="&quot;$&quot;#,##0.00_);\(&quot;$&quot;#,##0.00\)">
                  <c:v>40</c:v>
                </c:pt>
                <c:pt idx="865" formatCode="&quot;$&quot;#,##0.00_);\(&quot;$&quot;#,##0.00\)">
                  <c:v>40</c:v>
                </c:pt>
                <c:pt idx="866" formatCode="&quot;$&quot;#,##0.00_);\(&quot;$&quot;#,##0.00\)">
                  <c:v>40</c:v>
                </c:pt>
                <c:pt idx="867" formatCode="&quot;$&quot;#,##0.00_);\(&quot;$&quot;#,##0.00\)">
                  <c:v>42.4</c:v>
                </c:pt>
                <c:pt idx="868" formatCode="&quot;$&quot;#,##0.00_);\(&quot;$&quot;#,##0.00\)">
                  <c:v>42.5</c:v>
                </c:pt>
                <c:pt idx="869" formatCode="&quot;$&quot;#,##0.00_);\(&quot;$&quot;#,##0.00\)">
                  <c:v>42.5</c:v>
                </c:pt>
                <c:pt idx="870" formatCode="&quot;$&quot;#,##0.00_);\(&quot;$&quot;#,##0.00\)">
                  <c:v>42.5</c:v>
                </c:pt>
                <c:pt idx="871" formatCode="&quot;$&quot;#,##0.00_);\(&quot;$&quot;#,##0.00\)">
                  <c:v>42.5</c:v>
                </c:pt>
                <c:pt idx="872" formatCode="&quot;$&quot;#,##0.00_);\(&quot;$&quot;#,##0.00\)">
                  <c:v>42.5</c:v>
                </c:pt>
                <c:pt idx="873" formatCode="&quot;$&quot;#,##0.00_);\(&quot;$&quot;#,##0.00\)">
                  <c:v>42.5</c:v>
                </c:pt>
                <c:pt idx="874" formatCode="&quot;$&quot;#,##0.00_);\(&quot;$&quot;#,##0.00\)">
                  <c:v>42.5</c:v>
                </c:pt>
                <c:pt idx="875" formatCode="&quot;$&quot;#,##0.00_);\(&quot;$&quot;#,##0.00\)">
                  <c:v>42.5</c:v>
                </c:pt>
                <c:pt idx="876" formatCode="&quot;$&quot;#,##0.00_);\(&quot;$&quot;#,##0.00\)">
                  <c:v>42.5</c:v>
                </c:pt>
                <c:pt idx="877" formatCode="&quot;$&quot;#,##0.00_);\(&quot;$&quot;#,##0.00\)">
                  <c:v>42.5</c:v>
                </c:pt>
                <c:pt idx="878" formatCode="&quot;$&quot;#,##0.00_);\(&quot;$&quot;#,##0.00\)">
                  <c:v>42.5</c:v>
                </c:pt>
                <c:pt idx="879" formatCode="&quot;$&quot;#,##0.00_);\(&quot;$&quot;#,##0.00\)">
                  <c:v>42.5</c:v>
                </c:pt>
                <c:pt idx="880" formatCode="&quot;$&quot;#,##0.00_);\(&quot;$&quot;#,##0.00\)">
                  <c:v>45</c:v>
                </c:pt>
                <c:pt idx="881" formatCode="&quot;$&quot;#,##0.00_);\(&quot;$&quot;#,##0.00\)">
                  <c:v>45</c:v>
                </c:pt>
                <c:pt idx="882" formatCode="&quot;$&quot;#,##0.00_);\(&quot;$&quot;#,##0.00\)">
                  <c:v>45</c:v>
                </c:pt>
                <c:pt idx="883" formatCode="&quot;$&quot;#,##0.00_);\(&quot;$&quot;#,##0.00\)">
                  <c:v>45</c:v>
                </c:pt>
                <c:pt idx="884" formatCode="&quot;$&quot;#,##0.00_);\(&quot;$&quot;#,##0.00\)">
                  <c:v>47.5</c:v>
                </c:pt>
                <c:pt idx="885" formatCode="&quot;$&quot;#,##0.00_);\(&quot;$&quot;#,##0.00\)">
                  <c:v>47.5</c:v>
                </c:pt>
                <c:pt idx="886" formatCode="&quot;$&quot;#,##0.00_);\(&quot;$&quot;#,##0.00\)">
                  <c:v>47.5</c:v>
                </c:pt>
                <c:pt idx="887" formatCode="&quot;$&quot;#,##0.00_);\(&quot;$&quot;#,##0.00\)">
                  <c:v>47.5</c:v>
                </c:pt>
                <c:pt idx="888" formatCode="&quot;$&quot;#,##0.00_);\(&quot;$&quot;#,##0.00\)">
                  <c:v>47.5</c:v>
                </c:pt>
                <c:pt idx="889" formatCode="&quot;$&quot;#,##0.00_);\(&quot;$&quot;#,##0.00\)">
                  <c:v>47.5</c:v>
                </c:pt>
                <c:pt idx="890" formatCode="&quot;$&quot;#,##0.00_);\(&quot;$&quot;#,##0.00\)">
                  <c:v>47.5</c:v>
                </c:pt>
                <c:pt idx="891" formatCode="&quot;$&quot;#,##0.00_);\(&quot;$&quot;#,##0.00\)">
                  <c:v>47.5</c:v>
                </c:pt>
                <c:pt idx="892" formatCode="&quot;$&quot;#,##0.00_);\(&quot;$&quot;#,##0.00\)">
                  <c:v>47.5</c:v>
                </c:pt>
                <c:pt idx="893" formatCode="&quot;$&quot;#,##0.00_);\(&quot;$&quot;#,##0.00\)">
                  <c:v>48.75</c:v>
                </c:pt>
                <c:pt idx="894" formatCode="&quot;$&quot;#,##0.00_);\(&quot;$&quot;#,##0.00\)">
                  <c:v>50</c:v>
                </c:pt>
                <c:pt idx="895" formatCode="&quot;$&quot;#,##0.00_);\(&quot;$&quot;#,##0.00\)">
                  <c:v>50</c:v>
                </c:pt>
                <c:pt idx="896" formatCode="&quot;$&quot;#,##0.00_);\(&quot;$&quot;#,##0.00\)">
                  <c:v>50</c:v>
                </c:pt>
                <c:pt idx="897" formatCode="&quot;$&quot;#,##0.00_);\(&quot;$&quot;#,##0.00\)">
                  <c:v>50</c:v>
                </c:pt>
                <c:pt idx="898" formatCode="&quot;$&quot;#,##0.00_);\(&quot;$&quot;#,##0.00\)">
                  <c:v>50</c:v>
                </c:pt>
                <c:pt idx="899" formatCode="&quot;$&quot;#,##0.00_);\(&quot;$&quot;#,##0.00\)">
                  <c:v>53.75</c:v>
                </c:pt>
                <c:pt idx="900" formatCode="&quot;$&quot;#,##0.00_);\(&quot;$&quot;#,##0.00\)">
                  <c:v>53.75</c:v>
                </c:pt>
                <c:pt idx="901" formatCode="&quot;$&quot;#,##0.00_);\(&quot;$&quot;#,##0.00\)">
                  <c:v>53.75</c:v>
                </c:pt>
                <c:pt idx="902" formatCode="&quot;$&quot;#,##0.00_);\(&quot;$&quot;#,##0.00\)">
                  <c:v>53.75</c:v>
                </c:pt>
                <c:pt idx="903" formatCode="&quot;$&quot;#,##0.00_);\(&quot;$&quot;#,##0.00\)">
                  <c:v>55</c:v>
                </c:pt>
                <c:pt idx="904" formatCode="&quot;$&quot;#,##0.00_);\(&quot;$&quot;#,##0.00\)">
                  <c:v>55</c:v>
                </c:pt>
                <c:pt idx="905" formatCode="&quot;$&quot;#,##0.00_);\(&quot;$&quot;#,##0.00\)">
                  <c:v>55</c:v>
                </c:pt>
                <c:pt idx="906" formatCode="&quot;$&quot;#,##0.00_);\(&quot;$&quot;#,##0.00\)">
                  <c:v>55</c:v>
                </c:pt>
                <c:pt idx="907" formatCode="&quot;$&quot;#,##0.00_);\(&quot;$&quot;#,##0.00\)">
                  <c:v>55</c:v>
                </c:pt>
                <c:pt idx="908" formatCode="&quot;$&quot;#,##0.00_);\(&quot;$&quot;#,##0.00\)">
                  <c:v>57.5</c:v>
                </c:pt>
                <c:pt idx="909" formatCode="&quot;$&quot;#,##0.00_);\(&quot;$&quot;#,##0.00\)">
                  <c:v>57.5</c:v>
                </c:pt>
                <c:pt idx="910" formatCode="&quot;$&quot;#,##0.00_);\(&quot;$&quot;#,##0.00\)">
                  <c:v>60</c:v>
                </c:pt>
                <c:pt idx="911" formatCode="&quot;$&quot;#,##0.00_);\(&quot;$&quot;#,##0.00\)">
                  <c:v>60</c:v>
                </c:pt>
                <c:pt idx="912" formatCode="&quot;$&quot;#,##0.00_);\(&quot;$&quot;#,##0.00\)">
                  <c:v>60</c:v>
                </c:pt>
                <c:pt idx="913" formatCode="&quot;$&quot;#,##0.00_);\(&quot;$&quot;#,##0.00\)">
                  <c:v>60</c:v>
                </c:pt>
                <c:pt idx="914" formatCode="&quot;$&quot;#,##0.00_);\(&quot;$&quot;#,##0.00\)">
                  <c:v>60</c:v>
                </c:pt>
                <c:pt idx="915" formatCode="&quot;$&quot;#,##0.00_);\(&quot;$&quot;#,##0.00\)">
                  <c:v>60</c:v>
                </c:pt>
                <c:pt idx="916" formatCode="&quot;$&quot;#,##0.00_);\(&quot;$&quot;#,##0.00\)">
                  <c:v>60</c:v>
                </c:pt>
                <c:pt idx="917" formatCode="&quot;$&quot;#,##0.00_);\(&quot;$&quot;#,##0.00\)">
                  <c:v>60</c:v>
                </c:pt>
                <c:pt idx="918" formatCode="&quot;$&quot;#,##0.00_);\(&quot;$&quot;#,##0.00\)">
                  <c:v>60</c:v>
                </c:pt>
                <c:pt idx="919" formatCode="&quot;$&quot;#,##0.00_);\(&quot;$&quot;#,##0.00\)">
                  <c:v>60</c:v>
                </c:pt>
                <c:pt idx="920" formatCode="&quot;$&quot;#,##0.00_);\(&quot;$&quot;#,##0.00\)">
                  <c:v>60</c:v>
                </c:pt>
                <c:pt idx="921" formatCode="&quot;$&quot;#,##0.00_);\(&quot;$&quot;#,##0.00\)">
                  <c:v>62.5</c:v>
                </c:pt>
                <c:pt idx="922" formatCode="&quot;$&quot;#,##0.00_);\(&quot;$&quot;#,##0.00\)">
                  <c:v>65</c:v>
                </c:pt>
                <c:pt idx="923" formatCode="&quot;$&quot;#,##0.00_);\(&quot;$&quot;#,##0.00\)">
                  <c:v>65</c:v>
                </c:pt>
                <c:pt idx="924" formatCode="&quot;$&quot;#,##0.00_);\(&quot;$&quot;#,##0.00\)">
                  <c:v>65</c:v>
                </c:pt>
                <c:pt idx="925" formatCode="&quot;$&quot;#,##0.00_);\(&quot;$&quot;#,##0.00\)">
                  <c:v>67.5</c:v>
                </c:pt>
                <c:pt idx="926" formatCode="&quot;$&quot;#,##0.00_);\(&quot;$&quot;#,##0.00\)">
                  <c:v>67.5</c:v>
                </c:pt>
                <c:pt idx="927" formatCode="&quot;$&quot;#,##0.00_);\(&quot;$&quot;#,##0.00\)">
                  <c:v>67.5</c:v>
                </c:pt>
                <c:pt idx="928" formatCode="&quot;$&quot;#,##0.00_);\(&quot;$&quot;#,##0.00\)">
                  <c:v>67.5</c:v>
                </c:pt>
                <c:pt idx="929" formatCode="&quot;$&quot;#,##0.00_);\(&quot;$&quot;#,##0.00\)">
                  <c:v>55</c:v>
                </c:pt>
                <c:pt idx="930" formatCode="&quot;$&quot;#,##0.00_);\(&quot;$&quot;#,##0.00\)">
                  <c:v>55</c:v>
                </c:pt>
                <c:pt idx="931" formatCode="&quot;$&quot;#,##0.00_);\(&quot;$&quot;#,##0.00\)">
                  <c:v>50</c:v>
                </c:pt>
                <c:pt idx="932" formatCode="&quot;$&quot;#,##0.00_);\(&quot;$&quot;#,##0.00\)">
                  <c:v>47.5</c:v>
                </c:pt>
                <c:pt idx="933" formatCode="&quot;$&quot;#,##0.00_);\(&quot;$&quot;#,##0.00\)">
                  <c:v>47.5</c:v>
                </c:pt>
                <c:pt idx="934" formatCode="&quot;$&quot;#,##0.00_);\(&quot;$&quot;#,##0.00\)">
                  <c:v>47.5</c:v>
                </c:pt>
                <c:pt idx="935" formatCode="&quot;$&quot;#,##0.00_);\(&quot;$&quot;#,##0.00\)">
                  <c:v>47.5</c:v>
                </c:pt>
                <c:pt idx="936" formatCode="&quot;$&quot;#,##0.00_);\(&quot;$&quot;#,##0.00\)">
                  <c:v>47.5</c:v>
                </c:pt>
                <c:pt idx="937" formatCode="&quot;$&quot;#,##0.00_);\(&quot;$&quot;#,##0.00\)">
                  <c:v>47.5</c:v>
                </c:pt>
                <c:pt idx="938" formatCode="&quot;$&quot;#,##0.00_);\(&quot;$&quot;#,##0.00\)">
                  <c:v>47.5</c:v>
                </c:pt>
                <c:pt idx="939" formatCode="&quot;$&quot;#,##0.00_);\(&quot;$&quot;#,##0.00\)">
                  <c:v>47.5</c:v>
                </c:pt>
                <c:pt idx="940" formatCode="&quot;$&quot;#,##0.00_);\(&quot;$&quot;#,##0.00\)">
                  <c:v>47.5</c:v>
                </c:pt>
                <c:pt idx="941" formatCode="&quot;$&quot;#,##0.00_);\(&quot;$&quot;#,##0.00\)">
                  <c:v>45</c:v>
                </c:pt>
                <c:pt idx="942" formatCode="&quot;$&quot;#,##0.00_);\(&quot;$&quot;#,##0.00\)">
                  <c:v>45</c:v>
                </c:pt>
                <c:pt idx="943" formatCode="&quot;$&quot;#,##0.00_);\(&quot;$&quot;#,##0.00\)">
                  <c:v>45</c:v>
                </c:pt>
                <c:pt idx="944" formatCode="&quot;$&quot;#,##0.00_);\(&quot;$&quot;#,##0.00\)">
                  <c:v>47.5</c:v>
                </c:pt>
                <c:pt idx="945" formatCode="&quot;$&quot;#,##0.00_);\(&quot;$&quot;#,##0.00\)">
                  <c:v>47.5</c:v>
                </c:pt>
                <c:pt idx="946" formatCode="&quot;$&quot;#,##0.00_);\(&quot;$&quot;#,##0.00\)">
                  <c:v>47.5</c:v>
                </c:pt>
                <c:pt idx="947" formatCode="&quot;$&quot;#,##0.00_);\(&quot;$&quot;#,##0.00\)">
                  <c:v>47.5</c:v>
                </c:pt>
                <c:pt idx="948" formatCode="&quot;$&quot;#,##0.00_);\(&quot;$&quot;#,##0.00\)">
                  <c:v>47.5</c:v>
                </c:pt>
                <c:pt idx="949" formatCode="&quot;$&quot;#,##0.00_);\(&quot;$&quot;#,##0.00\)">
                  <c:v>47.5</c:v>
                </c:pt>
                <c:pt idx="950" formatCode="&quot;$&quot;#,##0.00_);\(&quot;$&quot;#,##0.00\)">
                  <c:v>35</c:v>
                </c:pt>
                <c:pt idx="951" formatCode="&quot;$&quot;#,##0.00_);\(&quot;$&quot;#,##0.00\)">
                  <c:v>30</c:v>
                </c:pt>
                <c:pt idx="952" formatCode="&quot;$&quot;#,##0.00_);\(&quot;$&quot;#,##0.00\)">
                  <c:v>30</c:v>
                </c:pt>
                <c:pt idx="953" formatCode="&quot;$&quot;#,##0.00_);\(&quot;$&quot;#,##0.00\)">
                  <c:v>30</c:v>
                </c:pt>
                <c:pt idx="954" formatCode="&quot;$&quot;#,##0.00_);\(&quot;$&quot;#,##0.00\)">
                  <c:v>30</c:v>
                </c:pt>
                <c:pt idx="955" formatCode="&quot;$&quot;#,##0.00_);\(&quot;$&quot;#,##0.00\)">
                  <c:v>30</c:v>
                </c:pt>
                <c:pt idx="956" formatCode="&quot;$&quot;#,##0.00_);\(&quot;$&quot;#,##0.00\)">
                  <c:v>30</c:v>
                </c:pt>
                <c:pt idx="957" formatCode="&quot;$&quot;#,##0.00_);\(&quot;$&quot;#,##0.00\)">
                  <c:v>30</c:v>
                </c:pt>
                <c:pt idx="958" formatCode="&quot;$&quot;#,##0.00_);\(&quot;$&quot;#,##0.00\)">
                  <c:v>30</c:v>
                </c:pt>
                <c:pt idx="959" formatCode="&quot;$&quot;#,##0.00_);\(&quot;$&quot;#,##0.00\)">
                  <c:v>30</c:v>
                </c:pt>
                <c:pt idx="960" formatCode="&quot;$&quot;#,##0.00_);\(&quot;$&quot;#,##0.00\)">
                  <c:v>30</c:v>
                </c:pt>
                <c:pt idx="961" formatCode="&quot;$&quot;#,##0.00_);\(&quot;$&quot;#,##0.00\)">
                  <c:v>30</c:v>
                </c:pt>
                <c:pt idx="962" formatCode="&quot;$&quot;#,##0.00_);\(&quot;$&quot;#,##0.00\)">
                  <c:v>30</c:v>
                </c:pt>
                <c:pt idx="963" formatCode="&quot;$&quot;#,##0.00_);\(&quot;$&quot;#,##0.00\)">
                  <c:v>30</c:v>
                </c:pt>
                <c:pt idx="964" formatCode="&quot;$&quot;#,##0.00_);\(&quot;$&quot;#,##0.00\)">
                  <c:v>30</c:v>
                </c:pt>
                <c:pt idx="965" formatCode="&quot;$&quot;#,##0.00_);\(&quot;$&quot;#,##0.00\)">
                  <c:v>30</c:v>
                </c:pt>
                <c:pt idx="966" formatCode="&quot;$&quot;#,##0.00_);\(&quot;$&quot;#,##0.00\)">
                  <c:v>30</c:v>
                </c:pt>
                <c:pt idx="967" formatCode="&quot;$&quot;#,##0.00_);\(&quot;$&quot;#,##0.00\)">
                  <c:v>30</c:v>
                </c:pt>
                <c:pt idx="968" formatCode="&quot;$&quot;#,##0.00_);\(&quot;$&quot;#,##0.00\)">
                  <c:v>30</c:v>
                </c:pt>
                <c:pt idx="969" formatCode="&quot;$&quot;#,##0.00_);\(&quot;$&quot;#,##0.00\)">
                  <c:v>30</c:v>
                </c:pt>
                <c:pt idx="970" formatCode="&quot;$&quot;#,##0.00_);\(&quot;$&quot;#,##0.00\)">
                  <c:v>30</c:v>
                </c:pt>
                <c:pt idx="971" formatCode="&quot;$&quot;#,##0.00_);\(&quot;$&quot;#,##0.00\)">
                  <c:v>30</c:v>
                </c:pt>
                <c:pt idx="972" formatCode="&quot;$&quot;#,##0.00_);\(&quot;$&quot;#,##0.00\)">
                  <c:v>30</c:v>
                </c:pt>
                <c:pt idx="973" formatCode="&quot;$&quot;#,##0.00_);\(&quot;$&quot;#,##0.00\)">
                  <c:v>30</c:v>
                </c:pt>
                <c:pt idx="974" formatCode="&quot;$&quot;#,##0.00_);\(&quot;$&quot;#,##0.00\)">
                  <c:v>30</c:v>
                </c:pt>
                <c:pt idx="975" formatCode="&quot;$&quot;#,##0.00_);\(&quot;$&quot;#,##0.00\)">
                  <c:v>30</c:v>
                </c:pt>
                <c:pt idx="976" formatCode="&quot;$&quot;#,##0.00_);\(&quot;$&quot;#,##0.00\)">
                  <c:v>30</c:v>
                </c:pt>
                <c:pt idx="977" formatCode="&quot;$&quot;#,##0.00_);\(&quot;$&quot;#,##0.00\)">
                  <c:v>30</c:v>
                </c:pt>
                <c:pt idx="978" formatCode="&quot;$&quot;#,##0.00_);\(&quot;$&quot;#,##0.00\)">
                  <c:v>30</c:v>
                </c:pt>
                <c:pt idx="979" formatCode="&quot;$&quot;#,##0.00_);\(&quot;$&quot;#,##0.00\)">
                  <c:v>30</c:v>
                </c:pt>
                <c:pt idx="980" formatCode="&quot;$&quot;#,##0.00_);\(&quot;$&quot;#,##0.00\)">
                  <c:v>30</c:v>
                </c:pt>
                <c:pt idx="981" formatCode="&quot;$&quot;#,##0.00_);\(&quot;$&quot;#,##0.00\)">
                  <c:v>30</c:v>
                </c:pt>
                <c:pt idx="982" formatCode="&quot;$&quot;#,##0.00_);\(&quot;$&quot;#,##0.00\)">
                  <c:v>30</c:v>
                </c:pt>
                <c:pt idx="983" formatCode="&quot;$&quot;#,##0.00_);\(&quot;$&quot;#,##0.00\)">
                  <c:v>30</c:v>
                </c:pt>
                <c:pt idx="984" formatCode="&quot;$&quot;#,##0.00_);\(&quot;$&quot;#,##0.00\)">
                  <c:v>30</c:v>
                </c:pt>
                <c:pt idx="985" formatCode="&quot;$&quot;#,##0.00_);\(&quot;$&quot;#,##0.00\)">
                  <c:v>30</c:v>
                </c:pt>
                <c:pt idx="986" formatCode="&quot;$&quot;#,##0.00_);\(&quot;$&quot;#,##0.00\)">
                  <c:v>30</c:v>
                </c:pt>
                <c:pt idx="987" formatCode="&quot;$&quot;#,##0.00_);\(&quot;$&quot;#,##0.00\)">
                  <c:v>30</c:v>
                </c:pt>
                <c:pt idx="988" formatCode="&quot;$&quot;#,##0.00_);\(&quot;$&quot;#,##0.00\)">
                  <c:v>30</c:v>
                </c:pt>
                <c:pt idx="989" formatCode="&quot;$&quot;#,##0.00_);\(&quot;$&quot;#,##0.00\)">
                  <c:v>30</c:v>
                </c:pt>
                <c:pt idx="990" formatCode="&quot;$&quot;#,##0.00_);\(&quot;$&quot;#,##0.00\)">
                  <c:v>30</c:v>
                </c:pt>
                <c:pt idx="991" formatCode="&quot;$&quot;#,##0.00_);\(&quot;$&quot;#,##0.00\)">
                  <c:v>30</c:v>
                </c:pt>
                <c:pt idx="992" formatCode="&quot;$&quot;#,##0.00_);\(&quot;$&quot;#,##0.00\)">
                  <c:v>30</c:v>
                </c:pt>
                <c:pt idx="993" formatCode="&quot;$&quot;#,##0.00_);\(&quot;$&quot;#,##0.00\)">
                  <c:v>30</c:v>
                </c:pt>
                <c:pt idx="994" formatCode="&quot;$&quot;#,##0.00_);\(&quot;$&quot;#,##0.00\)">
                  <c:v>30</c:v>
                </c:pt>
                <c:pt idx="995" formatCode="&quot;$&quot;#,##0.00_);\(&quot;$&quot;#,##0.00\)">
                  <c:v>30</c:v>
                </c:pt>
                <c:pt idx="996" formatCode="&quot;$&quot;#,##0.00_);\(&quot;$&quot;#,##0.00\)">
                  <c:v>30</c:v>
                </c:pt>
                <c:pt idx="997" formatCode="&quot;$&quot;#,##0.00_);\(&quot;$&quot;#,##0.00\)">
                  <c:v>30</c:v>
                </c:pt>
                <c:pt idx="998" formatCode="&quot;$&quot;#,##0.00_);\(&quot;$&quot;#,##0.00\)">
                  <c:v>30</c:v>
                </c:pt>
                <c:pt idx="999" formatCode="&quot;$&quot;#,##0.00_);\(&quot;$&quot;#,##0.00\)">
                  <c:v>30</c:v>
                </c:pt>
                <c:pt idx="1000" formatCode="&quot;$&quot;#,##0.00_);\(&quot;$&quot;#,##0.00\)">
                  <c:v>30</c:v>
                </c:pt>
                <c:pt idx="1001" formatCode="&quot;$&quot;#,##0.00_);\(&quot;$&quot;#,##0.00\)">
                  <c:v>30</c:v>
                </c:pt>
                <c:pt idx="1002" formatCode="&quot;$&quot;#,##0.00_);\(&quot;$&quot;#,##0.00\)">
                  <c:v>30</c:v>
                </c:pt>
                <c:pt idx="1003" formatCode="&quot;$&quot;#,##0.00_);\(&quot;$&quot;#,##0.00\)">
                  <c:v>30</c:v>
                </c:pt>
                <c:pt idx="1004" formatCode="&quot;$&quot;#,##0.00_);\(&quot;$&quot;#,##0.00\)">
                  <c:v>30</c:v>
                </c:pt>
                <c:pt idx="1005" formatCode="&quot;$&quot;#,##0.00_);\(&quot;$&quot;#,##0.00\)">
                  <c:v>30</c:v>
                </c:pt>
                <c:pt idx="1006" formatCode="&quot;$&quot;#,##0.00_);\(&quot;$&quot;#,##0.00\)">
                  <c:v>30</c:v>
                </c:pt>
                <c:pt idx="1007" formatCode="&quot;$&quot;#,##0.00_);\(&quot;$&quot;#,##0.00\)">
                  <c:v>30</c:v>
                </c:pt>
                <c:pt idx="1008" formatCode="&quot;$&quot;#,##0.00_);\(&quot;$&quot;#,##0.00\)">
                  <c:v>30</c:v>
                </c:pt>
                <c:pt idx="1009" formatCode="&quot;$&quot;#,##0.00_);\(&quot;$&quot;#,##0.00\)">
                  <c:v>30</c:v>
                </c:pt>
                <c:pt idx="1010" formatCode="&quot;$&quot;#,##0.00_);\(&quot;$&quot;#,##0.00\)">
                  <c:v>30</c:v>
                </c:pt>
                <c:pt idx="1011" formatCode="&quot;$&quot;#,##0.00_);\(&quot;$&quot;#,##0.00\)">
                  <c:v>30</c:v>
                </c:pt>
                <c:pt idx="1012" formatCode="&quot;$&quot;#,##0.00_);\(&quot;$&quot;#,##0.00\)">
                  <c:v>30</c:v>
                </c:pt>
                <c:pt idx="1013" formatCode="&quot;$&quot;#,##0.00_);\(&quot;$&quot;#,##0.00\)">
                  <c:v>30</c:v>
                </c:pt>
                <c:pt idx="1014" formatCode="&quot;$&quot;#,##0.00_);\(&quot;$&quot;#,##0.00\)">
                  <c:v>30</c:v>
                </c:pt>
                <c:pt idx="1015" formatCode="&quot;$&quot;#,##0.00_);\(&quot;$&quot;#,##0.00\)">
                  <c:v>30</c:v>
                </c:pt>
                <c:pt idx="1016" formatCode="&quot;$&quot;#,##0.00_);\(&quot;$&quot;#,##0.00\)">
                  <c:v>30</c:v>
                </c:pt>
                <c:pt idx="1017" formatCode="&quot;$&quot;#,##0.00_);\(&quot;$&quot;#,##0.00\)">
                  <c:v>30</c:v>
                </c:pt>
                <c:pt idx="1018" formatCode="&quot;$&quot;#,##0.00_);\(&quot;$&quot;#,##0.00\)">
                  <c:v>30</c:v>
                </c:pt>
                <c:pt idx="1019" formatCode="&quot;$&quot;#,##0.00_);\(&quot;$&quot;#,##0.00\)">
                  <c:v>30</c:v>
                </c:pt>
                <c:pt idx="1020" formatCode="&quot;$&quot;#,##0.00_);\(&quot;$&quot;#,##0.00\)">
                  <c:v>30</c:v>
                </c:pt>
                <c:pt idx="1021" formatCode="&quot;$&quot;#,##0.00_);\(&quot;$&quot;#,##0.00\)">
                  <c:v>30</c:v>
                </c:pt>
                <c:pt idx="1022" formatCode="&quot;$&quot;#,##0.00_);\(&quot;$&quot;#,##0.00\)">
                  <c:v>30</c:v>
                </c:pt>
                <c:pt idx="1023" formatCode="&quot;$&quot;#,##0.00_);\(&quot;$&quot;#,##0.00\)">
                  <c:v>30</c:v>
                </c:pt>
                <c:pt idx="1024" formatCode="&quot;$&quot;#,##0.00_);\(&quot;$&quot;#,##0.00\)">
                  <c:v>30</c:v>
                </c:pt>
                <c:pt idx="1025" formatCode="&quot;$&quot;#,##0.00_);\(&quot;$&quot;#,##0.00\)">
                  <c:v>30</c:v>
                </c:pt>
                <c:pt idx="1026" formatCode="&quot;$&quot;#,##0.00_);\(&quot;$&quot;#,##0.00\)">
                  <c:v>30</c:v>
                </c:pt>
                <c:pt idx="1027" formatCode="&quot;$&quot;#,##0.00_);\(&quot;$&quot;#,##0.00\)">
                  <c:v>30</c:v>
                </c:pt>
                <c:pt idx="1028" formatCode="&quot;$&quot;#,##0.00_);\(&quot;$&quot;#,##0.00\)">
                  <c:v>30</c:v>
                </c:pt>
                <c:pt idx="1029" formatCode="&quot;$&quot;#,##0.00_);\(&quot;$&quot;#,##0.00\)">
                  <c:v>30</c:v>
                </c:pt>
                <c:pt idx="1030" formatCode="&quot;$&quot;#,##0.00_);\(&quot;$&quot;#,##0.00\)">
                  <c:v>30</c:v>
                </c:pt>
                <c:pt idx="1031" formatCode="&quot;$&quot;#,##0.00_);\(&quot;$&quot;#,##0.00\)">
                  <c:v>30</c:v>
                </c:pt>
                <c:pt idx="1032" formatCode="&quot;$&quot;#,##0.00_);\(&quot;$&quot;#,##0.00\)">
                  <c:v>30</c:v>
                </c:pt>
                <c:pt idx="1033" formatCode="&quot;$&quot;#,##0.00_);\(&quot;$&quot;#,##0.00\)">
                  <c:v>32.5</c:v>
                </c:pt>
                <c:pt idx="1034" formatCode="&quot;$&quot;#,##0.00_);\(&quot;$&quot;#,##0.00\)">
                  <c:v>32.5</c:v>
                </c:pt>
                <c:pt idx="1035" formatCode="&quot;$&quot;#,##0.00_);\(&quot;$&quot;#,##0.00\)">
                  <c:v>32.5</c:v>
                </c:pt>
                <c:pt idx="1036" formatCode="&quot;$&quot;#,##0.00_);\(&quot;$&quot;#,##0.00\)">
                  <c:v>32.5</c:v>
                </c:pt>
                <c:pt idx="1037" formatCode="&quot;$&quot;#,##0.00_);\(&quot;$&quot;#,##0.00\)">
                  <c:v>32.5</c:v>
                </c:pt>
                <c:pt idx="1038" formatCode="&quot;$&quot;#,##0.00_);\(&quot;$&quot;#,##0.00\)">
                  <c:v>32.5</c:v>
                </c:pt>
                <c:pt idx="1039" formatCode="&quot;$&quot;#,##0.00_);\(&quot;$&quot;#,##0.00\)">
                  <c:v>32.5</c:v>
                </c:pt>
                <c:pt idx="1040" formatCode="&quot;$&quot;#,##0.00_);\(&quot;$&quot;#,##0.00\)">
                  <c:v>32.5</c:v>
                </c:pt>
                <c:pt idx="1041" formatCode="&quot;$&quot;#,##0.00_);\(&quot;$&quot;#,##0.00\)">
                  <c:v>32.5</c:v>
                </c:pt>
                <c:pt idx="1042" formatCode="&quot;$&quot;#,##0.00_);\(&quot;$&quot;#,##0.00\)">
                  <c:v>32.5</c:v>
                </c:pt>
                <c:pt idx="1043" formatCode="&quot;$&quot;#,##0.00_);\(&quot;$&quot;#,##0.00\)">
                  <c:v>32.5</c:v>
                </c:pt>
                <c:pt idx="1044" formatCode="&quot;$&quot;#,##0.00_);\(&quot;$&quot;#,##0.00\)">
                  <c:v>32.5</c:v>
                </c:pt>
                <c:pt idx="1045" formatCode="&quot;$&quot;#,##0.00_);\(&quot;$&quot;#,##0.00\)">
                  <c:v>32.5</c:v>
                </c:pt>
                <c:pt idx="1046" formatCode="&quot;$&quot;#,##0.00_);\(&quot;$&quot;#,##0.00\)">
                  <c:v>25</c:v>
                </c:pt>
                <c:pt idx="1047" formatCode="&quot;$&quot;#,##0.00_);\(&quot;$&quot;#,##0.00\)">
                  <c:v>25</c:v>
                </c:pt>
                <c:pt idx="1048" formatCode="&quot;$&quot;#,##0.00_);\(&quot;$&quot;#,##0.00\)">
                  <c:v>25</c:v>
                </c:pt>
                <c:pt idx="1049" formatCode="&quot;$&quot;#,##0.00_);\(&quot;$&quot;#,##0.00\)">
                  <c:v>25</c:v>
                </c:pt>
                <c:pt idx="1050" formatCode="&quot;$&quot;#,##0.00_);\(&quot;$&quot;#,##0.00\)">
                  <c:v>25</c:v>
                </c:pt>
                <c:pt idx="1051" formatCode="&quot;$&quot;#,##0.00_);\(&quot;$&quot;#,##0.00\)">
                  <c:v>20</c:v>
                </c:pt>
                <c:pt idx="1052" formatCode="&quot;$&quot;#,##0.00_);\(&quot;$&quot;#,##0.00\)">
                  <c:v>20</c:v>
                </c:pt>
                <c:pt idx="1053" formatCode="&quot;$&quot;#,##0.00_);\(&quot;$&quot;#,##0.00\)">
                  <c:v>20</c:v>
                </c:pt>
                <c:pt idx="1054" formatCode="&quot;$&quot;#,##0.00_);\(&quot;$&quot;#,##0.00\)">
                  <c:v>20</c:v>
                </c:pt>
                <c:pt idx="1055" formatCode="&quot;$&quot;#,##0.00_);\(&quot;$&quot;#,##0.00\)">
                  <c:v>20</c:v>
                </c:pt>
                <c:pt idx="1056" formatCode="&quot;$&quot;#,##0.00_);\(&quot;$&quot;#,##0.00\)">
                  <c:v>20</c:v>
                </c:pt>
                <c:pt idx="1057" formatCode="&quot;$&quot;#,##0.00_);\(&quot;$&quot;#,##0.00\)">
                  <c:v>20</c:v>
                </c:pt>
                <c:pt idx="1058" formatCode="&quot;$&quot;#,##0.00_);\(&quot;$&quot;#,##0.00\)">
                  <c:v>22.5</c:v>
                </c:pt>
                <c:pt idx="1059" formatCode="&quot;$&quot;#,##0.00_);\(&quot;$&quot;#,##0.00\)">
                  <c:v>22.5</c:v>
                </c:pt>
                <c:pt idx="1060" formatCode="&quot;$&quot;#,##0.00_);\(&quot;$&quot;#,##0.00\)">
                  <c:v>22.5</c:v>
                </c:pt>
                <c:pt idx="1061" formatCode="&quot;$&quot;#,##0.00_);\(&quot;$&quot;#,##0.00\)">
                  <c:v>22.5</c:v>
                </c:pt>
                <c:pt idx="1062" formatCode="&quot;$&quot;#,##0.00_);\(&quot;$&quot;#,##0.00\)">
                  <c:v>22.5</c:v>
                </c:pt>
                <c:pt idx="1063" formatCode="&quot;$&quot;#,##0.00_);\(&quot;$&quot;#,##0.00\)">
                  <c:v>22.5</c:v>
                </c:pt>
                <c:pt idx="1064" formatCode="&quot;$&quot;#,##0.00_);\(&quot;$&quot;#,##0.00\)">
                  <c:v>22.5</c:v>
                </c:pt>
                <c:pt idx="1065" formatCode="&quot;$&quot;#,##0.00_);\(&quot;$&quot;#,##0.00\)">
                  <c:v>22.5</c:v>
                </c:pt>
                <c:pt idx="1066" formatCode="&quot;$&quot;#,##0.00_);\(&quot;$&quot;#,##0.00\)">
                  <c:v>22.5</c:v>
                </c:pt>
                <c:pt idx="1067" formatCode="&quot;$&quot;#,##0.00_);\(&quot;$&quot;#,##0.00\)">
                  <c:v>22.5</c:v>
                </c:pt>
                <c:pt idx="1068" formatCode="&quot;$&quot;#,##0.00_);\(&quot;$&quot;#,##0.00\)">
                  <c:v>22.5</c:v>
                </c:pt>
                <c:pt idx="1069" formatCode="&quot;$&quot;#,##0.00_);\(&quot;$&quot;#,##0.00\)">
                  <c:v>22.5</c:v>
                </c:pt>
                <c:pt idx="1070" formatCode="&quot;$&quot;#,##0.00_);\(&quot;$&quot;#,##0.00\)">
                  <c:v>22.5</c:v>
                </c:pt>
                <c:pt idx="1071" formatCode="&quot;$&quot;#,##0.00_);\(&quot;$&quot;#,##0.00\)">
                  <c:v>17.5</c:v>
                </c:pt>
                <c:pt idx="1072" formatCode="&quot;$&quot;#,##0.00_);\(&quot;$&quot;#,##0.00\)">
                  <c:v>17.5</c:v>
                </c:pt>
                <c:pt idx="1073" formatCode="&quot;$&quot;#,##0.00_);\(&quot;$&quot;#,##0.00\)">
                  <c:v>17.5</c:v>
                </c:pt>
                <c:pt idx="1074" formatCode="&quot;$&quot;#,##0.00_);\(&quot;$&quot;#,##0.00\)">
                  <c:v>17.5</c:v>
                </c:pt>
                <c:pt idx="1075" formatCode="&quot;$&quot;#,##0.00_);\(&quot;$&quot;#,##0.00\)">
                  <c:v>17.5</c:v>
                </c:pt>
                <c:pt idx="1076" formatCode="&quot;$&quot;#,##0.00_);\(&quot;$&quot;#,##0.00\)">
                  <c:v>17.5</c:v>
                </c:pt>
                <c:pt idx="1077" formatCode="&quot;$&quot;#,##0.00_);\(&quot;$&quot;#,##0.00\)">
                  <c:v>17.5</c:v>
                </c:pt>
                <c:pt idx="1078" formatCode="&quot;$&quot;#,##0.00_);\(&quot;$&quot;#,##0.00\)">
                  <c:v>17.5</c:v>
                </c:pt>
                <c:pt idx="1079" formatCode="&quot;$&quot;#,##0.00_);\(&quot;$&quot;#,##0.00\)">
                  <c:v>17.5</c:v>
                </c:pt>
                <c:pt idx="1080" formatCode="&quot;$&quot;#,##0.00_);\(&quot;$&quot;#,##0.00\)">
                  <c:v>17.5</c:v>
                </c:pt>
                <c:pt idx="1081" formatCode="&quot;$&quot;#,##0.00_);\(&quot;$&quot;#,##0.00\)">
                  <c:v>17.5</c:v>
                </c:pt>
                <c:pt idx="1082" formatCode="&quot;$&quot;#,##0.00_);\(&quot;$&quot;#,##0.00\)">
                  <c:v>17.5</c:v>
                </c:pt>
                <c:pt idx="1083" formatCode="&quot;$&quot;#,##0.00_);\(&quot;$&quot;#,##0.00\)">
                  <c:v>17.5</c:v>
                </c:pt>
                <c:pt idx="1084" formatCode="&quot;$&quot;#,##0.00_);\(&quot;$&quot;#,##0.00\)">
                  <c:v>17.5</c:v>
                </c:pt>
                <c:pt idx="1085" formatCode="&quot;$&quot;#,##0.00_);\(&quot;$&quot;#,##0.00\)">
                  <c:v>17.5</c:v>
                </c:pt>
                <c:pt idx="1086" formatCode="&quot;$&quot;#,##0.00_);\(&quot;$&quot;#,##0.00\)">
                  <c:v>17.5</c:v>
                </c:pt>
                <c:pt idx="1087" formatCode="&quot;$&quot;#,##0.00_);\(&quot;$&quot;#,##0.00\)">
                  <c:v>17.5</c:v>
                </c:pt>
                <c:pt idx="1088" formatCode="&quot;$&quot;#,##0.00_);\(&quot;$&quot;#,##0.00\)">
                  <c:v>17.5</c:v>
                </c:pt>
                <c:pt idx="1089" formatCode="&quot;$&quot;#,##0.00_);\(&quot;$&quot;#,##0.00\)">
                  <c:v>17.5</c:v>
                </c:pt>
                <c:pt idx="1090" formatCode="&quot;$&quot;#,##0.00_);\(&quot;$&quot;#,##0.00\)">
                  <c:v>17.5</c:v>
                </c:pt>
                <c:pt idx="1091" formatCode="&quot;$&quot;#,##0.00_);\(&quot;$&quot;#,##0.00\)">
                  <c:v>17.5</c:v>
                </c:pt>
                <c:pt idx="1092" formatCode="&quot;$&quot;#,##0.00_);\(&quot;$&quot;#,##0.00\)">
                  <c:v>17.5</c:v>
                </c:pt>
                <c:pt idx="1093" formatCode="&quot;$&quot;#,##0.00_);\(&quot;$&quot;#,##0.00\)">
                  <c:v>17.5</c:v>
                </c:pt>
                <c:pt idx="1094" formatCode="&quot;$&quot;#,##0.00_);\(&quot;$&quot;#,##0.00\)">
                  <c:v>17.5</c:v>
                </c:pt>
                <c:pt idx="1095" formatCode="&quot;$&quot;#,##0.00_);\(&quot;$&quot;#,##0.00\)">
                  <c:v>17.5</c:v>
                </c:pt>
                <c:pt idx="1096" formatCode="&quot;$&quot;#,##0.00_);\(&quot;$&quot;#,##0.00\)">
                  <c:v>17.5</c:v>
                </c:pt>
                <c:pt idx="1097" formatCode="&quot;$&quot;#,##0.00_);\(&quot;$&quot;#,##0.00\)">
                  <c:v>17.5</c:v>
                </c:pt>
                <c:pt idx="1098" formatCode="&quot;$&quot;#,##0.00_);\(&quot;$&quot;#,##0.00\)">
                  <c:v>17.5</c:v>
                </c:pt>
                <c:pt idx="1099" formatCode="&quot;$&quot;#,##0.00_);\(&quot;$&quot;#,##0.00\)">
                  <c:v>17.5</c:v>
                </c:pt>
                <c:pt idx="1100" formatCode="&quot;$&quot;#,##0.00_);\(&quot;$&quot;#,##0.00\)">
                  <c:v>17.5</c:v>
                </c:pt>
                <c:pt idx="1101" formatCode="&quot;$&quot;#,##0.00_);\(&quot;$&quot;#,##0.00\)">
                  <c:v>17.5</c:v>
                </c:pt>
                <c:pt idx="1102" formatCode="&quot;$&quot;#,##0.00_);\(&quot;$&quot;#,##0.00\)">
                  <c:v>17.5</c:v>
                </c:pt>
                <c:pt idx="1103" formatCode="&quot;$&quot;#,##0.00_);\(&quot;$&quot;#,##0.00\)">
                  <c:v>17.5</c:v>
                </c:pt>
                <c:pt idx="1104" formatCode="&quot;$&quot;#,##0.00_);\(&quot;$&quot;#,##0.00\)">
                  <c:v>17.5</c:v>
                </c:pt>
                <c:pt idx="1105" formatCode="&quot;$&quot;#,##0.00_);\(&quot;$&quot;#,##0.00\)">
                  <c:v>17.5</c:v>
                </c:pt>
                <c:pt idx="1106" formatCode="&quot;$&quot;#,##0.00_);\(&quot;$&quot;#,##0.00\)">
                  <c:v>17.5</c:v>
                </c:pt>
                <c:pt idx="1107" formatCode="&quot;$&quot;#,##0.00_);\(&quot;$&quot;#,##0.00\)">
                  <c:v>17.5</c:v>
                </c:pt>
                <c:pt idx="1108" formatCode="&quot;$&quot;#,##0.00_);\(&quot;$&quot;#,##0.00\)">
                  <c:v>17.5</c:v>
                </c:pt>
                <c:pt idx="1109" formatCode="&quot;$&quot;#,##0.00_);\(&quot;$&quot;#,##0.00\)">
                  <c:v>17.5</c:v>
                </c:pt>
                <c:pt idx="1110" formatCode="&quot;$&quot;#,##0.00_);\(&quot;$&quot;#,##0.00\)">
                  <c:v>12.5</c:v>
                </c:pt>
                <c:pt idx="1111" formatCode="&quot;$&quot;#,##0.00_);\(&quot;$&quot;#,##0.00\)">
                  <c:v>12.5</c:v>
                </c:pt>
                <c:pt idx="1112" formatCode="&quot;$&quot;#,##0.00_);\(&quot;$&quot;#,##0.00\)">
                  <c:v>12.5</c:v>
                </c:pt>
                <c:pt idx="1113" formatCode="&quot;$&quot;#,##0.00_);\(&quot;$&quot;#,##0.00\)">
                  <c:v>12.5</c:v>
                </c:pt>
                <c:pt idx="1114" formatCode="&quot;$&quot;#,##0.00_);\(&quot;$&quot;#,##0.00\)">
                  <c:v>12.5</c:v>
                </c:pt>
                <c:pt idx="1115" formatCode="&quot;$&quot;#,##0.00_);\(&quot;$&quot;#,##0.00\)">
                  <c:v>12.5</c:v>
                </c:pt>
                <c:pt idx="1116" formatCode="&quot;$&quot;#,##0.00_);\(&quot;$&quot;#,##0.00\)">
                  <c:v>12.5</c:v>
                </c:pt>
                <c:pt idx="1117" formatCode="&quot;$&quot;#,##0.00_);\(&quot;$&quot;#,##0.00\)">
                  <c:v>12.5</c:v>
                </c:pt>
                <c:pt idx="1118" formatCode="&quot;$&quot;#,##0.00_);\(&quot;$&quot;#,##0.00\)">
                  <c:v>12.5</c:v>
                </c:pt>
                <c:pt idx="1119" formatCode="&quot;$&quot;#,##0.00_);\(&quot;$&quot;#,##0.00\)">
                  <c:v>12.5</c:v>
                </c:pt>
              </c:numCache>
            </c:numRef>
          </c:val>
        </c:ser>
        <c:marker val="1"/>
        <c:axId val="167514112"/>
        <c:axId val="167515648"/>
      </c:lineChart>
      <c:catAx>
        <c:axId val="167514112"/>
        <c:scaling>
          <c:orientation val="minMax"/>
        </c:scaling>
        <c:axPos val="b"/>
        <c:numFmt formatCode="m/d/yy;@" sourceLinked="0"/>
        <c:tickLblPos val="nextTo"/>
        <c:txPr>
          <a:bodyPr rot="-2700000"/>
          <a:lstStyle/>
          <a:p>
            <a:pPr>
              <a:defRPr/>
            </a:pPr>
            <a:endParaRPr lang="en-US"/>
          </a:p>
        </c:txPr>
        <c:crossAx val="167515648"/>
        <c:crosses val="autoZero"/>
        <c:auto val="1"/>
        <c:lblAlgn val="ctr"/>
        <c:lblOffset val="100"/>
        <c:tickLblSkip val="50"/>
        <c:tickMarkSkip val="45"/>
      </c:catAx>
      <c:valAx>
        <c:axId val="167515648"/>
        <c:scaling>
          <c:orientation val="minMax"/>
        </c:scaling>
        <c:axPos val="l"/>
        <c:majorGridlines/>
        <c:numFmt formatCode="&quot;$&quot;#,##0" sourceLinked="1"/>
        <c:tickLblPos val="nextTo"/>
        <c:crossAx val="167514112"/>
        <c:crosses val="autoZero"/>
        <c:crossBetween val="between"/>
      </c:valAx>
    </c:plotArea>
    <c:plotVisOnly val="1"/>
    <c:dispBlanksAs val="gap"/>
  </c:chart>
  <c:txPr>
    <a:bodyPr/>
    <a:lstStyle/>
    <a:p>
      <a:pPr>
        <a:defRPr>
          <a:latin typeface="Times New Roman" pitchFamily="18" charset="0"/>
          <a:cs typeface="Times New Roman" pitchFamily="18" charset="0"/>
        </a:defRPr>
      </a:pPr>
      <a:endParaRPr lang="en-US"/>
    </a:p>
  </c:tx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82</Pages>
  <Words>27742</Words>
  <Characters>158155</Characters>
  <Application>Microsoft Office Word</Application>
  <DocSecurity>0</DocSecurity>
  <Lines>1317</Lines>
  <Paragraphs>371</Paragraphs>
  <ScaleCrop>false</ScaleCrop>
  <Manager/>
  <Company/>
  <LinksUpToDate>false</LinksUpToDate>
  <CharactersWithSpaces>185526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2013-01-30T23:11:00Z</dcterms:created>
  <dcterms:modified xsi:type="dcterms:W3CDTF">2013-01-30T23:11:00Z</dcterms:modified>
  <cp:category/>
  <cp:contentStatus>Final</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arkAsFinal">
    <vt:bool>true</vt:bool>
  </property>
</Properties>
</file>